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0E481D">
      <w:pPr>
        <w:spacing w:before="184" w:line="186" w:lineRule="auto"/>
        <w:ind w:left="870"/>
        <w:rPr>
          <w:rFonts w:ascii="微软雅黑" w:hAnsi="微软雅黑" w:eastAsia="微软雅黑" w:cs="微软雅黑"/>
          <w:sz w:val="43"/>
          <w:szCs w:val="43"/>
        </w:rPr>
      </w:pPr>
      <w:r>
        <w:rPr>
          <w:rFonts w:ascii="微软雅黑" w:hAnsi="微软雅黑" w:eastAsia="微软雅黑" w:cs="微软雅黑"/>
          <w:spacing w:val="9"/>
          <w:sz w:val="43"/>
          <w:szCs w:val="43"/>
        </w:rPr>
        <w:t>东南大学大学生创新创业训练计划</w:t>
      </w:r>
    </w:p>
    <w:p w14:paraId="288A9068">
      <w:pPr>
        <w:spacing w:before="276" w:line="185" w:lineRule="auto"/>
        <w:ind w:left="2882"/>
        <w:rPr>
          <w:rFonts w:ascii="微软雅黑" w:hAnsi="微软雅黑" w:eastAsia="微软雅黑" w:cs="微软雅黑"/>
          <w:sz w:val="43"/>
          <w:szCs w:val="43"/>
        </w:rPr>
      </w:pPr>
      <w:r>
        <w:rPr>
          <w:rFonts w:ascii="微软雅黑" w:hAnsi="微软雅黑" w:eastAsia="微软雅黑" w:cs="微软雅黑"/>
          <w:spacing w:val="3"/>
          <w:sz w:val="43"/>
          <w:szCs w:val="43"/>
        </w:rPr>
        <w:t>中期检查报告</w:t>
      </w:r>
    </w:p>
    <w:p w14:paraId="1ACD2AC5">
      <w:pPr>
        <w:spacing w:line="242" w:lineRule="auto"/>
        <w:rPr>
          <w:rFonts w:ascii="Arial"/>
          <w:sz w:val="21"/>
        </w:rPr>
      </w:pPr>
    </w:p>
    <w:p w14:paraId="03D870CB">
      <w:pPr>
        <w:spacing w:line="242" w:lineRule="auto"/>
        <w:rPr>
          <w:rFonts w:ascii="Arial"/>
          <w:sz w:val="21"/>
        </w:rPr>
      </w:pPr>
    </w:p>
    <w:p w14:paraId="44A833C3">
      <w:pPr>
        <w:spacing w:line="243" w:lineRule="auto"/>
        <w:rPr>
          <w:rFonts w:ascii="Arial"/>
          <w:sz w:val="21"/>
        </w:rPr>
      </w:pPr>
    </w:p>
    <w:p w14:paraId="04780342">
      <w:pPr>
        <w:spacing w:line="243" w:lineRule="auto"/>
        <w:rPr>
          <w:rFonts w:ascii="Arial"/>
          <w:sz w:val="21"/>
        </w:rPr>
      </w:pPr>
    </w:p>
    <w:p w14:paraId="1C805BAA">
      <w:pPr>
        <w:spacing w:line="243" w:lineRule="auto"/>
        <w:rPr>
          <w:rFonts w:ascii="Arial"/>
          <w:sz w:val="21"/>
        </w:rPr>
      </w:pPr>
    </w:p>
    <w:p w14:paraId="520809A0">
      <w:pPr>
        <w:spacing w:line="243" w:lineRule="auto"/>
        <w:rPr>
          <w:rFonts w:ascii="Arial"/>
          <w:sz w:val="21"/>
        </w:rPr>
      </w:pPr>
    </w:p>
    <w:p w14:paraId="735BCBFB">
      <w:pPr>
        <w:spacing w:line="243" w:lineRule="auto"/>
        <w:rPr>
          <w:rFonts w:ascii="Arial"/>
          <w:sz w:val="21"/>
        </w:rPr>
      </w:pPr>
    </w:p>
    <w:p w14:paraId="6C2D41FB">
      <w:pPr>
        <w:spacing w:line="243" w:lineRule="auto"/>
        <w:rPr>
          <w:rFonts w:ascii="Arial"/>
          <w:sz w:val="21"/>
        </w:rPr>
      </w:pPr>
    </w:p>
    <w:p w14:paraId="02C73C74">
      <w:pPr>
        <w:spacing w:line="243" w:lineRule="auto"/>
        <w:rPr>
          <w:rFonts w:ascii="Arial"/>
          <w:sz w:val="21"/>
        </w:rPr>
      </w:pPr>
    </w:p>
    <w:p w14:paraId="1881F35C">
      <w:pPr>
        <w:spacing w:line="243" w:lineRule="auto"/>
        <w:rPr>
          <w:rFonts w:ascii="Arial"/>
          <w:sz w:val="21"/>
        </w:rPr>
      </w:pPr>
    </w:p>
    <w:p w14:paraId="5CAD8B44">
      <w:pPr>
        <w:spacing w:line="243" w:lineRule="auto"/>
        <w:rPr>
          <w:rFonts w:ascii="Arial"/>
          <w:sz w:val="21"/>
        </w:rPr>
      </w:pPr>
    </w:p>
    <w:p w14:paraId="33109C66">
      <w:pPr>
        <w:spacing w:line="243" w:lineRule="auto"/>
        <w:rPr>
          <w:rFonts w:ascii="Arial"/>
          <w:sz w:val="21"/>
        </w:rPr>
      </w:pPr>
    </w:p>
    <w:p w14:paraId="1AFDF93A">
      <w:pPr>
        <w:spacing w:line="243" w:lineRule="auto"/>
        <w:rPr>
          <w:rFonts w:ascii="Arial"/>
          <w:sz w:val="21"/>
        </w:rPr>
      </w:pPr>
    </w:p>
    <w:p w14:paraId="258ACC20">
      <w:pPr>
        <w:spacing w:line="243" w:lineRule="auto"/>
        <w:rPr>
          <w:rFonts w:ascii="Arial"/>
          <w:sz w:val="21"/>
        </w:rPr>
      </w:pPr>
    </w:p>
    <w:p w14:paraId="313522F6">
      <w:pPr>
        <w:pStyle w:val="4"/>
        <w:tabs>
          <w:tab w:val="left" w:pos="7555"/>
        </w:tabs>
        <w:spacing w:before="91" w:line="424" w:lineRule="auto"/>
        <w:ind w:left="904" w:right="778"/>
        <w:jc w:val="both"/>
        <w:rPr>
          <w:rFonts w:ascii="Times New Roman" w:hAnsi="Times New Roman" w:eastAsia="Times New Roman" w:cs="Times New Roman"/>
          <w:sz w:val="22"/>
          <w:szCs w:val="22"/>
        </w:rPr>
      </w:pPr>
      <w:r>
        <w:rPr>
          <w:spacing w:val="-8"/>
        </w:rPr>
        <w:t>项</w:t>
      </w:r>
      <w:r>
        <w:rPr>
          <w:rFonts w:hint="eastAsia"/>
          <w:spacing w:val="-8"/>
          <w:lang w:val="en-US" w:eastAsia="zh-CN"/>
        </w:rPr>
        <w:t xml:space="preserve"> </w:t>
      </w:r>
      <w:r>
        <w:rPr>
          <w:spacing w:val="-8"/>
        </w:rPr>
        <w:t>目</w:t>
      </w:r>
      <w:r>
        <w:rPr>
          <w:rFonts w:hint="eastAsia"/>
          <w:spacing w:val="-8"/>
          <w:lang w:val="en-US" w:eastAsia="zh-CN"/>
        </w:rPr>
        <w:t xml:space="preserve"> </w:t>
      </w:r>
      <w:r>
        <w:rPr>
          <w:spacing w:val="-8"/>
        </w:rPr>
        <w:t>名</w:t>
      </w:r>
      <w:r>
        <w:rPr>
          <w:rFonts w:hint="eastAsia"/>
          <w:spacing w:val="-8"/>
          <w:lang w:val="en-US" w:eastAsia="zh-CN"/>
        </w:rPr>
        <w:t xml:space="preserve"> </w:t>
      </w:r>
      <w:r>
        <w:rPr>
          <w:spacing w:val="-8"/>
        </w:rPr>
        <w:t>称</w:t>
      </w:r>
      <w:r>
        <w:rPr>
          <w:rFonts w:hint="eastAsia"/>
          <w:spacing w:val="-8"/>
          <w:lang w:val="en-US" w:eastAsia="zh-CN"/>
        </w:rPr>
        <w:t>:</w:t>
      </w:r>
      <w:r>
        <w:rPr>
          <w:rFonts w:ascii="宋体" w:hAnsi="宋体" w:eastAsia="宋体" w:cs="宋体"/>
          <w:spacing w:val="57"/>
          <w:u w:val="single" w:color="auto"/>
        </w:rPr>
        <w:t xml:space="preserve"> </w:t>
      </w:r>
      <w:r>
        <w:rPr>
          <w:rFonts w:hint="eastAsia" w:ascii="宋体" w:hAnsi="宋体" w:eastAsia="宋体" w:cs="宋体"/>
          <w:b/>
          <w:bCs/>
          <w:spacing w:val="57"/>
          <w:sz w:val="22"/>
          <w:szCs w:val="22"/>
          <w:u w:val="single" w:color="auto"/>
          <w:lang w:val="en-US" w:eastAsia="zh-CN"/>
        </w:rPr>
        <w:t>极地光伏组件及阵列最优化设计</w:t>
      </w:r>
      <w:r>
        <w:rPr>
          <w:rFonts w:ascii="宋体" w:hAnsi="宋体" w:eastAsia="宋体" w:cs="宋体"/>
          <w:sz w:val="22"/>
          <w:szCs w:val="22"/>
          <w:u w:val="single" w:color="auto"/>
        </w:rPr>
        <w:tab/>
      </w:r>
      <w:r>
        <w:rPr>
          <w:rFonts w:ascii="宋体" w:hAnsi="宋体" w:eastAsia="宋体" w:cs="宋体"/>
          <w:sz w:val="22"/>
          <w:szCs w:val="22"/>
        </w:rPr>
        <w:t xml:space="preserve"> </w:t>
      </w:r>
      <w:r>
        <w:rPr>
          <w:rFonts w:ascii="Times New Roman" w:hAnsi="Times New Roman" w:eastAsia="Times New Roman" w:cs="Times New Roman"/>
          <w:sz w:val="22"/>
          <w:szCs w:val="22"/>
        </w:rPr>
        <w:t xml:space="preserve"> </w:t>
      </w:r>
    </w:p>
    <w:p w14:paraId="25B024B0">
      <w:pPr>
        <w:pStyle w:val="4"/>
        <w:tabs>
          <w:tab w:val="left" w:pos="7555"/>
        </w:tabs>
        <w:spacing w:before="91" w:line="424" w:lineRule="auto"/>
        <w:ind w:left="904" w:right="778"/>
        <w:jc w:val="both"/>
        <w:rPr>
          <w:rFonts w:ascii="宋体" w:hAnsi="宋体" w:eastAsia="宋体" w:cs="宋体"/>
          <w:u w:val="single" w:color="auto"/>
        </w:rPr>
      </w:pPr>
      <w:r>
        <w:rPr>
          <w:spacing w:val="-23"/>
        </w:rPr>
        <w:t>项</w:t>
      </w:r>
      <w:r>
        <w:rPr>
          <w:rFonts w:hint="eastAsia"/>
          <w:spacing w:val="-23"/>
          <w:lang w:val="en-US" w:eastAsia="zh-CN"/>
        </w:rPr>
        <w:t xml:space="preserve"> </w:t>
      </w:r>
      <w:r>
        <w:rPr>
          <w:spacing w:val="-23"/>
        </w:rPr>
        <w:t>目</w:t>
      </w:r>
      <w:r>
        <w:rPr>
          <w:rFonts w:hint="eastAsia"/>
          <w:spacing w:val="-23"/>
          <w:lang w:val="en-US" w:eastAsia="zh-CN"/>
        </w:rPr>
        <w:t xml:space="preserve"> </w:t>
      </w:r>
      <w:r>
        <w:rPr>
          <w:spacing w:val="-23"/>
        </w:rPr>
        <w:t>负</w:t>
      </w:r>
      <w:r>
        <w:rPr>
          <w:rFonts w:hint="eastAsia"/>
          <w:spacing w:val="-23"/>
          <w:lang w:val="en-US" w:eastAsia="zh-CN"/>
        </w:rPr>
        <w:t xml:space="preserve"> </w:t>
      </w:r>
      <w:r>
        <w:rPr>
          <w:spacing w:val="-23"/>
        </w:rPr>
        <w:t>责</w:t>
      </w:r>
      <w:r>
        <w:rPr>
          <w:rFonts w:hint="eastAsia"/>
          <w:spacing w:val="-23"/>
          <w:lang w:val="en-US" w:eastAsia="zh-CN"/>
        </w:rPr>
        <w:t xml:space="preserve"> </w:t>
      </w:r>
      <w:r>
        <w:rPr>
          <w:spacing w:val="-23"/>
        </w:rPr>
        <w:t>人：</w:t>
      </w:r>
      <w:r>
        <w:rPr>
          <w:spacing w:val="-33"/>
        </w:rPr>
        <w:t xml:space="preserve"> </w:t>
      </w:r>
      <w:r>
        <w:rPr>
          <w:rFonts w:ascii="宋体" w:hAnsi="宋体" w:eastAsia="宋体" w:cs="宋体"/>
          <w:spacing w:val="5"/>
          <w:u w:val="single" w:color="auto"/>
        </w:rPr>
        <w:t xml:space="preserve">        </w:t>
      </w:r>
      <w:r>
        <w:rPr>
          <w:rFonts w:hint="eastAsia" w:ascii="宋体" w:hAnsi="宋体" w:eastAsia="宋体" w:cs="宋体"/>
          <w:spacing w:val="5"/>
          <w:u w:val="single" w:color="auto"/>
          <w:lang w:val="en-US" w:eastAsia="zh-CN"/>
        </w:rPr>
        <w:t xml:space="preserve">   </w:t>
      </w:r>
      <w:r>
        <w:rPr>
          <w:rFonts w:hint="eastAsia" w:ascii="宋体" w:hAnsi="宋体" w:eastAsia="宋体" w:cs="宋体"/>
          <w:b/>
          <w:bCs/>
          <w:spacing w:val="5"/>
          <w:sz w:val="24"/>
          <w:szCs w:val="24"/>
          <w:u w:val="single" w:color="auto"/>
          <w:lang w:val="en-US" w:eastAsia="zh-CN"/>
        </w:rPr>
        <w:t>洪一涵</w:t>
      </w:r>
      <w:r>
        <w:rPr>
          <w:rFonts w:ascii="宋体" w:hAnsi="宋体" w:eastAsia="宋体" w:cs="宋体"/>
          <w:b/>
          <w:bCs/>
          <w:spacing w:val="5"/>
          <w:sz w:val="24"/>
          <w:szCs w:val="24"/>
          <w:u w:val="single" w:color="auto"/>
        </w:rPr>
        <w:t xml:space="preserve"> </w:t>
      </w:r>
      <w:r>
        <w:rPr>
          <w:rFonts w:ascii="宋体" w:hAnsi="宋体" w:eastAsia="宋体" w:cs="宋体"/>
          <w:b/>
          <w:bCs/>
          <w:spacing w:val="5"/>
          <w:u w:val="single" w:color="auto"/>
        </w:rPr>
        <w:t xml:space="preserve"> </w:t>
      </w:r>
      <w:r>
        <w:rPr>
          <w:rFonts w:ascii="宋体" w:hAnsi="宋体" w:eastAsia="宋体" w:cs="宋体"/>
          <w:spacing w:val="5"/>
          <w:u w:val="single" w:color="auto"/>
        </w:rPr>
        <w:t xml:space="preserve"> </w:t>
      </w:r>
      <w:r>
        <w:rPr>
          <w:rFonts w:ascii="宋体" w:hAnsi="宋体" w:eastAsia="宋体" w:cs="宋体"/>
          <w:u w:val="single" w:color="auto"/>
        </w:rPr>
        <w:tab/>
      </w:r>
    </w:p>
    <w:p w14:paraId="7DA78C24">
      <w:pPr>
        <w:pStyle w:val="4"/>
        <w:tabs>
          <w:tab w:val="left" w:pos="7555"/>
        </w:tabs>
        <w:spacing w:before="91" w:line="424" w:lineRule="auto"/>
        <w:ind w:left="904" w:right="778"/>
        <w:jc w:val="both"/>
        <w:rPr>
          <w:rFonts w:ascii="宋体" w:hAnsi="宋体" w:eastAsia="宋体" w:cs="宋体"/>
        </w:rPr>
      </w:pPr>
      <w:r>
        <w:rPr>
          <w:spacing w:val="-23"/>
        </w:rPr>
        <w:t>项</w:t>
      </w:r>
      <w:r>
        <w:rPr>
          <w:rFonts w:hint="eastAsia"/>
          <w:spacing w:val="-23"/>
          <w:lang w:val="en-US" w:eastAsia="zh-CN"/>
        </w:rPr>
        <w:t xml:space="preserve"> </w:t>
      </w:r>
      <w:r>
        <w:rPr>
          <w:spacing w:val="-23"/>
        </w:rPr>
        <w:t>目</w:t>
      </w:r>
      <w:r>
        <w:rPr>
          <w:rFonts w:hint="eastAsia"/>
          <w:spacing w:val="-23"/>
          <w:lang w:val="en-US" w:eastAsia="zh-CN"/>
        </w:rPr>
        <w:t xml:space="preserve"> 成 员</w:t>
      </w:r>
      <w:r>
        <w:rPr>
          <w:spacing w:val="-23"/>
        </w:rPr>
        <w:t>：</w:t>
      </w:r>
      <w:r>
        <w:rPr>
          <w:spacing w:val="-33"/>
        </w:rPr>
        <w:t xml:space="preserve"> </w:t>
      </w:r>
      <w:r>
        <w:rPr>
          <w:rFonts w:ascii="宋体" w:hAnsi="宋体" w:eastAsia="宋体" w:cs="宋体"/>
          <w:spacing w:val="5"/>
          <w:u w:val="single" w:color="auto"/>
        </w:rPr>
        <w:t xml:space="preserve">     </w:t>
      </w:r>
      <w:r>
        <w:rPr>
          <w:rFonts w:hint="eastAsia" w:ascii="宋体" w:hAnsi="宋体" w:eastAsia="宋体" w:cs="宋体"/>
          <w:spacing w:val="5"/>
          <w:u w:val="single" w:color="auto"/>
          <w:lang w:val="en-US" w:eastAsia="zh-CN"/>
        </w:rPr>
        <w:t xml:space="preserve">   </w:t>
      </w:r>
      <w:r>
        <w:rPr>
          <w:rFonts w:hint="eastAsia" w:ascii="宋体" w:hAnsi="宋体" w:eastAsia="宋体" w:cs="宋体"/>
          <w:b/>
          <w:bCs/>
          <w:spacing w:val="5"/>
          <w:sz w:val="24"/>
          <w:szCs w:val="24"/>
          <w:u w:val="single" w:color="auto"/>
          <w:lang w:val="en-US" w:eastAsia="zh-CN"/>
        </w:rPr>
        <w:t>王浩鑫 陈星宇 石晗旭</w:t>
      </w:r>
      <w:r>
        <w:rPr>
          <w:rFonts w:hint="eastAsia" w:ascii="宋体" w:hAnsi="宋体" w:eastAsia="宋体" w:cs="宋体"/>
          <w:b/>
          <w:bCs/>
          <w:spacing w:val="5"/>
          <w:u w:val="single" w:color="auto"/>
          <w:lang w:val="en-US" w:eastAsia="zh-CN"/>
        </w:rPr>
        <w:t xml:space="preserve">  </w:t>
      </w:r>
      <w:r>
        <w:rPr>
          <w:rFonts w:ascii="宋体" w:hAnsi="宋体" w:eastAsia="宋体" w:cs="宋体"/>
          <w:spacing w:val="5"/>
          <w:u w:val="single" w:color="auto"/>
        </w:rPr>
        <w:t xml:space="preserve"> </w:t>
      </w:r>
      <w:r>
        <w:rPr>
          <w:rFonts w:ascii="宋体" w:hAnsi="宋体" w:eastAsia="宋体" w:cs="宋体"/>
          <w:u w:val="single" w:color="auto"/>
        </w:rPr>
        <w:tab/>
      </w:r>
      <w:r>
        <w:rPr>
          <w:rFonts w:ascii="宋体" w:hAnsi="宋体" w:eastAsia="宋体" w:cs="宋体"/>
        </w:rPr>
        <w:t xml:space="preserve">  </w:t>
      </w:r>
    </w:p>
    <w:p w14:paraId="38CD17BA">
      <w:pPr>
        <w:pStyle w:val="4"/>
        <w:tabs>
          <w:tab w:val="left" w:pos="7555"/>
        </w:tabs>
        <w:spacing w:before="91" w:line="424" w:lineRule="auto"/>
        <w:ind w:left="904" w:right="778"/>
        <w:jc w:val="both"/>
        <w:rPr>
          <w:rFonts w:hint="default" w:ascii="宋体" w:hAnsi="宋体" w:eastAsia="宋体" w:cs="宋体"/>
          <w:lang w:val="en-US" w:eastAsia="zh-CN"/>
        </w:rPr>
      </w:pPr>
      <w:r>
        <w:rPr>
          <w:spacing w:val="-20"/>
        </w:rPr>
        <w:t>所</w:t>
      </w:r>
      <w:r>
        <w:rPr>
          <w:spacing w:val="14"/>
        </w:rPr>
        <w:t xml:space="preserve"> </w:t>
      </w:r>
      <w:r>
        <w:rPr>
          <w:spacing w:val="-20"/>
        </w:rPr>
        <w:t>在</w:t>
      </w:r>
      <w:r>
        <w:rPr>
          <w:spacing w:val="19"/>
        </w:rPr>
        <w:t xml:space="preserve"> </w:t>
      </w:r>
      <w:r>
        <w:rPr>
          <w:spacing w:val="-20"/>
        </w:rPr>
        <w:t>学</w:t>
      </w:r>
      <w:r>
        <w:rPr>
          <w:spacing w:val="20"/>
        </w:rPr>
        <w:t xml:space="preserve"> </w:t>
      </w:r>
      <w:r>
        <w:rPr>
          <w:spacing w:val="-20"/>
        </w:rPr>
        <w:t>院</w:t>
      </w:r>
      <w:r>
        <w:rPr>
          <w:spacing w:val="24"/>
        </w:rPr>
        <w:t xml:space="preserve"> </w:t>
      </w:r>
      <w:r>
        <w:rPr>
          <w:spacing w:val="-20"/>
        </w:rPr>
        <w:t>：</w:t>
      </w:r>
      <w:r>
        <w:rPr>
          <w:spacing w:val="-33"/>
        </w:rPr>
        <w:t xml:space="preserve"> </w:t>
      </w:r>
      <w:r>
        <w:rPr>
          <w:rFonts w:ascii="宋体" w:hAnsi="宋体" w:eastAsia="宋体" w:cs="宋体"/>
          <w:spacing w:val="11"/>
          <w:u w:val="single" w:color="auto"/>
        </w:rPr>
        <w:t xml:space="preserve">         </w:t>
      </w:r>
      <w:r>
        <w:rPr>
          <w:rFonts w:hint="eastAsia" w:ascii="宋体" w:hAnsi="宋体" w:eastAsia="宋体" w:cs="宋体"/>
          <w:b/>
          <w:bCs/>
          <w:spacing w:val="5"/>
          <w:sz w:val="24"/>
          <w:szCs w:val="24"/>
          <w:u w:val="single" w:color="auto"/>
          <w:lang w:val="en-US" w:eastAsia="zh-CN"/>
        </w:rPr>
        <w:t xml:space="preserve">自动化学院 </w:t>
      </w:r>
      <w:r>
        <w:rPr>
          <w:rFonts w:ascii="宋体" w:hAnsi="宋体" w:eastAsia="宋体" w:cs="宋体"/>
          <w:u w:val="single" w:color="auto"/>
        </w:rPr>
        <w:t xml:space="preserve">        </w:t>
      </w:r>
      <w:r>
        <w:rPr>
          <w:rFonts w:hint="eastAsia" w:ascii="宋体" w:hAnsi="宋体" w:eastAsia="宋体" w:cs="宋体"/>
          <w:u w:val="single" w:color="auto"/>
          <w:lang w:val="en-US" w:eastAsia="zh-CN"/>
        </w:rPr>
        <w:t>_____</w:t>
      </w:r>
    </w:p>
    <w:p w14:paraId="4D449412">
      <w:pPr>
        <w:pStyle w:val="4"/>
        <w:spacing w:before="3" w:line="223" w:lineRule="auto"/>
        <w:ind w:left="903"/>
        <w:rPr>
          <w:rFonts w:hint="default"/>
          <w:spacing w:val="1"/>
          <w:lang w:val="en-US" w:eastAsia="zh-CN"/>
        </w:rPr>
      </w:pPr>
      <w:r>
        <w:rPr>
          <w:spacing w:val="-18"/>
        </w:rPr>
        <w:t>指</w:t>
      </w:r>
      <w:r>
        <w:rPr>
          <w:spacing w:val="16"/>
        </w:rPr>
        <w:t xml:space="preserve"> </w:t>
      </w:r>
      <w:r>
        <w:rPr>
          <w:spacing w:val="-18"/>
        </w:rPr>
        <w:t>导</w:t>
      </w:r>
      <w:r>
        <w:rPr>
          <w:spacing w:val="12"/>
        </w:rPr>
        <w:t xml:space="preserve"> </w:t>
      </w:r>
      <w:r>
        <w:rPr>
          <w:spacing w:val="-18"/>
        </w:rPr>
        <w:t>教</w:t>
      </w:r>
      <w:r>
        <w:rPr>
          <w:spacing w:val="22"/>
        </w:rPr>
        <w:t xml:space="preserve"> </w:t>
      </w:r>
      <w:r>
        <w:rPr>
          <w:spacing w:val="-18"/>
        </w:rPr>
        <w:t>师</w:t>
      </w:r>
      <w:r>
        <w:rPr>
          <w:spacing w:val="24"/>
        </w:rPr>
        <w:t xml:space="preserve"> </w:t>
      </w:r>
      <w:r>
        <w:rPr>
          <w:spacing w:val="-18"/>
        </w:rPr>
        <w:t>：</w:t>
      </w:r>
      <w:r>
        <w:rPr>
          <w:rFonts w:hint="eastAsia"/>
          <w:spacing w:val="-18"/>
          <w:u w:val="single"/>
          <w:lang w:val="en-US" w:eastAsia="zh-CN"/>
        </w:rPr>
        <w:t xml:space="preserve">                </w:t>
      </w:r>
      <w:r>
        <w:rPr>
          <w:rFonts w:hint="eastAsia" w:ascii="宋体" w:hAnsi="宋体" w:eastAsia="宋体" w:cs="宋体"/>
          <w:b/>
          <w:bCs/>
          <w:spacing w:val="5"/>
          <w:sz w:val="24"/>
          <w:szCs w:val="24"/>
          <w:u w:val="single" w:color="auto"/>
          <w:lang w:val="en-US" w:eastAsia="zh-CN"/>
        </w:rPr>
        <w:t xml:space="preserve">张侃键 </w:t>
      </w:r>
      <w:r>
        <w:rPr>
          <w:rFonts w:hint="eastAsia"/>
          <w:b/>
          <w:bCs/>
          <w:spacing w:val="1"/>
          <w:sz w:val="28"/>
          <w:u w:val="single"/>
          <w:lang w:val="en-US" w:eastAsia="zh-CN"/>
        </w:rPr>
        <w:t xml:space="preserve">  </w:t>
      </w:r>
      <w:r>
        <w:rPr>
          <w:rFonts w:hint="eastAsia"/>
          <w:spacing w:val="1"/>
          <w:sz w:val="28"/>
          <w:u w:val="single"/>
          <w:lang w:val="en-US" w:eastAsia="zh-CN"/>
        </w:rPr>
        <w:t xml:space="preserve">            </w:t>
      </w:r>
    </w:p>
    <w:p w14:paraId="5976FE16">
      <w:pPr>
        <w:spacing w:line="273" w:lineRule="auto"/>
        <w:rPr>
          <w:rFonts w:ascii="Arial"/>
          <w:sz w:val="21"/>
        </w:rPr>
      </w:pPr>
    </w:p>
    <w:p w14:paraId="30D8D0C9">
      <w:pPr>
        <w:spacing w:line="273" w:lineRule="auto"/>
        <w:rPr>
          <w:rFonts w:ascii="Arial"/>
          <w:sz w:val="21"/>
        </w:rPr>
      </w:pPr>
    </w:p>
    <w:p w14:paraId="2C791C5C">
      <w:pPr>
        <w:spacing w:line="273" w:lineRule="auto"/>
        <w:rPr>
          <w:rFonts w:ascii="Arial"/>
          <w:sz w:val="21"/>
        </w:rPr>
      </w:pPr>
    </w:p>
    <w:p w14:paraId="74430CC5">
      <w:pPr>
        <w:spacing w:line="273" w:lineRule="auto"/>
        <w:rPr>
          <w:rFonts w:ascii="Arial"/>
          <w:sz w:val="21"/>
        </w:rPr>
      </w:pPr>
    </w:p>
    <w:p w14:paraId="3E582260">
      <w:pPr>
        <w:spacing w:line="273" w:lineRule="auto"/>
        <w:rPr>
          <w:rFonts w:ascii="Arial"/>
          <w:sz w:val="21"/>
        </w:rPr>
      </w:pPr>
    </w:p>
    <w:p w14:paraId="1B8A19DB">
      <w:pPr>
        <w:spacing w:line="273" w:lineRule="auto"/>
        <w:rPr>
          <w:rFonts w:ascii="Arial"/>
          <w:sz w:val="21"/>
        </w:rPr>
      </w:pPr>
    </w:p>
    <w:p w14:paraId="2E7E1057">
      <w:pPr>
        <w:spacing w:line="273" w:lineRule="auto"/>
        <w:rPr>
          <w:rFonts w:ascii="Arial"/>
          <w:sz w:val="21"/>
        </w:rPr>
      </w:pPr>
    </w:p>
    <w:p w14:paraId="2EB7B5B4">
      <w:pPr>
        <w:spacing w:line="273" w:lineRule="auto"/>
        <w:rPr>
          <w:rFonts w:ascii="Arial"/>
          <w:sz w:val="21"/>
        </w:rPr>
      </w:pPr>
    </w:p>
    <w:p w14:paraId="16ED33A9">
      <w:pPr>
        <w:spacing w:line="273" w:lineRule="auto"/>
        <w:rPr>
          <w:rFonts w:ascii="Arial"/>
          <w:sz w:val="21"/>
        </w:rPr>
      </w:pPr>
    </w:p>
    <w:p w14:paraId="4638C4E6">
      <w:pPr>
        <w:spacing w:line="273" w:lineRule="auto"/>
        <w:rPr>
          <w:rFonts w:ascii="Arial"/>
          <w:sz w:val="21"/>
        </w:rPr>
      </w:pPr>
    </w:p>
    <w:p w14:paraId="589B6CF0">
      <w:pPr>
        <w:spacing w:line="273" w:lineRule="auto"/>
        <w:rPr>
          <w:rFonts w:ascii="Arial"/>
          <w:sz w:val="21"/>
        </w:rPr>
      </w:pPr>
    </w:p>
    <w:p w14:paraId="43F3E765">
      <w:pPr>
        <w:spacing w:line="273" w:lineRule="auto"/>
        <w:rPr>
          <w:rFonts w:ascii="Arial"/>
          <w:sz w:val="21"/>
        </w:rPr>
      </w:pPr>
    </w:p>
    <w:p w14:paraId="2D540371">
      <w:pPr>
        <w:spacing w:line="273" w:lineRule="auto"/>
        <w:rPr>
          <w:rFonts w:ascii="Arial"/>
          <w:sz w:val="21"/>
        </w:rPr>
      </w:pPr>
    </w:p>
    <w:p w14:paraId="08F3287C">
      <w:pPr>
        <w:spacing w:line="273" w:lineRule="auto"/>
        <w:rPr>
          <w:rFonts w:ascii="Arial"/>
          <w:sz w:val="21"/>
        </w:rPr>
      </w:pPr>
    </w:p>
    <w:p w14:paraId="1FA6B41B">
      <w:pPr>
        <w:spacing w:line="273" w:lineRule="auto"/>
        <w:rPr>
          <w:rFonts w:ascii="Arial"/>
          <w:sz w:val="21"/>
        </w:rPr>
      </w:pPr>
    </w:p>
    <w:p w14:paraId="5E04D317">
      <w:pPr>
        <w:spacing w:line="273" w:lineRule="auto"/>
        <w:rPr>
          <w:rFonts w:ascii="Arial"/>
          <w:sz w:val="21"/>
        </w:rPr>
      </w:pPr>
    </w:p>
    <w:p w14:paraId="782C92E8">
      <w:pPr>
        <w:spacing w:line="273" w:lineRule="auto"/>
        <w:rPr>
          <w:rFonts w:ascii="Arial"/>
          <w:sz w:val="21"/>
        </w:rPr>
      </w:pPr>
    </w:p>
    <w:p w14:paraId="2C48D5A0">
      <w:pPr>
        <w:spacing w:line="273" w:lineRule="auto"/>
        <w:rPr>
          <w:rFonts w:ascii="Arial"/>
          <w:sz w:val="21"/>
        </w:rPr>
      </w:pPr>
    </w:p>
    <w:p w14:paraId="73E9F6F2">
      <w:pPr>
        <w:spacing w:line="273" w:lineRule="auto"/>
        <w:rPr>
          <w:rFonts w:ascii="Arial"/>
          <w:sz w:val="21"/>
        </w:rPr>
      </w:pPr>
    </w:p>
    <w:p w14:paraId="166CEC82">
      <w:pPr>
        <w:spacing w:line="273" w:lineRule="auto"/>
        <w:rPr>
          <w:rFonts w:ascii="Arial"/>
          <w:sz w:val="21"/>
        </w:rPr>
      </w:pPr>
    </w:p>
    <w:p w14:paraId="70571D11">
      <w:pPr>
        <w:spacing w:before="169" w:line="222" w:lineRule="auto"/>
        <w:jc w:val="center"/>
        <w:outlineLvl w:val="0"/>
        <w:rPr>
          <w:rFonts w:ascii="宋体" w:hAnsi="宋体" w:eastAsia="宋体" w:cs="宋体"/>
          <w:b/>
          <w:bCs/>
          <w:spacing w:val="-64"/>
          <w:sz w:val="52"/>
          <w:szCs w:val="52"/>
        </w:rPr>
      </w:pPr>
      <w:bookmarkStart w:id="0" w:name="_Toc8083"/>
      <w:bookmarkStart w:id="1" w:name="_Toc30192"/>
      <w:r>
        <w:rPr>
          <w:rFonts w:ascii="宋体" w:hAnsi="宋体" w:eastAsia="宋体" w:cs="宋体"/>
          <w:b/>
          <w:bCs/>
          <w:spacing w:val="-64"/>
          <w:sz w:val="52"/>
          <w:szCs w:val="52"/>
        </w:rPr>
        <w:t>目</w:t>
      </w:r>
      <w:r>
        <w:rPr>
          <w:rFonts w:hint="eastAsia" w:ascii="宋体" w:hAnsi="宋体" w:eastAsia="宋体" w:cs="宋体"/>
          <w:b/>
          <w:bCs/>
          <w:spacing w:val="-64"/>
          <w:sz w:val="52"/>
          <w:szCs w:val="52"/>
          <w:lang w:val="en-US" w:eastAsia="zh-CN"/>
        </w:rPr>
        <w:t xml:space="preserve">     </w:t>
      </w:r>
      <w:r>
        <w:rPr>
          <w:rFonts w:ascii="宋体" w:hAnsi="宋体" w:eastAsia="宋体" w:cs="宋体"/>
          <w:b/>
          <w:bCs/>
          <w:spacing w:val="-64"/>
          <w:sz w:val="52"/>
          <w:szCs w:val="52"/>
        </w:rPr>
        <w:t>录</w:t>
      </w:r>
      <w:bookmarkEnd w:id="0"/>
      <w:bookmarkEnd w:id="1"/>
    </w:p>
    <w:p w14:paraId="32F1D02F">
      <w:pPr>
        <w:widowControl/>
        <w:tabs>
          <w:tab w:val="right" w:leader="dot" w:pos="8320"/>
        </w:tabs>
        <w:kinsoku w:val="0"/>
        <w:autoSpaceDE w:val="0"/>
        <w:autoSpaceDN w:val="0"/>
        <w:adjustRightInd w:val="0"/>
        <w:snapToGrid w:val="0"/>
        <w:spacing w:before="102" w:line="193" w:lineRule="auto"/>
        <w:jc w:val="left"/>
        <w:textAlignment w:val="baseline"/>
        <w:outlineLvl w:val="9"/>
        <w:rPr>
          <w:rFonts w:hint="eastAsia" w:ascii="Times New Roman" w:hAnsi="Times New Roman" w:eastAsia="Times New Roman" w:cs="Times New Roman"/>
          <w:snapToGrid w:val="0"/>
          <w:color w:val="000000"/>
          <w:spacing w:val="5"/>
          <w:kern w:val="0"/>
          <w:sz w:val="24"/>
          <w:szCs w:val="24"/>
          <w:lang w:eastAsia="en-US"/>
        </w:rPr>
      </w:pPr>
    </w:p>
    <w:p w14:paraId="09E7529C">
      <w:pPr>
        <w:widowControl/>
        <w:tabs>
          <w:tab w:val="right" w:leader="dot" w:pos="8320"/>
        </w:tabs>
        <w:kinsoku w:val="0"/>
        <w:autoSpaceDE w:val="0"/>
        <w:autoSpaceDN w:val="0"/>
        <w:adjustRightInd w:val="0"/>
        <w:snapToGrid w:val="0"/>
        <w:spacing w:before="102" w:line="193" w:lineRule="auto"/>
        <w:jc w:val="left"/>
        <w:textAlignment w:val="baseline"/>
        <w:outlineLvl w:val="9"/>
        <w:rPr>
          <w:rFonts w:hint="eastAsia" w:ascii="Times New Roman" w:hAnsi="Times New Roman" w:eastAsia="Times New Roman" w:cs="Times New Roman"/>
          <w:snapToGrid w:val="0"/>
          <w:color w:val="000000"/>
          <w:spacing w:val="5"/>
          <w:kern w:val="0"/>
          <w:sz w:val="24"/>
          <w:szCs w:val="24"/>
          <w:lang w:eastAsia="en-US"/>
        </w:rPr>
      </w:pPr>
      <w:r>
        <w:rPr>
          <w:rFonts w:hint="eastAsia" w:ascii="Times New Roman" w:hAnsi="Times New Roman" w:eastAsia="Times New Roman" w:cs="Times New Roman"/>
          <w:snapToGrid w:val="0"/>
          <w:color w:val="000000"/>
          <w:spacing w:val="5"/>
          <w:kern w:val="0"/>
          <w:sz w:val="24"/>
          <w:szCs w:val="24"/>
          <w:lang w:eastAsia="en-US"/>
        </w:rPr>
        <w:t xml:space="preserve">一.  文献综述  </w:t>
      </w:r>
    </w:p>
    <w:p w14:paraId="3C2CF15F">
      <w:pPr>
        <w:widowControl/>
        <w:tabs>
          <w:tab w:val="right" w:leader="dot" w:pos="8320"/>
        </w:tabs>
        <w:kinsoku w:val="0"/>
        <w:autoSpaceDE w:val="0"/>
        <w:autoSpaceDN w:val="0"/>
        <w:adjustRightInd w:val="0"/>
        <w:snapToGrid w:val="0"/>
        <w:spacing w:before="102" w:line="193" w:lineRule="auto"/>
        <w:jc w:val="left"/>
        <w:textAlignment w:val="baseline"/>
        <w:outlineLvl w:val="9"/>
        <w:rPr>
          <w:rFonts w:hint="eastAsia" w:ascii="Times New Roman" w:hAnsi="Times New Roman" w:eastAsia="Times New Roman" w:cs="Times New Roman"/>
          <w:snapToGrid w:val="0"/>
          <w:color w:val="000000"/>
          <w:spacing w:val="5"/>
          <w:kern w:val="0"/>
          <w:sz w:val="21"/>
          <w:szCs w:val="21"/>
          <w:lang w:eastAsia="en-US"/>
        </w:rPr>
      </w:pPr>
      <w:r>
        <w:rPr>
          <w:rFonts w:hint="eastAsia" w:ascii="Times New Roman" w:hAnsi="Times New Roman" w:eastAsia="Times New Roman" w:cs="Times New Roman"/>
          <w:snapToGrid w:val="0"/>
          <w:color w:val="000000"/>
          <w:spacing w:val="5"/>
          <w:kern w:val="0"/>
          <w:sz w:val="21"/>
          <w:szCs w:val="21"/>
          <w:lang w:eastAsia="en-US"/>
        </w:rPr>
        <w:t xml:space="preserve">1、极地光伏系统环境特性与挑战 </w:t>
      </w:r>
    </w:p>
    <w:p w14:paraId="3B595593">
      <w:pPr>
        <w:widowControl/>
        <w:tabs>
          <w:tab w:val="right" w:leader="dot" w:pos="8320"/>
        </w:tabs>
        <w:kinsoku w:val="0"/>
        <w:autoSpaceDE w:val="0"/>
        <w:autoSpaceDN w:val="0"/>
        <w:adjustRightInd w:val="0"/>
        <w:snapToGrid w:val="0"/>
        <w:spacing w:before="102" w:line="193" w:lineRule="auto"/>
        <w:jc w:val="left"/>
        <w:textAlignment w:val="baseline"/>
        <w:outlineLvl w:val="9"/>
        <w:rPr>
          <w:rFonts w:hint="eastAsia" w:ascii="Times New Roman" w:hAnsi="Times New Roman" w:eastAsia="Times New Roman" w:cs="Times New Roman"/>
          <w:snapToGrid w:val="0"/>
          <w:color w:val="000000"/>
          <w:spacing w:val="5"/>
          <w:kern w:val="0"/>
          <w:sz w:val="21"/>
          <w:szCs w:val="21"/>
          <w:lang w:eastAsia="en-US"/>
        </w:rPr>
      </w:pPr>
      <w:r>
        <w:rPr>
          <w:rFonts w:hint="eastAsia" w:ascii="Times New Roman" w:hAnsi="Times New Roman" w:eastAsia="Times New Roman" w:cs="Times New Roman"/>
          <w:snapToGrid w:val="0"/>
          <w:color w:val="000000"/>
          <w:spacing w:val="5"/>
          <w:kern w:val="0"/>
          <w:sz w:val="21"/>
          <w:szCs w:val="21"/>
          <w:lang w:eastAsia="en-US"/>
        </w:rPr>
        <w:t xml:space="preserve">2、光伏组件光学性能优化模型 </w:t>
      </w:r>
    </w:p>
    <w:p w14:paraId="45C18B40">
      <w:pPr>
        <w:widowControl/>
        <w:tabs>
          <w:tab w:val="right" w:leader="dot" w:pos="8320"/>
        </w:tabs>
        <w:kinsoku w:val="0"/>
        <w:autoSpaceDE w:val="0"/>
        <w:autoSpaceDN w:val="0"/>
        <w:adjustRightInd w:val="0"/>
        <w:snapToGrid w:val="0"/>
        <w:spacing w:before="102" w:line="193" w:lineRule="auto"/>
        <w:jc w:val="left"/>
        <w:textAlignment w:val="baseline"/>
        <w:outlineLvl w:val="9"/>
        <w:rPr>
          <w:rFonts w:hint="eastAsia" w:ascii="Times New Roman" w:hAnsi="Times New Roman" w:eastAsia="Times New Roman" w:cs="Times New Roman"/>
          <w:snapToGrid w:val="0"/>
          <w:color w:val="000000"/>
          <w:spacing w:val="5"/>
          <w:kern w:val="0"/>
          <w:sz w:val="21"/>
          <w:szCs w:val="21"/>
          <w:lang w:eastAsia="en-US"/>
        </w:rPr>
      </w:pPr>
      <w:r>
        <w:rPr>
          <w:rFonts w:hint="eastAsia" w:ascii="Times New Roman" w:hAnsi="Times New Roman" w:eastAsia="Times New Roman" w:cs="Times New Roman"/>
          <w:snapToGrid w:val="0"/>
          <w:color w:val="000000"/>
          <w:spacing w:val="5"/>
          <w:kern w:val="0"/>
          <w:sz w:val="21"/>
          <w:szCs w:val="21"/>
          <w:lang w:eastAsia="en-US"/>
        </w:rPr>
        <w:t>3、高纬度系统构型选择与优化</w:t>
      </w:r>
    </w:p>
    <w:p w14:paraId="7B010CC4">
      <w:pPr>
        <w:widowControl/>
        <w:tabs>
          <w:tab w:val="right" w:leader="dot" w:pos="8320"/>
        </w:tabs>
        <w:kinsoku w:val="0"/>
        <w:autoSpaceDE w:val="0"/>
        <w:autoSpaceDN w:val="0"/>
        <w:adjustRightInd w:val="0"/>
        <w:snapToGrid w:val="0"/>
        <w:spacing w:before="102" w:line="193" w:lineRule="auto"/>
        <w:jc w:val="left"/>
        <w:textAlignment w:val="baseline"/>
        <w:outlineLvl w:val="9"/>
        <w:rPr>
          <w:rFonts w:hint="eastAsia" w:ascii="Times New Roman" w:hAnsi="Times New Roman" w:eastAsia="Times New Roman" w:cs="Times New Roman"/>
          <w:snapToGrid w:val="0"/>
          <w:color w:val="000000"/>
          <w:spacing w:val="5"/>
          <w:kern w:val="0"/>
          <w:sz w:val="21"/>
          <w:szCs w:val="21"/>
          <w:lang w:eastAsia="en-US"/>
        </w:rPr>
      </w:pPr>
      <w:r>
        <w:rPr>
          <w:rFonts w:hint="eastAsia" w:ascii="Times New Roman" w:hAnsi="Times New Roman" w:eastAsia="Times New Roman" w:cs="Times New Roman"/>
          <w:snapToGrid w:val="0"/>
          <w:color w:val="000000"/>
          <w:spacing w:val="5"/>
          <w:kern w:val="0"/>
          <w:sz w:val="21"/>
          <w:szCs w:val="21"/>
          <w:lang w:eastAsia="en-US"/>
        </w:rPr>
        <w:t>4、严寒环境下的积雪损失评估</w:t>
      </w:r>
    </w:p>
    <w:p w14:paraId="2ADD46F4">
      <w:pPr>
        <w:widowControl/>
        <w:tabs>
          <w:tab w:val="right" w:leader="dot" w:pos="8320"/>
        </w:tabs>
        <w:kinsoku w:val="0"/>
        <w:autoSpaceDE w:val="0"/>
        <w:autoSpaceDN w:val="0"/>
        <w:adjustRightInd w:val="0"/>
        <w:snapToGrid w:val="0"/>
        <w:spacing w:before="102" w:line="193" w:lineRule="auto"/>
        <w:jc w:val="left"/>
        <w:textAlignment w:val="baseline"/>
        <w:outlineLvl w:val="9"/>
        <w:rPr>
          <w:rFonts w:hint="eastAsia" w:ascii="Times New Roman" w:hAnsi="Times New Roman" w:eastAsia="Times New Roman" w:cs="Times New Roman"/>
          <w:snapToGrid w:val="0"/>
          <w:color w:val="000000"/>
          <w:spacing w:val="5"/>
          <w:kern w:val="0"/>
          <w:sz w:val="24"/>
          <w:szCs w:val="24"/>
          <w:lang w:eastAsia="en-US"/>
        </w:rPr>
      </w:pPr>
    </w:p>
    <w:p w14:paraId="7A3B73FC">
      <w:pPr>
        <w:widowControl/>
        <w:tabs>
          <w:tab w:val="right" w:leader="dot" w:pos="8320"/>
        </w:tabs>
        <w:kinsoku w:val="0"/>
        <w:autoSpaceDE w:val="0"/>
        <w:autoSpaceDN w:val="0"/>
        <w:adjustRightInd w:val="0"/>
        <w:snapToGrid w:val="0"/>
        <w:spacing w:before="102" w:line="193" w:lineRule="auto"/>
        <w:jc w:val="left"/>
        <w:textAlignment w:val="baseline"/>
        <w:outlineLvl w:val="9"/>
        <w:rPr>
          <w:rFonts w:hint="eastAsia" w:ascii="Times New Roman" w:hAnsi="Times New Roman" w:eastAsia="Times New Roman" w:cs="Times New Roman"/>
          <w:snapToGrid w:val="0"/>
          <w:color w:val="000000"/>
          <w:spacing w:val="5"/>
          <w:kern w:val="0"/>
          <w:sz w:val="24"/>
          <w:szCs w:val="24"/>
          <w:lang w:eastAsia="en-US"/>
        </w:rPr>
      </w:pPr>
      <w:r>
        <w:rPr>
          <w:rFonts w:hint="eastAsia" w:ascii="Times New Roman" w:hAnsi="Times New Roman" w:eastAsia="Times New Roman" w:cs="Times New Roman"/>
          <w:snapToGrid w:val="0"/>
          <w:color w:val="000000"/>
          <w:spacing w:val="5"/>
          <w:kern w:val="0"/>
          <w:sz w:val="24"/>
          <w:szCs w:val="24"/>
          <w:lang w:eastAsia="en-US"/>
        </w:rPr>
        <w:t>二、项目进展状况</w:t>
      </w:r>
    </w:p>
    <w:p w14:paraId="3D69C516">
      <w:pPr>
        <w:widowControl/>
        <w:tabs>
          <w:tab w:val="right" w:leader="dot" w:pos="8320"/>
        </w:tabs>
        <w:kinsoku w:val="0"/>
        <w:autoSpaceDE w:val="0"/>
        <w:autoSpaceDN w:val="0"/>
        <w:adjustRightInd w:val="0"/>
        <w:snapToGrid w:val="0"/>
        <w:spacing w:before="102" w:line="193" w:lineRule="auto"/>
        <w:jc w:val="left"/>
        <w:textAlignment w:val="baseline"/>
        <w:outlineLvl w:val="9"/>
        <w:rPr>
          <w:rFonts w:hint="eastAsia" w:ascii="Times New Roman" w:hAnsi="Times New Roman" w:eastAsia="Times New Roman" w:cs="Times New Roman"/>
          <w:snapToGrid w:val="0"/>
          <w:color w:val="000000"/>
          <w:spacing w:val="5"/>
          <w:kern w:val="0"/>
          <w:sz w:val="21"/>
          <w:szCs w:val="21"/>
          <w:lang w:val="en-US" w:eastAsia="zh-CN"/>
        </w:rPr>
      </w:pPr>
      <w:r>
        <w:rPr>
          <w:rFonts w:hint="eastAsia" w:ascii="Times New Roman" w:hAnsi="Times New Roman" w:eastAsia="Times New Roman" w:cs="Times New Roman"/>
          <w:snapToGrid w:val="0"/>
          <w:color w:val="000000"/>
          <w:spacing w:val="5"/>
          <w:kern w:val="0"/>
          <w:sz w:val="21"/>
          <w:szCs w:val="21"/>
          <w:lang w:eastAsia="en-US"/>
        </w:rPr>
        <w:t>1、</w:t>
      </w:r>
      <w:r>
        <w:rPr>
          <w:rFonts w:hint="eastAsia" w:ascii="Times New Roman" w:hAnsi="Times New Roman" w:eastAsia="Times New Roman" w:cs="Times New Roman"/>
          <w:snapToGrid w:val="0"/>
          <w:color w:val="000000"/>
          <w:spacing w:val="5"/>
          <w:kern w:val="0"/>
          <w:sz w:val="21"/>
          <w:szCs w:val="21"/>
          <w:lang w:val="en-US" w:eastAsia="zh-CN"/>
        </w:rPr>
        <w:t>各部分具体进展</w:t>
      </w:r>
    </w:p>
    <w:p w14:paraId="32EF80A8">
      <w:pPr>
        <w:widowControl/>
        <w:tabs>
          <w:tab w:val="right" w:leader="dot" w:pos="8320"/>
        </w:tabs>
        <w:kinsoku w:val="0"/>
        <w:autoSpaceDE w:val="0"/>
        <w:autoSpaceDN w:val="0"/>
        <w:adjustRightInd w:val="0"/>
        <w:snapToGrid w:val="0"/>
        <w:spacing w:before="102" w:line="193" w:lineRule="auto"/>
        <w:jc w:val="left"/>
        <w:textAlignment w:val="baseline"/>
        <w:outlineLvl w:val="9"/>
        <w:rPr>
          <w:rFonts w:hint="default" w:ascii="Times New Roman" w:hAnsi="Times New Roman" w:eastAsia="Times New Roman" w:cs="Times New Roman"/>
          <w:snapToGrid w:val="0"/>
          <w:color w:val="000000"/>
          <w:spacing w:val="5"/>
          <w:kern w:val="0"/>
          <w:sz w:val="21"/>
          <w:szCs w:val="21"/>
          <w:lang w:val="en-US" w:eastAsia="zh-CN"/>
        </w:rPr>
      </w:pPr>
      <w:r>
        <w:rPr>
          <w:rFonts w:hint="eastAsia" w:ascii="Times New Roman" w:hAnsi="Times New Roman" w:eastAsia="Times New Roman" w:cs="Times New Roman"/>
          <w:snapToGrid w:val="0"/>
          <w:color w:val="000000"/>
          <w:spacing w:val="5"/>
          <w:kern w:val="0"/>
          <w:sz w:val="21"/>
          <w:szCs w:val="21"/>
          <w:lang w:val="en-US" w:eastAsia="zh-CN"/>
        </w:rPr>
        <w:t>2、进展状况小结</w:t>
      </w:r>
    </w:p>
    <w:p w14:paraId="01606BDD">
      <w:pPr>
        <w:widowControl/>
        <w:tabs>
          <w:tab w:val="right" w:leader="dot" w:pos="8320"/>
        </w:tabs>
        <w:kinsoku w:val="0"/>
        <w:autoSpaceDE w:val="0"/>
        <w:autoSpaceDN w:val="0"/>
        <w:adjustRightInd w:val="0"/>
        <w:snapToGrid w:val="0"/>
        <w:spacing w:before="102" w:line="193" w:lineRule="auto"/>
        <w:jc w:val="left"/>
        <w:textAlignment w:val="baseline"/>
        <w:outlineLvl w:val="9"/>
        <w:rPr>
          <w:rFonts w:hint="eastAsia" w:ascii="Times New Roman" w:hAnsi="Times New Roman" w:eastAsia="Times New Roman" w:cs="Times New Roman"/>
          <w:snapToGrid w:val="0"/>
          <w:color w:val="000000"/>
          <w:spacing w:val="5"/>
          <w:kern w:val="0"/>
          <w:sz w:val="21"/>
          <w:szCs w:val="21"/>
          <w:lang w:eastAsia="en-US"/>
        </w:rPr>
      </w:pPr>
      <w:r>
        <w:rPr>
          <w:rFonts w:hint="eastAsia" w:ascii="Times New Roman" w:hAnsi="Times New Roman" w:eastAsia="Times New Roman" w:cs="Times New Roman"/>
          <w:snapToGrid w:val="0"/>
          <w:color w:val="000000"/>
          <w:spacing w:val="5"/>
          <w:kern w:val="0"/>
          <w:sz w:val="21"/>
          <w:szCs w:val="21"/>
          <w:lang w:eastAsia="en-US"/>
        </w:rPr>
        <w:t>3、项目存在问题及解决方案</w:t>
      </w:r>
    </w:p>
    <w:p w14:paraId="2F4B3CA3">
      <w:pPr>
        <w:widowControl/>
        <w:tabs>
          <w:tab w:val="right" w:leader="dot" w:pos="8320"/>
        </w:tabs>
        <w:kinsoku w:val="0"/>
        <w:autoSpaceDE w:val="0"/>
        <w:autoSpaceDN w:val="0"/>
        <w:adjustRightInd w:val="0"/>
        <w:snapToGrid w:val="0"/>
        <w:spacing w:before="102" w:line="193" w:lineRule="auto"/>
        <w:jc w:val="left"/>
        <w:textAlignment w:val="baseline"/>
        <w:outlineLvl w:val="9"/>
        <w:rPr>
          <w:rFonts w:hint="eastAsia" w:ascii="Times New Roman" w:hAnsi="Times New Roman" w:eastAsia="Times New Roman" w:cs="Times New Roman"/>
          <w:snapToGrid w:val="0"/>
          <w:color w:val="000000"/>
          <w:spacing w:val="5"/>
          <w:kern w:val="0"/>
          <w:sz w:val="21"/>
          <w:szCs w:val="21"/>
          <w:lang w:eastAsia="en-US"/>
        </w:rPr>
      </w:pPr>
      <w:r>
        <w:rPr>
          <w:rFonts w:hint="eastAsia" w:ascii="Times New Roman" w:hAnsi="Times New Roman" w:eastAsia="Times New Roman" w:cs="Times New Roman"/>
          <w:snapToGrid w:val="0"/>
          <w:color w:val="000000"/>
          <w:spacing w:val="5"/>
          <w:kern w:val="0"/>
          <w:sz w:val="21"/>
          <w:szCs w:val="21"/>
          <w:lang w:eastAsia="en-US"/>
        </w:rPr>
        <w:t>4、 经费使用情况及经费安排计划</w:t>
      </w:r>
    </w:p>
    <w:p w14:paraId="6942495B">
      <w:pPr>
        <w:widowControl/>
        <w:tabs>
          <w:tab w:val="right" w:leader="dot" w:pos="8320"/>
        </w:tabs>
        <w:kinsoku w:val="0"/>
        <w:autoSpaceDE w:val="0"/>
        <w:autoSpaceDN w:val="0"/>
        <w:adjustRightInd w:val="0"/>
        <w:snapToGrid w:val="0"/>
        <w:spacing w:before="102" w:line="193" w:lineRule="auto"/>
        <w:jc w:val="left"/>
        <w:textAlignment w:val="baseline"/>
        <w:outlineLvl w:val="9"/>
        <w:rPr>
          <w:rFonts w:hint="eastAsia" w:ascii="Times New Roman" w:hAnsi="Times New Roman" w:eastAsia="Times New Roman" w:cs="Times New Roman"/>
          <w:snapToGrid w:val="0"/>
          <w:color w:val="000000"/>
          <w:spacing w:val="5"/>
          <w:kern w:val="0"/>
          <w:sz w:val="21"/>
          <w:szCs w:val="21"/>
          <w:lang w:val="en-US" w:eastAsia="zh-CN"/>
        </w:rPr>
      </w:pPr>
      <w:r>
        <w:rPr>
          <w:rFonts w:hint="eastAsia" w:ascii="Times New Roman" w:hAnsi="Times New Roman" w:eastAsia="Times New Roman" w:cs="Times New Roman"/>
          <w:snapToGrid w:val="0"/>
          <w:color w:val="000000"/>
          <w:spacing w:val="5"/>
          <w:kern w:val="0"/>
          <w:sz w:val="21"/>
          <w:szCs w:val="21"/>
          <w:lang w:val="en-US" w:eastAsia="zh-CN"/>
        </w:rPr>
        <w:t>5、已取得成果</w:t>
      </w:r>
      <w:bookmarkStart w:id="34" w:name="_GoBack"/>
      <w:bookmarkEnd w:id="34"/>
    </w:p>
    <w:p w14:paraId="5133C1C6">
      <w:pPr>
        <w:widowControl/>
        <w:tabs>
          <w:tab w:val="right" w:leader="dot" w:pos="8320"/>
        </w:tabs>
        <w:kinsoku w:val="0"/>
        <w:autoSpaceDE w:val="0"/>
        <w:autoSpaceDN w:val="0"/>
        <w:adjustRightInd w:val="0"/>
        <w:snapToGrid w:val="0"/>
        <w:spacing w:before="102" w:line="193" w:lineRule="auto"/>
        <w:jc w:val="left"/>
        <w:textAlignment w:val="baseline"/>
        <w:outlineLvl w:val="9"/>
        <w:rPr>
          <w:rFonts w:hint="default" w:ascii="Times New Roman" w:hAnsi="Times New Roman" w:eastAsia="Times New Roman" w:cs="Times New Roman"/>
          <w:snapToGrid w:val="0"/>
          <w:color w:val="000000"/>
          <w:spacing w:val="5"/>
          <w:kern w:val="0"/>
          <w:sz w:val="24"/>
          <w:szCs w:val="24"/>
          <w:lang w:val="en-US" w:eastAsia="zh-CN"/>
        </w:rPr>
      </w:pPr>
    </w:p>
    <w:p w14:paraId="60384330">
      <w:pPr>
        <w:widowControl/>
        <w:numPr>
          <w:ilvl w:val="0"/>
          <w:numId w:val="1"/>
        </w:numPr>
        <w:tabs>
          <w:tab w:val="right" w:leader="dot" w:pos="8320"/>
        </w:tabs>
        <w:kinsoku w:val="0"/>
        <w:autoSpaceDE w:val="0"/>
        <w:autoSpaceDN w:val="0"/>
        <w:adjustRightInd w:val="0"/>
        <w:snapToGrid w:val="0"/>
        <w:spacing w:before="102" w:line="193" w:lineRule="auto"/>
        <w:jc w:val="left"/>
        <w:textAlignment w:val="baseline"/>
        <w:outlineLvl w:val="9"/>
        <w:rPr>
          <w:rFonts w:hint="eastAsia" w:ascii="Times New Roman" w:hAnsi="Times New Roman" w:eastAsia="Times New Roman" w:cs="Times New Roman"/>
          <w:snapToGrid w:val="0"/>
          <w:color w:val="000000"/>
          <w:spacing w:val="5"/>
          <w:kern w:val="0"/>
          <w:sz w:val="24"/>
          <w:szCs w:val="24"/>
          <w:lang w:eastAsia="en-US"/>
        </w:rPr>
      </w:pPr>
      <w:r>
        <w:rPr>
          <w:rFonts w:hint="eastAsia" w:ascii="Times New Roman" w:hAnsi="Times New Roman" w:eastAsia="Times New Roman" w:cs="Times New Roman"/>
          <w:snapToGrid w:val="0"/>
          <w:color w:val="000000"/>
          <w:spacing w:val="5"/>
          <w:kern w:val="0"/>
          <w:sz w:val="24"/>
          <w:szCs w:val="24"/>
          <w:lang w:eastAsia="en-US"/>
        </w:rPr>
        <w:t>项目今后计划</w:t>
      </w:r>
    </w:p>
    <w:p w14:paraId="14CDD121">
      <w:pPr>
        <w:widowControl/>
        <w:numPr>
          <w:numId w:val="0"/>
        </w:numPr>
        <w:tabs>
          <w:tab w:val="right" w:leader="dot" w:pos="8320"/>
        </w:tabs>
        <w:kinsoku w:val="0"/>
        <w:autoSpaceDE w:val="0"/>
        <w:autoSpaceDN w:val="0"/>
        <w:adjustRightInd w:val="0"/>
        <w:snapToGrid w:val="0"/>
        <w:spacing w:before="102" w:line="193" w:lineRule="auto"/>
        <w:jc w:val="left"/>
        <w:textAlignment w:val="baseline"/>
        <w:outlineLvl w:val="9"/>
        <w:rPr>
          <w:rFonts w:hint="eastAsia" w:ascii="Times New Roman" w:hAnsi="Times New Roman" w:eastAsia="Times New Roman" w:cs="Times New Roman"/>
          <w:snapToGrid w:val="0"/>
          <w:color w:val="000000"/>
          <w:spacing w:val="5"/>
          <w:kern w:val="0"/>
          <w:sz w:val="24"/>
          <w:szCs w:val="24"/>
          <w:lang w:eastAsia="en-US"/>
        </w:rPr>
      </w:pPr>
    </w:p>
    <w:p w14:paraId="199479E3">
      <w:pPr>
        <w:outlineLvl w:val="9"/>
        <w:rPr>
          <w:rFonts w:hint="eastAsia" w:ascii="Times New Roman" w:hAnsi="Times New Roman" w:eastAsia="Times New Roman" w:cs="Times New Roman"/>
          <w:snapToGrid w:val="0"/>
          <w:color w:val="000000"/>
          <w:spacing w:val="5"/>
          <w:kern w:val="0"/>
          <w:sz w:val="24"/>
          <w:szCs w:val="24"/>
          <w:lang w:eastAsia="en-US"/>
        </w:rPr>
      </w:pPr>
      <w:r>
        <w:rPr>
          <w:rFonts w:hint="eastAsia" w:ascii="Times New Roman" w:hAnsi="Times New Roman" w:eastAsia="Times New Roman" w:cs="Times New Roman"/>
          <w:snapToGrid w:val="0"/>
          <w:color w:val="000000"/>
          <w:spacing w:val="5"/>
          <w:kern w:val="0"/>
          <w:sz w:val="24"/>
          <w:szCs w:val="24"/>
          <w:lang w:val="en-US" w:eastAsia="zh-CN"/>
        </w:rPr>
        <w:t>四</w:t>
      </w:r>
      <w:r>
        <w:rPr>
          <w:rFonts w:hint="eastAsia" w:ascii="Times New Roman" w:hAnsi="Times New Roman" w:eastAsia="Times New Roman" w:cs="Times New Roman"/>
          <w:snapToGrid w:val="0"/>
          <w:color w:val="000000"/>
          <w:spacing w:val="5"/>
          <w:kern w:val="0"/>
          <w:sz w:val="24"/>
          <w:szCs w:val="24"/>
          <w:lang w:eastAsia="en-US"/>
        </w:rPr>
        <w:t xml:space="preserve">、参考文献 </w:t>
      </w:r>
    </w:p>
    <w:p w14:paraId="5233CD64">
      <w:pPr>
        <w:spacing w:before="0" w:beforeLines="0" w:after="0" w:afterLines="0" w:line="240" w:lineRule="auto"/>
        <w:ind w:left="0" w:leftChars="0" w:right="0" w:rightChars="0" w:firstLine="0" w:firstLineChars="0"/>
        <w:jc w:val="center"/>
        <w:rPr>
          <w:rFonts w:hint="eastAsia" w:ascii="Times New Roman" w:hAnsi="Times New Roman" w:eastAsia="Times New Roman" w:cs="Times New Roman"/>
          <w:snapToGrid w:val="0"/>
          <w:color w:val="000000"/>
          <w:spacing w:val="5"/>
          <w:kern w:val="0"/>
          <w:sz w:val="24"/>
          <w:szCs w:val="24"/>
          <w:lang w:eastAsia="en-US"/>
        </w:rPr>
        <w:sectPr>
          <w:pgSz w:w="11906" w:h="16838"/>
          <w:pgMar w:top="1440" w:right="1800" w:bottom="1440" w:left="1800" w:header="851" w:footer="992" w:gutter="0"/>
          <w:cols w:space="425" w:num="1"/>
          <w:docGrid w:type="lines" w:linePitch="312" w:charSpace="0"/>
        </w:sectPr>
      </w:pPr>
    </w:p>
    <w:p w14:paraId="5C00DB5D">
      <w:pPr>
        <w:numPr>
          <w:ilvl w:val="0"/>
          <w:numId w:val="0"/>
        </w:numPr>
        <w:spacing w:before="91" w:line="221" w:lineRule="auto"/>
        <w:ind w:left="3411" w:leftChars="0"/>
        <w:outlineLvl w:val="0"/>
        <w:rPr>
          <w:rFonts w:hint="default" w:ascii="宋体" w:hAnsi="宋体" w:eastAsia="宋体" w:cs="宋体"/>
          <w:b/>
          <w:bCs/>
          <w:spacing w:val="-7"/>
          <w:sz w:val="32"/>
          <w:szCs w:val="32"/>
          <w:lang w:val="en-US" w:eastAsia="zh-CN"/>
        </w:rPr>
      </w:pPr>
      <w:bookmarkStart w:id="2" w:name="_Toc7607"/>
      <w:bookmarkStart w:id="3" w:name="_Toc28949"/>
      <w:r>
        <w:rPr>
          <w:rFonts w:hint="eastAsia" w:ascii="宋体" w:hAnsi="宋体" w:eastAsia="宋体" w:cs="宋体"/>
          <w:b/>
          <w:bCs/>
          <w:snapToGrid w:val="0"/>
          <w:color w:val="000000"/>
          <w:spacing w:val="-7"/>
          <w:kern w:val="0"/>
          <w:sz w:val="32"/>
          <w:szCs w:val="32"/>
          <w:lang w:val="en-US" w:eastAsia="zh-CN" w:bidi="ar-SA"/>
        </w:rPr>
        <w:t>一.</w:t>
      </w:r>
      <w:r>
        <w:rPr>
          <w:rFonts w:hint="default" w:ascii="宋体" w:hAnsi="宋体" w:eastAsia="宋体" w:cs="宋体"/>
          <w:b/>
          <w:bCs/>
          <w:spacing w:val="-7"/>
          <w:sz w:val="32"/>
          <w:szCs w:val="32"/>
          <w:lang w:val="en-US" w:eastAsia="zh-CN"/>
        </w:rPr>
        <w:t>文献综述</w:t>
      </w:r>
      <w:bookmarkEnd w:id="2"/>
      <w:bookmarkEnd w:id="3"/>
    </w:p>
    <w:p w14:paraId="7C7733AA">
      <w:pPr>
        <w:numPr>
          <w:ilvl w:val="0"/>
          <w:numId w:val="0"/>
        </w:numPr>
        <w:spacing w:before="91" w:line="221" w:lineRule="auto"/>
        <w:outlineLvl w:val="9"/>
        <w:rPr>
          <w:rFonts w:hint="eastAsia" w:ascii="宋体" w:hAnsi="宋体" w:eastAsia="宋体" w:cs="宋体"/>
          <w:b/>
          <w:bCs/>
          <w:spacing w:val="-7"/>
          <w:sz w:val="28"/>
          <w:szCs w:val="28"/>
          <w:lang w:val="en-US" w:eastAsia="zh-CN"/>
        </w:rPr>
      </w:pPr>
    </w:p>
    <w:p w14:paraId="3FC846F5">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b/>
          <w:bCs/>
          <w:snapToGrid w:val="0"/>
          <w:color w:val="000000"/>
          <w:kern w:val="0"/>
          <w:sz w:val="24"/>
          <w:szCs w:val="24"/>
          <w:lang w:val="en-US" w:eastAsia="zh-CN" w:bidi="ar"/>
        </w:rPr>
        <w:t>摘要</w:t>
      </w:r>
      <w:r>
        <w:rPr>
          <w:rFonts w:hint="default" w:ascii="宋体" w:hAnsi="宋体" w:eastAsia="宋体" w:cs="宋体"/>
          <w:snapToGrid w:val="0"/>
          <w:color w:val="000000"/>
          <w:kern w:val="0"/>
          <w:sz w:val="24"/>
          <w:szCs w:val="24"/>
          <w:lang w:val="en-US" w:eastAsia="zh-CN" w:bidi="ar"/>
        </w:rPr>
        <w:t>： 随着全球能源转型及极地科考需求的增加，高纬度及极地环境下的光伏（PV）发电技术成为近年来的研究热点。由于极地地区具有太阳高度角极低、地表反照率高以及严寒多雪</w:t>
      </w:r>
      <w:r>
        <w:rPr>
          <w:rFonts w:hint="default" w:ascii="宋体" w:hAnsi="宋体" w:eastAsia="宋体" w:cs="宋体"/>
          <w:spacing w:val="-3"/>
          <w:sz w:val="24"/>
          <w:szCs w:val="24"/>
          <w:lang w:val="en-US" w:eastAsia="zh-CN"/>
        </w:rPr>
        <w:t>等特殊环境特征，传统光伏模型在评估有效辐照度及发电性能时存在显著误差。本文针对极地光伏组件的最新研究现状，从光谱反照率特性、光学性能修正模型、系统构型优化以及积雪损失评估、</w:t>
      </w:r>
      <w:r>
        <w:rPr>
          <w:rFonts w:hint="eastAsia" w:ascii="宋体" w:hAnsi="宋体" w:eastAsia="宋体" w:cs="宋体"/>
          <w:spacing w:val="-3"/>
          <w:sz w:val="24"/>
          <w:szCs w:val="24"/>
          <w:lang w:val="en-US" w:eastAsia="zh-CN"/>
        </w:rPr>
        <w:t>系统设计及阴影遮挡等</w:t>
      </w:r>
      <w:r>
        <w:rPr>
          <w:rFonts w:hint="default" w:ascii="宋体" w:hAnsi="宋体" w:eastAsia="宋体" w:cs="宋体"/>
          <w:spacing w:val="-3"/>
          <w:sz w:val="24"/>
          <w:szCs w:val="24"/>
          <w:lang w:val="en-US" w:eastAsia="zh-CN"/>
        </w:rPr>
        <w:t>维度进行了综述，探讨了</w:t>
      </w:r>
      <w:r>
        <w:rPr>
          <w:rFonts w:hint="eastAsia" w:ascii="宋体" w:hAnsi="宋体" w:eastAsia="宋体" w:cs="宋体"/>
          <w:spacing w:val="-3"/>
          <w:sz w:val="24"/>
          <w:szCs w:val="24"/>
          <w:lang w:val="en-US" w:eastAsia="zh-CN"/>
        </w:rPr>
        <w:t>当代光伏</w:t>
      </w:r>
      <w:r>
        <w:rPr>
          <w:rFonts w:hint="default" w:ascii="宋体" w:hAnsi="宋体" w:eastAsia="宋体" w:cs="宋体"/>
          <w:spacing w:val="-3"/>
          <w:sz w:val="24"/>
          <w:szCs w:val="24"/>
          <w:lang w:val="en-US" w:eastAsia="zh-CN"/>
        </w:rPr>
        <w:t>技术在极地环境下的增益潜</w:t>
      </w:r>
      <w:r>
        <w:rPr>
          <w:rFonts w:hint="default" w:ascii="宋体" w:hAnsi="宋体" w:eastAsia="宋体" w:cs="宋体"/>
          <w:snapToGrid w:val="0"/>
          <w:color w:val="000000"/>
          <w:kern w:val="0"/>
          <w:sz w:val="24"/>
          <w:szCs w:val="24"/>
          <w:lang w:val="en-US" w:eastAsia="zh-CN" w:bidi="ar"/>
        </w:rPr>
        <w:t>力，并总结了当前环境感知与模拟技术的特点。</w:t>
      </w:r>
    </w:p>
    <w:p w14:paraId="61CC6635">
      <w:pPr>
        <w:keepNext w:val="0"/>
        <w:keepLines w:val="0"/>
        <w:widowControl/>
        <w:suppressLineNumbers w:val="0"/>
        <w:ind w:firstLine="420" w:firstLineChars="0"/>
        <w:jc w:val="left"/>
        <w:rPr>
          <w:rFonts w:hint="default" w:ascii="宋体" w:hAnsi="宋体" w:eastAsia="宋体" w:cs="宋体"/>
          <w:snapToGrid w:val="0"/>
          <w:color w:val="000000"/>
          <w:kern w:val="0"/>
          <w:sz w:val="24"/>
          <w:szCs w:val="24"/>
          <w:lang w:val="en-US" w:eastAsia="zh-CN" w:bidi="ar"/>
        </w:rPr>
      </w:pPr>
    </w:p>
    <w:p w14:paraId="4F1C33C9">
      <w:pPr>
        <w:keepNext w:val="0"/>
        <w:keepLines w:val="0"/>
        <w:widowControl/>
        <w:suppressLineNumbers w:val="0"/>
        <w:spacing w:line="360" w:lineRule="auto"/>
        <w:ind w:firstLine="420" w:firstLineChars="0"/>
        <w:jc w:val="left"/>
        <w:rPr>
          <w:rFonts w:hint="eastAsia" w:ascii="宋体" w:hAnsi="宋体" w:eastAsia="宋体" w:cs="宋体"/>
          <w:snapToGrid w:val="0"/>
          <w:color w:val="000000"/>
          <w:kern w:val="0"/>
          <w:sz w:val="24"/>
          <w:szCs w:val="24"/>
          <w:lang w:val="en-US" w:eastAsia="zh-CN" w:bidi="ar"/>
        </w:rPr>
      </w:pPr>
      <w:r>
        <w:rPr>
          <w:rFonts w:hint="default" w:ascii="宋体" w:hAnsi="宋体" w:eastAsia="宋体" w:cs="宋体"/>
          <w:b/>
          <w:bCs/>
          <w:snapToGrid w:val="0"/>
          <w:color w:val="000000"/>
          <w:kern w:val="0"/>
          <w:sz w:val="24"/>
          <w:szCs w:val="24"/>
          <w:lang w:val="en-US" w:eastAsia="zh-CN" w:bidi="ar"/>
        </w:rPr>
        <w:t>关键词</w:t>
      </w:r>
      <w:r>
        <w:rPr>
          <w:rFonts w:hint="default" w:ascii="宋体" w:hAnsi="宋体" w:eastAsia="宋体" w:cs="宋体"/>
          <w:snapToGrid w:val="0"/>
          <w:color w:val="000000"/>
          <w:kern w:val="0"/>
          <w:sz w:val="24"/>
          <w:szCs w:val="24"/>
          <w:lang w:val="en-US" w:eastAsia="zh-CN" w:bidi="ar"/>
        </w:rPr>
        <w:t>： 极地光伏</w:t>
      </w:r>
      <w:r>
        <w:rPr>
          <w:rFonts w:hint="eastAsia" w:ascii="宋体" w:hAnsi="宋体" w:eastAsia="宋体" w:cs="宋体"/>
          <w:snapToGrid w:val="0"/>
          <w:color w:val="000000"/>
          <w:kern w:val="0"/>
          <w:sz w:val="24"/>
          <w:szCs w:val="24"/>
          <w:lang w:val="en-US" w:eastAsia="zh-CN" w:bidi="ar"/>
        </w:rPr>
        <w:t xml:space="preserve">, 组件角度, </w:t>
      </w:r>
      <w:r>
        <w:rPr>
          <w:rFonts w:hint="default" w:ascii="宋体" w:hAnsi="宋体" w:eastAsia="宋体" w:cs="宋体"/>
          <w:snapToGrid w:val="0"/>
          <w:color w:val="000000"/>
          <w:kern w:val="0"/>
          <w:sz w:val="24"/>
          <w:szCs w:val="24"/>
          <w:lang w:val="en-US" w:eastAsia="zh-CN" w:bidi="ar"/>
        </w:rPr>
        <w:t>反照率修正</w:t>
      </w:r>
      <w:r>
        <w:rPr>
          <w:rFonts w:hint="eastAsia" w:ascii="宋体" w:hAnsi="宋体" w:eastAsia="宋体" w:cs="宋体"/>
          <w:snapToGrid w:val="0"/>
          <w:color w:val="000000"/>
          <w:kern w:val="0"/>
          <w:sz w:val="24"/>
          <w:szCs w:val="24"/>
          <w:lang w:val="en-US" w:eastAsia="zh-CN" w:bidi="ar"/>
        </w:rPr>
        <w:t xml:space="preserve">, </w:t>
      </w:r>
      <w:r>
        <w:rPr>
          <w:rFonts w:hint="default" w:ascii="宋体" w:hAnsi="宋体" w:eastAsia="宋体" w:cs="宋体"/>
          <w:snapToGrid w:val="0"/>
          <w:color w:val="000000"/>
          <w:kern w:val="0"/>
          <w:sz w:val="24"/>
          <w:szCs w:val="24"/>
          <w:lang w:val="en-US" w:eastAsia="zh-CN" w:bidi="ar"/>
        </w:rPr>
        <w:t>积雪损失</w:t>
      </w:r>
      <w:r>
        <w:rPr>
          <w:rFonts w:hint="eastAsia" w:ascii="宋体" w:hAnsi="宋体" w:eastAsia="宋体" w:cs="宋体"/>
          <w:snapToGrid w:val="0"/>
          <w:color w:val="000000"/>
          <w:kern w:val="0"/>
          <w:sz w:val="24"/>
          <w:szCs w:val="24"/>
          <w:lang w:val="en-US" w:eastAsia="zh-CN" w:bidi="ar"/>
        </w:rPr>
        <w:t>模型, 阴影遮挡, 阵列系统</w:t>
      </w:r>
    </w:p>
    <w:p w14:paraId="4B825FA3">
      <w:pPr>
        <w:keepNext w:val="0"/>
        <w:keepLines w:val="0"/>
        <w:widowControl/>
        <w:suppressLineNumbers w:val="0"/>
        <w:ind w:firstLine="420" w:firstLineChars="0"/>
        <w:jc w:val="left"/>
        <w:rPr>
          <w:rFonts w:hint="eastAsia" w:ascii="宋体" w:hAnsi="宋体" w:eastAsia="宋体" w:cs="宋体"/>
          <w:snapToGrid w:val="0"/>
          <w:color w:val="000000"/>
          <w:kern w:val="0"/>
          <w:sz w:val="24"/>
          <w:szCs w:val="24"/>
          <w:lang w:val="en-US" w:eastAsia="zh-CN" w:bidi="ar"/>
        </w:rPr>
      </w:pPr>
    </w:p>
    <w:p w14:paraId="416DF932">
      <w:pPr>
        <w:keepNext w:val="0"/>
        <w:keepLines w:val="0"/>
        <w:widowControl/>
        <w:suppressLineNumbers w:val="0"/>
        <w:ind w:firstLine="420" w:firstLineChars="0"/>
        <w:jc w:val="left"/>
        <w:rPr>
          <w:rFonts w:hint="eastAsia" w:ascii="宋体" w:hAnsi="宋体" w:eastAsia="宋体" w:cs="宋体"/>
          <w:snapToGrid w:val="0"/>
          <w:color w:val="000000"/>
          <w:kern w:val="0"/>
          <w:sz w:val="24"/>
          <w:szCs w:val="24"/>
          <w:lang w:val="en-US" w:eastAsia="zh-CN" w:bidi="ar"/>
        </w:rPr>
      </w:pPr>
    </w:p>
    <w:p w14:paraId="1FFDE92A">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firstLine="420" w:firstLineChars="0"/>
        <w:jc w:val="left"/>
        <w:textAlignment w:val="baseline"/>
        <w:rPr>
          <w:rFonts w:hint="default" w:ascii="Calibri" w:hAnsi="Calibri" w:eastAsia="宋体" w:cs="Calibri"/>
          <w:snapToGrid w:val="0"/>
          <w:color w:val="000000"/>
          <w:kern w:val="0"/>
          <w:sz w:val="24"/>
          <w:szCs w:val="24"/>
          <w:lang w:val="en-US" w:eastAsia="zh-CN" w:bidi="ar"/>
        </w:rPr>
      </w:pPr>
      <w:r>
        <w:rPr>
          <w:rFonts w:hint="default" w:ascii="Calibri" w:hAnsi="Calibri" w:eastAsia="宋体" w:cs="Calibri"/>
          <w:b/>
          <w:bCs/>
          <w:snapToGrid w:val="0"/>
          <w:color w:val="000000"/>
          <w:kern w:val="0"/>
          <w:sz w:val="24"/>
          <w:szCs w:val="24"/>
          <w:lang w:val="en-US" w:eastAsia="zh-CN" w:bidi="ar"/>
        </w:rPr>
        <w:t>Abstract</w:t>
      </w:r>
      <w:r>
        <w:rPr>
          <w:rFonts w:hint="default" w:ascii="Calibri" w:hAnsi="Calibri" w:eastAsia="宋体" w:cs="Calibri"/>
          <w:snapToGrid w:val="0"/>
          <w:color w:val="000000"/>
          <w:kern w:val="0"/>
          <w:sz w:val="24"/>
          <w:szCs w:val="24"/>
          <w:lang w:val="en-US" w:eastAsia="zh-CN" w:bidi="ar"/>
        </w:rPr>
        <w:t>: </w:t>
      </w:r>
      <w:r>
        <w:rPr>
          <w:rFonts w:hint="eastAsia" w:ascii="Calibri" w:hAnsi="Calibri" w:eastAsia="宋体" w:cs="Calibri"/>
          <w:snapToGrid w:val="0"/>
          <w:color w:val="000000"/>
          <w:kern w:val="0"/>
          <w:sz w:val="24"/>
          <w:szCs w:val="24"/>
          <w:lang w:val="en-US" w:eastAsia="zh-CN" w:bidi="ar"/>
        </w:rPr>
        <w:t xml:space="preserve"> </w:t>
      </w:r>
      <w:r>
        <w:rPr>
          <w:rFonts w:hint="default" w:ascii="Calibri" w:hAnsi="Calibri" w:eastAsia="宋体" w:cs="Calibri"/>
          <w:snapToGrid w:val="0"/>
          <w:color w:val="000000"/>
          <w:kern w:val="0"/>
          <w:sz w:val="24"/>
          <w:szCs w:val="24"/>
          <w:lang w:val="en-US" w:eastAsia="zh-CN" w:bidi="ar"/>
        </w:rPr>
        <w:t>With the increasing global energy transition and the growing demand for polar scientific expeditions, photovoltaic (PV) power generation technology in high-latitude and polar environments has become a research hotspot in recent years. Due to the unique environmental characteristics of polar regions, such as extremely low solar elevation angles, high surface albedo, and harsh, snowy conditions, traditional PV models exhibit significant errors in evaluating effective irradiance and power generation performance. This paper reviews the current state of research on polar PV modules, focusing on four dimensions: spectral albedo characteristics, optical performance correction models, system configuration optimization, and snow loss assessment. It explores the potential gains of bifacial photovoltaic (bPV) technology in polar environments and summarizes the characteristics of current environmental perception and simulation technologies.</w:t>
      </w:r>
    </w:p>
    <w:p w14:paraId="72A971AC">
      <w:pPr>
        <w:keepNext w:val="0"/>
        <w:keepLines w:val="0"/>
        <w:widowControl/>
        <w:suppressLineNumbers w:val="0"/>
        <w:ind w:firstLine="420" w:firstLineChars="0"/>
        <w:jc w:val="left"/>
        <w:rPr>
          <w:rFonts w:hint="default" w:ascii="Calibri" w:hAnsi="Calibri" w:eastAsia="宋体" w:cs="Calibri"/>
          <w:snapToGrid w:val="0"/>
          <w:color w:val="000000"/>
          <w:kern w:val="0"/>
          <w:sz w:val="24"/>
          <w:szCs w:val="24"/>
          <w:lang w:val="en-US" w:eastAsia="zh-CN" w:bidi="ar"/>
        </w:rPr>
      </w:pPr>
    </w:p>
    <w:p w14:paraId="4B578445">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firstLine="420" w:firstLineChars="0"/>
        <w:jc w:val="left"/>
        <w:textAlignment w:val="baseline"/>
        <w:rPr>
          <w:rFonts w:hint="default" w:ascii="Calibri" w:hAnsi="Calibri" w:eastAsia="宋体" w:cs="Calibri"/>
          <w:snapToGrid w:val="0"/>
          <w:color w:val="000000"/>
          <w:kern w:val="0"/>
          <w:sz w:val="24"/>
          <w:szCs w:val="24"/>
          <w:lang w:val="en-US" w:eastAsia="zh-CN" w:bidi="ar"/>
        </w:rPr>
      </w:pPr>
      <w:r>
        <w:rPr>
          <w:rFonts w:hint="default" w:ascii="Calibri" w:hAnsi="Calibri" w:eastAsia="宋体" w:cs="Calibri"/>
          <w:b/>
          <w:bCs/>
          <w:snapToGrid w:val="0"/>
          <w:color w:val="000000"/>
          <w:kern w:val="0"/>
          <w:sz w:val="24"/>
          <w:szCs w:val="24"/>
          <w:lang w:val="en-US" w:eastAsia="zh-CN" w:bidi="ar"/>
        </w:rPr>
        <w:t>Keywords</w:t>
      </w:r>
      <w:r>
        <w:rPr>
          <w:rFonts w:hint="default" w:ascii="Calibri" w:hAnsi="Calibri" w:eastAsia="宋体" w:cs="Calibri"/>
          <w:snapToGrid w:val="0"/>
          <w:color w:val="000000"/>
          <w:kern w:val="0"/>
          <w:sz w:val="24"/>
          <w:szCs w:val="24"/>
          <w:lang w:val="en-US" w:eastAsia="zh-CN" w:bidi="ar"/>
        </w:rPr>
        <w:t>:</w:t>
      </w:r>
      <w:r>
        <w:rPr>
          <w:rFonts w:hint="eastAsia" w:ascii="Calibri" w:hAnsi="Calibri" w:eastAsia="宋体" w:cs="Calibri"/>
          <w:snapToGrid w:val="0"/>
          <w:color w:val="000000"/>
          <w:kern w:val="0"/>
          <w:sz w:val="24"/>
          <w:szCs w:val="24"/>
          <w:lang w:val="en-US" w:eastAsia="zh-CN" w:bidi="ar"/>
        </w:rPr>
        <w:t xml:space="preserve"> </w:t>
      </w:r>
      <w:r>
        <w:rPr>
          <w:rFonts w:hint="default" w:ascii="Calibri" w:hAnsi="Calibri" w:eastAsia="宋体" w:cs="Calibri"/>
          <w:snapToGrid w:val="0"/>
          <w:color w:val="000000"/>
          <w:kern w:val="0"/>
          <w:sz w:val="24"/>
          <w:szCs w:val="24"/>
          <w:lang w:val="en-US" w:eastAsia="zh-CN" w:bidi="ar"/>
        </w:rPr>
        <w:t> polar photovoltaic, module angle, albedo correction, snow loss model, shading, array system</w:t>
      </w:r>
    </w:p>
    <w:p w14:paraId="70F8DEE5">
      <w:pPr>
        <w:keepNext w:val="0"/>
        <w:keepLines w:val="0"/>
        <w:widowControl/>
        <w:suppressLineNumbers w:val="0"/>
        <w:ind w:firstLine="420" w:firstLineChars="0"/>
        <w:jc w:val="left"/>
        <w:rPr>
          <w:rFonts w:hint="eastAsia" w:ascii="宋体" w:hAnsi="宋体" w:eastAsia="宋体" w:cs="宋体"/>
          <w:snapToGrid w:val="0"/>
          <w:color w:val="000000"/>
          <w:kern w:val="0"/>
          <w:sz w:val="24"/>
          <w:szCs w:val="24"/>
          <w:lang w:val="en-US" w:eastAsia="zh-CN" w:bidi="ar"/>
        </w:rPr>
      </w:pPr>
    </w:p>
    <w:p w14:paraId="7834FD3D">
      <w:pPr>
        <w:keepNext w:val="0"/>
        <w:keepLines w:val="0"/>
        <w:widowControl/>
        <w:suppressLineNumbers w:val="0"/>
        <w:ind w:firstLine="420" w:firstLineChars="0"/>
        <w:jc w:val="left"/>
        <w:rPr>
          <w:rFonts w:hint="default" w:ascii="宋体" w:hAnsi="宋体" w:eastAsia="宋体" w:cs="宋体"/>
          <w:snapToGrid w:val="0"/>
          <w:color w:val="000000"/>
          <w:kern w:val="0"/>
          <w:sz w:val="24"/>
          <w:szCs w:val="24"/>
          <w:lang w:val="en-US" w:eastAsia="zh-CN" w:bidi="ar"/>
        </w:rPr>
      </w:pPr>
    </w:p>
    <w:p w14:paraId="1A8BB345">
      <w:pPr>
        <w:keepNext w:val="0"/>
        <w:keepLines w:val="0"/>
        <w:widowControl/>
        <w:suppressLineNumbers w:val="0"/>
        <w:ind w:firstLine="420" w:firstLineChars="0"/>
        <w:jc w:val="left"/>
        <w:rPr>
          <w:rFonts w:hint="default" w:ascii="宋体" w:hAnsi="宋体" w:eastAsia="宋体" w:cs="宋体"/>
          <w:snapToGrid w:val="0"/>
          <w:color w:val="000000"/>
          <w:kern w:val="0"/>
          <w:sz w:val="24"/>
          <w:szCs w:val="24"/>
          <w:lang w:val="en-US" w:eastAsia="zh-CN" w:bidi="ar"/>
        </w:rPr>
      </w:pPr>
    </w:p>
    <w:p w14:paraId="6F36246F">
      <w:pPr>
        <w:keepNext w:val="0"/>
        <w:keepLines w:val="0"/>
        <w:widowControl/>
        <w:suppressLineNumbers w:val="0"/>
        <w:ind w:firstLine="420" w:firstLineChars="0"/>
        <w:jc w:val="left"/>
        <w:rPr>
          <w:rFonts w:hint="default" w:ascii="宋体" w:hAnsi="宋体" w:eastAsia="宋体" w:cs="宋体"/>
          <w:snapToGrid w:val="0"/>
          <w:color w:val="000000"/>
          <w:kern w:val="0"/>
          <w:sz w:val="24"/>
          <w:szCs w:val="24"/>
          <w:lang w:val="en-US" w:eastAsia="zh-CN" w:bidi="ar"/>
        </w:rPr>
      </w:pPr>
    </w:p>
    <w:p w14:paraId="035BB53F">
      <w:pPr>
        <w:keepNext w:val="0"/>
        <w:keepLines w:val="0"/>
        <w:widowControl/>
        <w:suppressLineNumbers w:val="0"/>
        <w:ind w:firstLine="420" w:firstLineChars="0"/>
        <w:jc w:val="left"/>
        <w:rPr>
          <w:rFonts w:hint="default" w:ascii="宋体" w:hAnsi="宋体" w:eastAsia="宋体" w:cs="宋体"/>
          <w:snapToGrid w:val="0"/>
          <w:color w:val="000000"/>
          <w:kern w:val="0"/>
          <w:sz w:val="24"/>
          <w:szCs w:val="24"/>
          <w:lang w:val="en-US" w:eastAsia="zh-CN" w:bidi="ar"/>
        </w:rPr>
      </w:pPr>
    </w:p>
    <w:p w14:paraId="54723EAE">
      <w:pPr>
        <w:keepNext w:val="0"/>
        <w:keepLines w:val="0"/>
        <w:widowControl/>
        <w:suppressLineNumbers w:val="0"/>
        <w:ind w:firstLine="420" w:firstLineChars="0"/>
        <w:jc w:val="left"/>
        <w:rPr>
          <w:rFonts w:hint="default" w:ascii="宋体" w:hAnsi="宋体" w:eastAsia="宋体" w:cs="宋体"/>
          <w:snapToGrid w:val="0"/>
          <w:color w:val="000000"/>
          <w:kern w:val="0"/>
          <w:sz w:val="24"/>
          <w:szCs w:val="24"/>
          <w:lang w:val="en-US" w:eastAsia="zh-CN" w:bidi="ar"/>
        </w:rPr>
      </w:pPr>
    </w:p>
    <w:p w14:paraId="7B59092F">
      <w:pPr>
        <w:keepNext w:val="0"/>
        <w:keepLines w:val="0"/>
        <w:widowControl/>
        <w:suppressLineNumbers w:val="0"/>
        <w:jc w:val="left"/>
        <w:rPr>
          <w:rFonts w:hint="default" w:ascii="宋体" w:hAnsi="宋体" w:eastAsia="宋体" w:cs="宋体"/>
          <w:snapToGrid w:val="0"/>
          <w:color w:val="000000"/>
          <w:kern w:val="0"/>
          <w:sz w:val="24"/>
          <w:szCs w:val="24"/>
          <w:lang w:val="en-US" w:eastAsia="zh-CN" w:bidi="ar"/>
        </w:rPr>
      </w:pPr>
    </w:p>
    <w:p w14:paraId="5B305285">
      <w:pPr>
        <w:keepNext w:val="0"/>
        <w:keepLines w:val="0"/>
        <w:widowControl/>
        <w:suppressLineNumbers w:val="0"/>
        <w:spacing w:line="360" w:lineRule="auto"/>
        <w:ind w:firstLine="420" w:firstLineChars="0"/>
        <w:jc w:val="left"/>
        <w:rPr>
          <w:rFonts w:hint="default" w:ascii="宋体" w:hAnsi="宋体" w:eastAsia="宋体" w:cs="宋体"/>
          <w:b/>
          <w:bCs/>
          <w:spacing w:val="-3"/>
          <w:sz w:val="24"/>
          <w:szCs w:val="24"/>
          <w:lang w:val="en-US" w:eastAsia="zh-CN"/>
        </w:rPr>
      </w:pPr>
      <w:r>
        <w:rPr>
          <w:rFonts w:hint="default" w:ascii="宋体" w:hAnsi="宋体" w:eastAsia="宋体" w:cs="宋体"/>
          <w:b/>
          <w:bCs/>
          <w:spacing w:val="-3"/>
          <w:sz w:val="24"/>
          <w:szCs w:val="24"/>
          <w:lang w:val="en-US" w:eastAsia="zh-CN"/>
        </w:rPr>
        <w:t>1、极地光伏系统环境特性与挑战</w:t>
      </w:r>
    </w:p>
    <w:p w14:paraId="58EB4703">
      <w:pPr>
        <w:keepNext w:val="0"/>
        <w:keepLines w:val="0"/>
        <w:widowControl/>
        <w:suppressLineNumbers w:val="0"/>
        <w:spacing w:line="360" w:lineRule="auto"/>
        <w:ind w:firstLine="420" w:firstLineChars="0"/>
        <w:jc w:val="left"/>
        <w:rPr>
          <w:rFonts w:hint="default" w:ascii="宋体" w:hAnsi="宋体" w:eastAsia="宋体" w:cs="宋体"/>
          <w:spacing w:val="-3"/>
          <w:sz w:val="24"/>
          <w:szCs w:val="24"/>
          <w:lang w:val="en-US" w:eastAsia="zh-CN"/>
        </w:rPr>
      </w:pPr>
      <w:r>
        <w:rPr>
          <w:rFonts w:hint="default" w:ascii="宋体" w:hAnsi="宋体" w:eastAsia="宋体" w:cs="宋体"/>
          <w:spacing w:val="-3"/>
          <w:sz w:val="24"/>
          <w:szCs w:val="24"/>
          <w:lang w:val="en-US" w:eastAsia="zh-CN"/>
        </w:rPr>
        <w:t>极地及高纬度地区的光伏应用面临独特的挑战。首先是太阳运动轨迹的极端性，太阳长期处于低高度角运行（</w:t>
      </w:r>
      <w:r>
        <w:rPr>
          <w:rFonts w:hint="eastAsia" w:ascii="宋体" w:hAnsi="宋体" w:eastAsia="宋体" w:cs="宋体"/>
          <w:spacing w:val="-3"/>
          <w:sz w:val="24"/>
          <w:szCs w:val="24"/>
          <w:lang w:val="en-US" w:eastAsia="zh-CN"/>
        </w:rPr>
        <w:t>θ&lt;</w:t>
      </w:r>
      <w:r>
        <w:rPr>
          <w:rFonts w:hint="default" w:ascii="宋体" w:hAnsi="宋体" w:eastAsia="宋体" w:cs="宋体"/>
          <w:spacing w:val="-3"/>
          <w:sz w:val="24"/>
          <w:szCs w:val="24"/>
          <w:lang w:val="en-US" w:eastAsia="zh-CN"/>
        </w:rPr>
        <w:t>10∘），导致光线在大气中的路径变长，光谱发生显著红移。其次，极地冰雪覆盖带来了极高的地面反照率（通常超过 0.85），这为双面组件提供了巨大的能量增益空间。</w:t>
      </w:r>
    </w:p>
    <w:p w14:paraId="6EFDFA63">
      <w:pPr>
        <w:keepNext w:val="0"/>
        <w:keepLines w:val="0"/>
        <w:widowControl/>
        <w:suppressLineNumbers w:val="0"/>
        <w:spacing w:line="360" w:lineRule="auto"/>
        <w:ind w:firstLine="420" w:firstLineChars="0"/>
        <w:jc w:val="left"/>
        <w:rPr>
          <w:rFonts w:hint="default" w:ascii="宋体" w:hAnsi="宋体" w:eastAsia="宋体" w:cs="宋体"/>
          <w:spacing w:val="-3"/>
          <w:sz w:val="24"/>
          <w:szCs w:val="24"/>
          <w:lang w:val="en-US" w:eastAsia="zh-CN"/>
        </w:rPr>
      </w:pPr>
    </w:p>
    <w:p w14:paraId="3AB8CFD6">
      <w:pPr>
        <w:keepNext w:val="0"/>
        <w:keepLines w:val="0"/>
        <w:widowControl/>
        <w:suppressLineNumbers w:val="0"/>
        <w:spacing w:line="360" w:lineRule="auto"/>
        <w:ind w:firstLine="420" w:firstLineChars="0"/>
        <w:jc w:val="left"/>
        <w:rPr>
          <w:rFonts w:hint="eastAsia" w:ascii="宋体" w:hAnsi="宋体" w:eastAsia="宋体" w:cs="宋体"/>
          <w:spacing w:val="-3"/>
          <w:sz w:val="24"/>
          <w:szCs w:val="24"/>
          <w:lang w:val="en-US" w:eastAsia="zh-CN"/>
        </w:rPr>
      </w:pPr>
      <w:r>
        <w:rPr>
          <w:rFonts w:hint="default" w:ascii="宋体" w:hAnsi="宋体" w:eastAsia="宋体" w:cs="宋体"/>
          <w:spacing w:val="-3"/>
          <w:sz w:val="24"/>
          <w:szCs w:val="24"/>
          <w:lang w:val="en-US" w:eastAsia="zh-CN"/>
        </w:rPr>
        <w:t>1.1 光谱反照率与有效利用率</w:t>
      </w:r>
    </w:p>
    <w:p w14:paraId="23173C63">
      <w:pPr>
        <w:keepNext w:val="0"/>
        <w:keepLines w:val="0"/>
        <w:widowControl/>
        <w:suppressLineNumbers w:val="0"/>
        <w:spacing w:line="360" w:lineRule="auto"/>
        <w:ind w:firstLine="420" w:firstLineChars="0"/>
        <w:jc w:val="left"/>
        <w:rPr>
          <w:rFonts w:hint="default" w:ascii="宋体" w:hAnsi="宋体" w:eastAsia="宋体" w:cs="宋体"/>
          <w:spacing w:val="-3"/>
          <w:sz w:val="24"/>
          <w:szCs w:val="24"/>
          <w:lang w:val="en-US" w:eastAsia="zh-CN"/>
        </w:rPr>
      </w:pPr>
      <w:r>
        <w:rPr>
          <w:rFonts w:hint="default" w:ascii="宋体" w:hAnsi="宋体" w:eastAsia="宋体" w:cs="宋体"/>
          <w:spacing w:val="-3"/>
          <w:sz w:val="24"/>
          <w:szCs w:val="24"/>
          <w:lang w:val="en-US" w:eastAsia="zh-CN"/>
        </w:rPr>
        <w:t>传统的辐照度模型通常将地表视为朗伯（各向同性）反射体，并给定一个固定的反照率常数（如 0.2 或 0.85）。然而，研究表明光谱反照率随波长动态变化，尤其在雪地环境下，反射光谱表现出明显的“蓝移”特征。这种光谱失配会导致硅基电池在接收地面反射光时产生约 2% 的电流损失。</w:t>
      </w:r>
    </w:p>
    <w:p w14:paraId="506AD23C">
      <w:pPr>
        <w:keepNext w:val="0"/>
        <w:keepLines w:val="0"/>
        <w:widowControl/>
        <w:suppressLineNumbers w:val="0"/>
        <w:ind w:firstLine="420" w:firstLineChars="0"/>
        <w:jc w:val="left"/>
        <w:rPr>
          <w:rFonts w:hint="default" w:ascii="宋体" w:hAnsi="宋体" w:eastAsia="宋体" w:cs="宋体"/>
          <w:spacing w:val="-3"/>
          <w:sz w:val="24"/>
          <w:szCs w:val="24"/>
          <w:lang w:val="en-US" w:eastAsia="zh-CN"/>
        </w:rPr>
      </w:pPr>
    </w:p>
    <w:p w14:paraId="6EFB4CB2">
      <w:pPr>
        <w:keepNext w:val="0"/>
        <w:keepLines w:val="0"/>
        <w:widowControl/>
        <w:suppressLineNumbers w:val="0"/>
        <w:ind w:firstLine="420" w:firstLineChars="0"/>
        <w:jc w:val="left"/>
        <w:rPr>
          <w:rFonts w:hint="default" w:ascii="宋体" w:hAnsi="宋体" w:eastAsia="宋体" w:cs="宋体"/>
          <w:snapToGrid w:val="0"/>
          <w:color w:val="000000"/>
          <w:kern w:val="0"/>
          <w:sz w:val="24"/>
          <w:szCs w:val="24"/>
          <w:lang w:val="en-US" w:eastAsia="zh-CN" w:bidi="ar"/>
        </w:rPr>
      </w:pPr>
      <w:r>
        <w:drawing>
          <wp:inline distT="0" distB="0" distL="114300" distR="114300">
            <wp:extent cx="5272405" cy="4765675"/>
            <wp:effectExtent l="0" t="0" r="1079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2405" cy="4765675"/>
                    </a:xfrm>
                    <a:prstGeom prst="rect">
                      <a:avLst/>
                    </a:prstGeom>
                    <a:noFill/>
                    <a:ln>
                      <a:noFill/>
                    </a:ln>
                  </pic:spPr>
                </pic:pic>
              </a:graphicData>
            </a:graphic>
          </wp:inline>
        </w:drawing>
      </w:r>
    </w:p>
    <w:p w14:paraId="0053FD59">
      <w:pPr>
        <w:keepNext w:val="0"/>
        <w:keepLines w:val="0"/>
        <w:widowControl/>
        <w:suppressLineNumbers w:val="0"/>
        <w:jc w:val="center"/>
        <w:rPr>
          <w:rFonts w:hint="eastAsia" w:ascii="华文楷体" w:hAnsi="华文楷体" w:eastAsia="华文楷体" w:cs="华文楷体"/>
          <w:snapToGrid w:val="0"/>
          <w:color w:val="000000"/>
          <w:kern w:val="0"/>
          <w:sz w:val="21"/>
          <w:szCs w:val="21"/>
          <w:lang w:val="en-US" w:eastAsia="zh-CN" w:bidi="ar"/>
        </w:rPr>
      </w:pPr>
      <w:r>
        <w:rPr>
          <w:rFonts w:hint="eastAsia" w:ascii="华文楷体" w:hAnsi="华文楷体" w:eastAsia="华文楷体" w:cs="华文楷体"/>
          <w:snapToGrid w:val="0"/>
          <w:color w:val="000000"/>
          <w:kern w:val="0"/>
          <w:sz w:val="21"/>
          <w:szCs w:val="21"/>
          <w:lang w:val="en-US" w:eastAsia="zh-CN" w:bidi="ar"/>
        </w:rPr>
        <w:t>（图1)</w:t>
      </w:r>
    </w:p>
    <w:p w14:paraId="076A0D45">
      <w:pPr>
        <w:keepNext w:val="0"/>
        <w:keepLines w:val="0"/>
        <w:widowControl/>
        <w:suppressLineNumbers w:val="0"/>
        <w:jc w:val="left"/>
        <w:rPr>
          <w:rFonts w:hint="eastAsia" w:ascii="华文楷体" w:hAnsi="华文楷体" w:eastAsia="华文楷体" w:cs="华文楷体"/>
          <w:snapToGrid w:val="0"/>
          <w:color w:val="000000"/>
          <w:kern w:val="0"/>
          <w:sz w:val="21"/>
          <w:szCs w:val="21"/>
          <w:lang w:val="en-US" w:eastAsia="zh-CN" w:bidi="ar"/>
        </w:rPr>
      </w:pPr>
      <w:r>
        <w:rPr>
          <w:rFonts w:hint="eastAsia" w:ascii="华文楷体" w:hAnsi="华文楷体" w:eastAsia="华文楷体" w:cs="华文楷体"/>
          <w:snapToGrid w:val="0"/>
          <w:color w:val="000000"/>
          <w:kern w:val="0"/>
          <w:sz w:val="21"/>
          <w:szCs w:val="21"/>
          <w:lang w:val="en-US" w:eastAsia="zh-CN" w:bidi="ar"/>
        </w:rPr>
        <w:t>(Resource: The effect of spectral albedo in bifacial photovoltaic performance, 此图展示了不同地表环境如雪地、草地的实验对比图）</w:t>
      </w:r>
    </w:p>
    <w:p w14:paraId="3E1D5D46">
      <w:pPr>
        <w:keepNext w:val="0"/>
        <w:keepLines w:val="0"/>
        <w:widowControl/>
        <w:suppressLineNumbers w:val="0"/>
        <w:jc w:val="left"/>
        <w:rPr>
          <w:rFonts w:hint="default" w:ascii="宋体" w:hAnsi="宋体" w:eastAsia="宋体" w:cs="宋体"/>
          <w:snapToGrid w:val="0"/>
          <w:color w:val="000000"/>
          <w:kern w:val="0"/>
          <w:sz w:val="24"/>
          <w:szCs w:val="24"/>
          <w:lang w:val="en-US" w:eastAsia="zh-CN" w:bidi="ar"/>
        </w:rPr>
      </w:pPr>
    </w:p>
    <w:p w14:paraId="1637A2BF">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为了更精确地获取数据，研究人员提出了利用卫星（如 MODIS 和 Sentinel-2）数据重建反照率的方法。如图 1 所示，通过结合 MODIS 的双向反射分布函数（BRDF）参数与高空间分辨率的 Sentinel-2 影像，可以实现对复杂地表环境下“有效反照率”的动态模拟。</w:t>
      </w:r>
    </w:p>
    <w:p w14:paraId="6CD98A3E">
      <w:pPr>
        <w:keepNext w:val="0"/>
        <w:keepLines w:val="0"/>
        <w:widowControl/>
        <w:suppressLineNumbers w:val="0"/>
        <w:jc w:val="left"/>
        <w:rPr>
          <w:rFonts w:hint="default" w:ascii="宋体" w:hAnsi="宋体" w:eastAsia="宋体" w:cs="宋体"/>
          <w:snapToGrid w:val="0"/>
          <w:color w:val="000000"/>
          <w:kern w:val="0"/>
          <w:sz w:val="24"/>
          <w:szCs w:val="24"/>
          <w:lang w:val="en-US" w:eastAsia="zh-CN" w:bidi="ar"/>
        </w:rPr>
      </w:pPr>
    </w:p>
    <w:p w14:paraId="14880C32">
      <w:pPr>
        <w:keepNext w:val="0"/>
        <w:keepLines w:val="0"/>
        <w:widowControl/>
        <w:suppressLineNumbers w:val="0"/>
        <w:jc w:val="left"/>
      </w:pPr>
      <w:r>
        <w:drawing>
          <wp:inline distT="0" distB="0" distL="114300" distR="114300">
            <wp:extent cx="5268595" cy="2680970"/>
            <wp:effectExtent l="0" t="0" r="1905"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8595" cy="2680970"/>
                    </a:xfrm>
                    <a:prstGeom prst="rect">
                      <a:avLst/>
                    </a:prstGeom>
                    <a:noFill/>
                    <a:ln>
                      <a:noFill/>
                    </a:ln>
                  </pic:spPr>
                </pic:pic>
              </a:graphicData>
            </a:graphic>
          </wp:inline>
        </w:drawing>
      </w:r>
    </w:p>
    <w:p w14:paraId="4AAF0150">
      <w:pPr>
        <w:keepNext w:val="0"/>
        <w:keepLines w:val="0"/>
        <w:widowControl/>
        <w:suppressLineNumbers w:val="0"/>
        <w:jc w:val="center"/>
        <w:rPr>
          <w:rFonts w:hint="default"/>
          <w:lang w:val="en-US" w:eastAsia="zh-CN"/>
        </w:rPr>
      </w:pPr>
      <w:r>
        <w:rPr>
          <w:rFonts w:hint="eastAsia" w:ascii="华文楷体" w:hAnsi="华文楷体" w:eastAsia="华文楷体" w:cs="华文楷体"/>
          <w:snapToGrid w:val="0"/>
          <w:color w:val="000000"/>
          <w:kern w:val="0"/>
          <w:sz w:val="21"/>
          <w:szCs w:val="21"/>
          <w:lang w:val="en-US" w:eastAsia="zh-CN" w:bidi="ar"/>
        </w:rPr>
        <w:t>（图2)</w:t>
      </w:r>
    </w:p>
    <w:p w14:paraId="1015C83E">
      <w:pPr>
        <w:keepNext w:val="0"/>
        <w:keepLines w:val="0"/>
        <w:widowControl/>
        <w:suppressLineNumbers w:val="0"/>
        <w:jc w:val="left"/>
        <w:rPr>
          <w:rFonts w:hint="default" w:ascii="华文楷体" w:hAnsi="华文楷体" w:eastAsia="华文楷体" w:cs="华文楷体"/>
          <w:snapToGrid w:val="0"/>
          <w:color w:val="000000"/>
          <w:kern w:val="0"/>
          <w:sz w:val="21"/>
          <w:szCs w:val="21"/>
          <w:lang w:val="en-US" w:eastAsia="zh-CN" w:bidi="ar"/>
        </w:rPr>
      </w:pPr>
      <w:r>
        <w:rPr>
          <w:rFonts w:hint="default" w:ascii="华文楷体" w:hAnsi="华文楷体" w:eastAsia="华文楷体" w:cs="华文楷体"/>
          <w:snapToGrid w:val="0"/>
          <w:color w:val="000000"/>
          <w:kern w:val="0"/>
          <w:sz w:val="21"/>
          <w:szCs w:val="21"/>
          <w:lang w:val="en-US" w:eastAsia="zh-CN" w:bidi="ar"/>
        </w:rPr>
        <w:t>（</w:t>
      </w:r>
      <w:r>
        <w:rPr>
          <w:rFonts w:hint="eastAsia" w:ascii="华文楷体" w:hAnsi="华文楷体" w:eastAsia="华文楷体" w:cs="华文楷体"/>
          <w:snapToGrid w:val="0"/>
          <w:color w:val="000000"/>
          <w:kern w:val="0"/>
          <w:sz w:val="21"/>
          <w:szCs w:val="21"/>
          <w:lang w:val="en-US" w:eastAsia="zh-CN" w:bidi="ar"/>
        </w:rPr>
        <w:t xml:space="preserve">Resourec: </w:t>
      </w:r>
      <w:r>
        <w:rPr>
          <w:rFonts w:hint="default" w:ascii="华文楷体" w:hAnsi="华文楷体" w:eastAsia="华文楷体" w:cs="华文楷体"/>
          <w:snapToGrid w:val="0"/>
          <w:color w:val="000000"/>
          <w:kern w:val="0"/>
          <w:sz w:val="21"/>
          <w:szCs w:val="21"/>
          <w:lang w:val="en-US" w:eastAsia="zh-CN" w:bidi="ar"/>
        </w:rPr>
        <w:t>Sourcing albedo data for bifacial PV systems in complex landscapes》</w:t>
      </w:r>
      <w:r>
        <w:rPr>
          <w:rFonts w:hint="eastAsia" w:ascii="华文楷体" w:hAnsi="华文楷体" w:eastAsia="华文楷体" w:cs="华文楷体"/>
          <w:snapToGrid w:val="0"/>
          <w:color w:val="000000"/>
          <w:kern w:val="0"/>
          <w:sz w:val="21"/>
          <w:szCs w:val="21"/>
          <w:lang w:val="en-US" w:eastAsia="zh-CN" w:bidi="ar"/>
        </w:rPr>
        <w:t>, 此图</w:t>
      </w:r>
      <w:r>
        <w:rPr>
          <w:rFonts w:hint="default" w:ascii="华文楷体" w:hAnsi="华文楷体" w:eastAsia="华文楷体" w:cs="华文楷体"/>
          <w:snapToGrid w:val="0"/>
          <w:color w:val="000000"/>
          <w:kern w:val="0"/>
          <w:sz w:val="21"/>
          <w:szCs w:val="21"/>
          <w:lang w:val="en-US" w:eastAsia="zh-CN" w:bidi="ar"/>
        </w:rPr>
        <w:t>展示混合反照率计（Hybrid albedometer）的原理示意图）</w:t>
      </w:r>
    </w:p>
    <w:p w14:paraId="08C229A7">
      <w:pPr>
        <w:keepNext w:val="0"/>
        <w:keepLines w:val="0"/>
        <w:widowControl/>
        <w:suppressLineNumbers w:val="0"/>
        <w:jc w:val="left"/>
        <w:rPr>
          <w:rFonts w:hint="default" w:ascii="华文楷体" w:hAnsi="华文楷体" w:eastAsia="华文楷体" w:cs="华文楷体"/>
          <w:snapToGrid w:val="0"/>
          <w:color w:val="000000"/>
          <w:kern w:val="0"/>
          <w:sz w:val="21"/>
          <w:szCs w:val="21"/>
          <w:lang w:val="en-US" w:eastAsia="zh-CN" w:bidi="ar"/>
        </w:rPr>
      </w:pPr>
    </w:p>
    <w:p w14:paraId="4D0DD3BB">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在极地环境下，反照率不仅具有光谱依赖性，还表现出显著的昼夜不对称性和天气敏感性。实测发现，晴天下的光谱反照率与太阳天顶角强相关，且由于地面坡度（如极地微地形）的影响，午后的反照率往往高于上午。此外，降雨或融雪过程会显著改变冰雪表面的光学特性，导致近红外波段的反照率出现剧烈波动。研究进一步指出，利用归一化植被指数（NDVI）可以作为评估地表反照率季节性变化的有效指标，NDVI 在雪地环境下接近零或负值，而在极地夏季植被生长时显著升高。在数据获取层面，虽然 MODIS 卫星提供了 7 个窄光谱波段的 BRDF 数据，但其 500 米的空间分辨率在处理极地科考站周边的复杂微环境时存在严重的“尺度效应”误差。为了解决这一问题，研究者通过引入 Sentinel-2 的 20 米高分辨率影像进行空间修正，将月平均反照率的评估误差（NRMSE）从 25% 降低到了 10.1%。同时，必须警惕“10° 陷阱”，即当太阳俯仰角低于 10° 时，由于大气散射占比迅速增加，实测反照率会发生物理性回落，此时卫星的 BRDF 数学重建模型将失效。</w:t>
      </w:r>
    </w:p>
    <w:p w14:paraId="04CE22A3">
      <w:pPr>
        <w:keepNext w:val="0"/>
        <w:keepLines w:val="0"/>
        <w:widowControl/>
        <w:suppressLineNumbers w:val="0"/>
        <w:jc w:val="left"/>
        <w:rPr>
          <w:rFonts w:hint="default" w:ascii="宋体" w:hAnsi="宋体" w:eastAsia="宋体" w:cs="宋体"/>
          <w:snapToGrid w:val="0"/>
          <w:color w:val="000000"/>
          <w:kern w:val="0"/>
          <w:sz w:val="24"/>
          <w:szCs w:val="24"/>
          <w:lang w:val="en-US" w:eastAsia="zh-CN" w:bidi="ar"/>
        </w:rPr>
      </w:pPr>
    </w:p>
    <w:p w14:paraId="4C1391BF">
      <w:pPr>
        <w:keepNext w:val="0"/>
        <w:keepLines w:val="0"/>
        <w:widowControl/>
        <w:suppressLineNumbers w:val="0"/>
        <w:spacing w:line="360" w:lineRule="auto"/>
        <w:jc w:val="left"/>
        <w:rPr>
          <w:rFonts w:hint="default" w:ascii="宋体" w:hAnsi="宋体" w:eastAsia="宋体" w:cs="宋体"/>
          <w:b/>
          <w:bCs/>
          <w:snapToGrid w:val="0"/>
          <w:color w:val="000000"/>
          <w:kern w:val="0"/>
          <w:sz w:val="24"/>
          <w:szCs w:val="24"/>
          <w:lang w:val="en-US" w:eastAsia="zh-CN" w:bidi="ar"/>
        </w:rPr>
      </w:pPr>
      <w:r>
        <w:rPr>
          <w:rFonts w:hint="default" w:ascii="宋体" w:hAnsi="宋体" w:eastAsia="宋体" w:cs="宋体"/>
          <w:b/>
          <w:bCs/>
          <w:snapToGrid w:val="0"/>
          <w:color w:val="000000"/>
          <w:kern w:val="0"/>
          <w:sz w:val="24"/>
          <w:szCs w:val="24"/>
          <w:lang w:val="en-US" w:eastAsia="zh-CN" w:bidi="ar"/>
        </w:rPr>
        <w:t>2、光伏组件光学性能优化模型</w:t>
      </w:r>
    </w:p>
    <w:p w14:paraId="2A0A1AC9">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在极地极低太阳高度角下，光伏板表面的玻璃层会产生严重的反射损失，这被称为入射角（AOI）失配。</w:t>
      </w:r>
    </w:p>
    <w:p w14:paraId="7DD15C85">
      <w:pPr>
        <w:keepNext w:val="0"/>
        <w:keepLines w:val="0"/>
        <w:widowControl/>
        <w:suppressLineNumbers w:val="0"/>
        <w:spacing w:line="360" w:lineRule="auto"/>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2.1 入射角修正模型 (IAM)</w:t>
      </w:r>
    </w:p>
    <w:p w14:paraId="1303E768">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 xml:space="preserve">当光线以大角度（AOI &gt; 60°）入射时，玻璃表面更像一面镜子，反射掉大部分光子。研究者引入了 Sandia IAM 模型 和 Martin and Ruiz 模型 来补偿这种光学损失。如图 </w:t>
      </w:r>
      <w:r>
        <w:rPr>
          <w:rFonts w:hint="eastAsia" w:ascii="宋体" w:hAnsi="宋体" w:eastAsia="宋体" w:cs="宋体"/>
          <w:snapToGrid w:val="0"/>
          <w:color w:val="000000"/>
          <w:kern w:val="0"/>
          <w:sz w:val="24"/>
          <w:szCs w:val="24"/>
          <w:lang w:val="en-US" w:eastAsia="zh-CN" w:bidi="ar"/>
        </w:rPr>
        <w:t>3</w:t>
      </w:r>
      <w:r>
        <w:rPr>
          <w:rFonts w:hint="default" w:ascii="宋体" w:hAnsi="宋体" w:eastAsia="宋体" w:cs="宋体"/>
          <w:snapToGrid w:val="0"/>
          <w:color w:val="000000"/>
          <w:kern w:val="0"/>
          <w:sz w:val="24"/>
          <w:szCs w:val="24"/>
          <w:lang w:val="en-US" w:eastAsia="zh-CN" w:bidi="ar"/>
        </w:rPr>
        <w:t xml:space="preserve"> 所示，修正后的模型能够显著消除传统几何投影公式在高入射角下产生的“辐照度虚高”现象。</w:t>
      </w:r>
    </w:p>
    <w:p w14:paraId="48EB7A3E">
      <w:pPr>
        <w:keepNext w:val="0"/>
        <w:keepLines w:val="0"/>
        <w:widowControl/>
        <w:suppressLineNumbers w:val="0"/>
        <w:spacing w:line="360" w:lineRule="auto"/>
        <w:jc w:val="left"/>
      </w:pPr>
      <w:r>
        <w:drawing>
          <wp:inline distT="0" distB="0" distL="114300" distR="114300">
            <wp:extent cx="5274310" cy="1701165"/>
            <wp:effectExtent l="0" t="0" r="889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4310" cy="1701165"/>
                    </a:xfrm>
                    <a:prstGeom prst="rect">
                      <a:avLst/>
                    </a:prstGeom>
                    <a:noFill/>
                    <a:ln>
                      <a:noFill/>
                    </a:ln>
                  </pic:spPr>
                </pic:pic>
              </a:graphicData>
            </a:graphic>
          </wp:inline>
        </w:drawing>
      </w:r>
    </w:p>
    <w:p w14:paraId="1F4FB184">
      <w:pPr>
        <w:keepNext w:val="0"/>
        <w:keepLines w:val="0"/>
        <w:widowControl/>
        <w:suppressLineNumbers w:val="0"/>
        <w:jc w:val="center"/>
        <w:rPr>
          <w:rFonts w:hint="default" w:ascii="华文楷体" w:hAnsi="华文楷体" w:eastAsia="华文楷体" w:cs="华文楷体"/>
          <w:snapToGrid w:val="0"/>
          <w:color w:val="000000"/>
          <w:kern w:val="0"/>
          <w:sz w:val="21"/>
          <w:szCs w:val="21"/>
          <w:lang w:val="en-US" w:eastAsia="zh-CN" w:bidi="ar"/>
        </w:rPr>
      </w:pPr>
      <w:r>
        <w:rPr>
          <w:rFonts w:hint="eastAsia" w:ascii="华文楷体" w:hAnsi="华文楷体" w:eastAsia="华文楷体" w:cs="华文楷体"/>
          <w:snapToGrid w:val="0"/>
          <w:color w:val="000000"/>
          <w:kern w:val="0"/>
          <w:sz w:val="21"/>
          <w:szCs w:val="21"/>
          <w:lang w:val="en-US" w:eastAsia="zh-CN" w:bidi="ar"/>
        </w:rPr>
        <w:t>(图3)</w:t>
      </w:r>
    </w:p>
    <w:p w14:paraId="0F4DE7EB">
      <w:pPr>
        <w:keepNext w:val="0"/>
        <w:keepLines w:val="0"/>
        <w:widowControl/>
        <w:suppressLineNumbers w:val="0"/>
        <w:jc w:val="left"/>
        <w:rPr>
          <w:rFonts w:hint="default" w:ascii="华文楷体" w:hAnsi="华文楷体" w:eastAsia="华文楷体" w:cs="华文楷体"/>
          <w:snapToGrid w:val="0"/>
          <w:color w:val="000000"/>
          <w:kern w:val="0"/>
          <w:sz w:val="21"/>
          <w:szCs w:val="21"/>
          <w:lang w:val="en-US" w:eastAsia="zh-CN" w:bidi="ar"/>
        </w:rPr>
      </w:pPr>
      <w:r>
        <w:rPr>
          <w:rFonts w:hint="default" w:ascii="华文楷体" w:hAnsi="华文楷体" w:eastAsia="华文楷体" w:cs="华文楷体"/>
          <w:snapToGrid w:val="0"/>
          <w:color w:val="000000"/>
          <w:kern w:val="0"/>
          <w:sz w:val="21"/>
          <w:szCs w:val="21"/>
          <w:lang w:val="en-US" w:eastAsia="zh-CN" w:bidi="ar"/>
        </w:rPr>
        <w:t>（</w:t>
      </w:r>
      <w:r>
        <w:rPr>
          <w:rFonts w:hint="eastAsia" w:ascii="华文楷体" w:hAnsi="华文楷体" w:eastAsia="华文楷体" w:cs="华文楷体"/>
          <w:snapToGrid w:val="0"/>
          <w:color w:val="000000"/>
          <w:kern w:val="0"/>
          <w:sz w:val="21"/>
          <w:szCs w:val="21"/>
          <w:lang w:val="en-US" w:eastAsia="zh-CN" w:bidi="ar"/>
        </w:rPr>
        <w:t xml:space="preserve">Resource: </w:t>
      </w:r>
      <w:r>
        <w:rPr>
          <w:rFonts w:hint="default" w:ascii="华文楷体" w:hAnsi="华文楷体" w:eastAsia="华文楷体" w:cs="华文楷体"/>
          <w:snapToGrid w:val="0"/>
          <w:color w:val="000000"/>
          <w:kern w:val="0"/>
          <w:sz w:val="21"/>
          <w:szCs w:val="21"/>
          <w:lang w:val="en-US" w:eastAsia="zh-CN" w:bidi="ar"/>
        </w:rPr>
        <w:t>Sourcing albedo data for bifacial PV systems in complex landscapes，</w:t>
      </w:r>
      <w:r>
        <w:rPr>
          <w:rFonts w:hint="eastAsia" w:ascii="华文楷体" w:hAnsi="华文楷体" w:eastAsia="华文楷体" w:cs="华文楷体"/>
          <w:snapToGrid w:val="0"/>
          <w:color w:val="000000"/>
          <w:kern w:val="0"/>
          <w:sz w:val="21"/>
          <w:szCs w:val="21"/>
          <w:lang w:val="en-US" w:eastAsia="zh-CN" w:bidi="ar"/>
        </w:rPr>
        <w:t>此图展示了</w:t>
      </w:r>
      <w:r>
        <w:rPr>
          <w:rFonts w:hint="default" w:ascii="华文楷体" w:hAnsi="华文楷体" w:eastAsia="华文楷体" w:cs="华文楷体"/>
          <w:snapToGrid w:val="0"/>
          <w:color w:val="000000"/>
          <w:kern w:val="0"/>
          <w:sz w:val="21"/>
          <w:szCs w:val="21"/>
          <w:lang w:val="en-US" w:eastAsia="zh-CN" w:bidi="ar"/>
        </w:rPr>
        <w:t>参考电池在不同入射角下的响应偏差及模型拟合曲线）</w:t>
      </w:r>
    </w:p>
    <w:p w14:paraId="774E8100">
      <w:pPr>
        <w:keepNext w:val="0"/>
        <w:keepLines w:val="0"/>
        <w:widowControl/>
        <w:suppressLineNumbers w:val="0"/>
        <w:jc w:val="left"/>
        <w:rPr>
          <w:rFonts w:hint="default" w:ascii="华文楷体" w:hAnsi="华文楷体" w:eastAsia="华文楷体" w:cs="华文楷体"/>
          <w:snapToGrid w:val="0"/>
          <w:color w:val="000000"/>
          <w:kern w:val="0"/>
          <w:sz w:val="21"/>
          <w:szCs w:val="21"/>
          <w:lang w:val="en-US" w:eastAsia="zh-CN" w:bidi="ar"/>
        </w:rPr>
      </w:pPr>
    </w:p>
    <w:p w14:paraId="32A5286C">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极地地区的光学修正必须同时考虑直射光和散射光的不同物理特性。对于直射光，使用包含五阶多项式系数的 Sandia 模型可以拟合 c-Si 组件在极高入射角下的动态反射率变化。而对于各向同性的天空散射光和地面反射光，研究者推荐使用 Martin and Ruiz 模型的积分常数进行修正，例如取 fIAM,diff​=0.986，这代表了散射光通过平整玻璃时约 1.4% 的平均光学损失。实验对比显示，未经过 IAM 修正的参考电池在冬季（低太阳角期）会严重低估总下射辐照度，从而导致计算出的表观反照率虚高。为了获得“地面真值”，最新的综述推荐采用“混合反照率计”法，即使用具有平坦角度响应的水平热电堆总辐射表测量天顶光，而使用与组件光谱响应匹配的硅基参考电池测量地面反射光，并对其应用反向角度修正公式 G′=G/fIAM,diff​。这种精细化的光学建模对于评估双面组件背面的有效增益至关重要，因为背面接收的能量几乎全部由大角度的散射光和地面反射光组成。</w:t>
      </w:r>
    </w:p>
    <w:p w14:paraId="744C7985">
      <w:pPr>
        <w:keepNext w:val="0"/>
        <w:keepLines w:val="0"/>
        <w:widowControl/>
        <w:suppressLineNumbers w:val="0"/>
        <w:jc w:val="left"/>
        <w:rPr>
          <w:rFonts w:hint="default" w:ascii="华文楷体" w:hAnsi="华文楷体" w:eastAsia="华文楷体" w:cs="华文楷体"/>
          <w:snapToGrid w:val="0"/>
          <w:color w:val="000000"/>
          <w:kern w:val="0"/>
          <w:sz w:val="21"/>
          <w:szCs w:val="21"/>
          <w:lang w:val="en-US" w:eastAsia="zh-CN" w:bidi="ar"/>
        </w:rPr>
      </w:pPr>
    </w:p>
    <w:p w14:paraId="36C44A8B">
      <w:pPr>
        <w:keepNext w:val="0"/>
        <w:keepLines w:val="0"/>
        <w:widowControl/>
        <w:suppressLineNumbers w:val="0"/>
        <w:spacing w:line="360" w:lineRule="auto"/>
        <w:jc w:val="left"/>
        <w:rPr>
          <w:rFonts w:hint="default" w:ascii="宋体" w:hAnsi="宋体" w:eastAsia="宋体" w:cs="宋体"/>
          <w:b/>
          <w:bCs/>
          <w:snapToGrid w:val="0"/>
          <w:color w:val="000000"/>
          <w:kern w:val="0"/>
          <w:sz w:val="24"/>
          <w:szCs w:val="24"/>
          <w:lang w:val="en-US" w:eastAsia="zh-CN" w:bidi="ar"/>
        </w:rPr>
      </w:pPr>
      <w:r>
        <w:rPr>
          <w:rFonts w:hint="default" w:ascii="宋体" w:hAnsi="宋体" w:eastAsia="宋体" w:cs="宋体"/>
          <w:b/>
          <w:bCs/>
          <w:snapToGrid w:val="0"/>
          <w:color w:val="000000"/>
          <w:kern w:val="0"/>
          <w:sz w:val="24"/>
          <w:szCs w:val="24"/>
          <w:lang w:val="en-US" w:eastAsia="zh-CN" w:bidi="ar"/>
        </w:rPr>
        <w:t>3、高纬度系统构型选择与优化</w:t>
      </w:r>
    </w:p>
    <w:p w14:paraId="64D55A7F">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在高纬度地区，光伏阵列的构型直接影响其捕捉低位能量的能力。</w:t>
      </w:r>
    </w:p>
    <w:p w14:paraId="354FCBCB">
      <w:pPr>
        <w:keepNext w:val="0"/>
        <w:keepLines w:val="0"/>
        <w:widowControl/>
        <w:suppressLineNumbers w:val="0"/>
        <w:spacing w:line="360" w:lineRule="auto"/>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3.1 垂直安装与跟踪系统</w:t>
      </w:r>
    </w:p>
    <w:p w14:paraId="0AD6FF70">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实证研究表明，垂直安装（Vertical PV）在极地表现优异。垂直组件能够有效减少积雪覆盖，并在清晨和傍晚捕捉近乎平行于地面的阳光。此外，双面垂直安装（E-W orientation）能够产生双发电峰值，更好地匹配极地生活负载。</w:t>
      </w:r>
    </w:p>
    <w:p w14:paraId="0FFDD2B9">
      <w:pPr>
        <w:keepNext w:val="0"/>
        <w:keepLines w:val="0"/>
        <w:widowControl/>
        <w:suppressLineNumbers w:val="0"/>
        <w:spacing w:line="360" w:lineRule="auto"/>
        <w:jc w:val="left"/>
      </w:pPr>
      <w:r>
        <w:drawing>
          <wp:inline distT="0" distB="0" distL="114300" distR="114300">
            <wp:extent cx="5274310" cy="3584575"/>
            <wp:effectExtent l="0" t="0" r="889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274310" cy="3584575"/>
                    </a:xfrm>
                    <a:prstGeom prst="rect">
                      <a:avLst/>
                    </a:prstGeom>
                    <a:noFill/>
                    <a:ln>
                      <a:noFill/>
                    </a:ln>
                  </pic:spPr>
                </pic:pic>
              </a:graphicData>
            </a:graphic>
          </wp:inline>
        </w:drawing>
      </w:r>
    </w:p>
    <w:p w14:paraId="6022F2C0">
      <w:pPr>
        <w:keepNext w:val="0"/>
        <w:keepLines w:val="0"/>
        <w:widowControl/>
        <w:suppressLineNumbers w:val="0"/>
        <w:spacing w:line="240" w:lineRule="auto"/>
        <w:jc w:val="center"/>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(图4)</w:t>
      </w:r>
    </w:p>
    <w:p w14:paraId="3A2D292D">
      <w:pPr>
        <w:keepNext w:val="0"/>
        <w:keepLines w:val="0"/>
        <w:widowControl/>
        <w:suppressLineNumbers w:val="0"/>
        <w:spacing w:line="240" w:lineRule="auto"/>
        <w:jc w:val="left"/>
        <w:rPr>
          <w:rFonts w:hint="default" w:ascii="华文楷体" w:hAnsi="华文楷体" w:eastAsia="华文楷体" w:cs="华文楷体"/>
          <w:snapToGrid w:val="0"/>
          <w:color w:val="000000"/>
          <w:kern w:val="0"/>
          <w:sz w:val="21"/>
          <w:szCs w:val="21"/>
          <w:lang w:val="en-US" w:eastAsia="zh-CN" w:bidi="ar"/>
        </w:rPr>
      </w:pPr>
      <w:r>
        <w:rPr>
          <w:rFonts w:hint="default" w:ascii="华文楷体" w:hAnsi="华文楷体" w:eastAsia="华文楷体" w:cs="华文楷体"/>
          <w:snapToGrid w:val="0"/>
          <w:color w:val="000000"/>
          <w:kern w:val="0"/>
          <w:sz w:val="21"/>
          <w:szCs w:val="21"/>
          <w:lang w:val="en-US" w:eastAsia="zh-CN" w:bidi="ar"/>
        </w:rPr>
        <w:t>（</w:t>
      </w:r>
      <w:r>
        <w:rPr>
          <w:rFonts w:hint="eastAsia" w:ascii="华文楷体" w:hAnsi="华文楷体" w:eastAsia="华文楷体" w:cs="华文楷体"/>
          <w:snapToGrid w:val="0"/>
          <w:color w:val="000000"/>
          <w:kern w:val="0"/>
          <w:sz w:val="21"/>
          <w:szCs w:val="21"/>
          <w:lang w:val="en-US" w:eastAsia="zh-CN" w:bidi="ar"/>
        </w:rPr>
        <w:t xml:space="preserve">Resource: </w:t>
      </w:r>
      <w:r>
        <w:rPr>
          <w:rFonts w:hint="default" w:ascii="华文楷体" w:hAnsi="华文楷体" w:eastAsia="华文楷体" w:cs="华文楷体"/>
          <w:snapToGrid w:val="0"/>
          <w:color w:val="000000"/>
          <w:kern w:val="0"/>
          <w:sz w:val="21"/>
          <w:szCs w:val="21"/>
          <w:lang w:val="en-US" w:eastAsia="zh-CN" w:bidi="ar"/>
        </w:rPr>
        <w:t>Empirical analysis of bifacial photovoltaic modules in high-latitude regions》</w:t>
      </w:r>
      <w:r>
        <w:rPr>
          <w:rFonts w:hint="eastAsia" w:ascii="华文楷体" w:hAnsi="华文楷体" w:eastAsia="华文楷体" w:cs="华文楷体"/>
          <w:snapToGrid w:val="0"/>
          <w:color w:val="000000"/>
          <w:kern w:val="0"/>
          <w:sz w:val="21"/>
          <w:szCs w:val="21"/>
          <w:lang w:val="en-US" w:eastAsia="zh-CN" w:bidi="ar"/>
        </w:rPr>
        <w:t>, 此图</w:t>
      </w:r>
      <w:r>
        <w:rPr>
          <w:rFonts w:hint="default" w:ascii="华文楷体" w:hAnsi="华文楷体" w:eastAsia="华文楷体" w:cs="华文楷体"/>
          <w:snapToGrid w:val="0"/>
          <w:color w:val="000000"/>
          <w:kern w:val="0"/>
          <w:sz w:val="21"/>
          <w:szCs w:val="21"/>
          <w:lang w:val="en-US" w:eastAsia="zh-CN" w:bidi="ar"/>
        </w:rPr>
        <w:t>展示</w:t>
      </w:r>
      <w:r>
        <w:rPr>
          <w:rFonts w:hint="eastAsia" w:ascii="华文楷体" w:hAnsi="华文楷体" w:eastAsia="华文楷体" w:cs="华文楷体"/>
          <w:snapToGrid w:val="0"/>
          <w:color w:val="000000"/>
          <w:kern w:val="0"/>
          <w:sz w:val="21"/>
          <w:szCs w:val="21"/>
          <w:lang w:val="en-US" w:eastAsia="zh-CN" w:bidi="ar"/>
        </w:rPr>
        <w:t>了</w:t>
      </w:r>
      <w:r>
        <w:rPr>
          <w:rFonts w:hint="default" w:ascii="华文楷体" w:hAnsi="华文楷体" w:eastAsia="华文楷体" w:cs="华文楷体"/>
          <w:snapToGrid w:val="0"/>
          <w:color w:val="000000"/>
          <w:kern w:val="0"/>
          <w:sz w:val="21"/>
          <w:szCs w:val="21"/>
          <w:lang w:val="en-US" w:eastAsia="zh-CN" w:bidi="ar"/>
        </w:rPr>
        <w:t>不同配置如垂直、倾斜及跟踪系统在典型日下的发电功率曲线）</w:t>
      </w:r>
    </w:p>
    <w:p w14:paraId="77558D3C">
      <w:pPr>
        <w:keepNext w:val="0"/>
        <w:keepLines w:val="0"/>
        <w:widowControl/>
        <w:suppressLineNumbers w:val="0"/>
        <w:spacing w:line="240" w:lineRule="auto"/>
        <w:jc w:val="left"/>
        <w:rPr>
          <w:rFonts w:hint="default" w:ascii="华文楷体" w:hAnsi="华文楷体" w:eastAsia="华文楷体" w:cs="华文楷体"/>
          <w:snapToGrid w:val="0"/>
          <w:color w:val="000000"/>
          <w:kern w:val="0"/>
          <w:sz w:val="21"/>
          <w:szCs w:val="21"/>
          <w:lang w:val="en-US" w:eastAsia="zh-CN" w:bidi="ar"/>
        </w:rPr>
      </w:pPr>
    </w:p>
    <w:p w14:paraId="274C1CB4">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针对挪威及北极地区的 field lab 实测数据显示，垂直双面（bPV）系统在夏季展现出高达 54% 的发电增益，这得益于极昼环境下延长的早晚光照时间。在全年的性能评估中，东西向（E-W）垂直布置的性能比（PR）平均可达 1.29，远高于传统的纬度倾角安装。研究发现，垂直组件对扩散水平辐照度（DHI）的敏感度极高，其相关系数显著优于单面组件。相比之下，虽然双轴跟踪系统能获得最高的绝对年产量（比跟踪单面板高 9%），但在极端严寒环境下，复杂的机械结构面临润滑失效和冻结风险，且在阴云天气下的增益甚至可能低于固定水平安装。因此，垂直安装被认为是在高纬度多雪地区平衡可靠性与能量产出的最优解。此外，垂直组件的背面视角因子（View Factor）能捕获高达 76% 的光学反照率贡献，在冰雪覆盖的高反照率场景下，其系统级双面增益可达 47%。这种构型还能有效利用极地低角度光照，提供更平稳的电力输出，从而减轻极地微电网的储能压力</w:t>
      </w:r>
    </w:p>
    <w:p w14:paraId="44B2C45B">
      <w:pPr>
        <w:keepNext w:val="0"/>
        <w:keepLines w:val="0"/>
        <w:widowControl/>
        <w:suppressLineNumbers w:val="0"/>
        <w:spacing w:line="240" w:lineRule="auto"/>
        <w:jc w:val="left"/>
        <w:rPr>
          <w:rFonts w:hint="default" w:ascii="华文楷体" w:hAnsi="华文楷体" w:eastAsia="华文楷体" w:cs="华文楷体"/>
          <w:snapToGrid w:val="0"/>
          <w:color w:val="000000"/>
          <w:kern w:val="0"/>
          <w:sz w:val="21"/>
          <w:szCs w:val="21"/>
          <w:lang w:val="en-US" w:eastAsia="zh-CN" w:bidi="ar"/>
        </w:rPr>
      </w:pPr>
    </w:p>
    <w:p w14:paraId="2EBBA2B5">
      <w:pPr>
        <w:keepNext w:val="0"/>
        <w:keepLines w:val="0"/>
        <w:widowControl/>
        <w:suppressLineNumbers w:val="0"/>
        <w:spacing w:line="360" w:lineRule="auto"/>
        <w:jc w:val="left"/>
        <w:rPr>
          <w:rFonts w:hint="default" w:ascii="宋体" w:hAnsi="宋体" w:eastAsia="宋体" w:cs="宋体"/>
          <w:b/>
          <w:bCs/>
          <w:snapToGrid w:val="0"/>
          <w:color w:val="000000"/>
          <w:kern w:val="0"/>
          <w:sz w:val="24"/>
          <w:szCs w:val="24"/>
          <w:lang w:val="en-US" w:eastAsia="zh-CN" w:bidi="ar"/>
        </w:rPr>
      </w:pPr>
      <w:r>
        <w:rPr>
          <w:rFonts w:hint="default" w:ascii="宋体" w:hAnsi="宋体" w:eastAsia="宋体" w:cs="宋体"/>
          <w:b/>
          <w:bCs/>
          <w:snapToGrid w:val="0"/>
          <w:color w:val="000000"/>
          <w:kern w:val="0"/>
          <w:sz w:val="24"/>
          <w:szCs w:val="24"/>
          <w:lang w:val="en-US" w:eastAsia="zh-CN" w:bidi="ar"/>
        </w:rPr>
        <w:t>4、严寒环境下的积雪损失评估</w:t>
      </w:r>
    </w:p>
    <w:p w14:paraId="222E3EA0">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积雪是极地光伏系统的最大不确定因素。全遮挡时，发电量趋于零；局部遮挡则会导致电气失配和热斑效应。</w:t>
      </w:r>
    </w:p>
    <w:p w14:paraId="236F5BF9">
      <w:pPr>
        <w:keepNext w:val="0"/>
        <w:keepLines w:val="0"/>
        <w:widowControl/>
        <w:suppressLineNumbers w:val="0"/>
        <w:spacing w:line="360" w:lineRule="auto"/>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4.1 雪损模型与图像识别技术</w:t>
      </w:r>
    </w:p>
    <w:p w14:paraId="0483D513">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 xml:space="preserve">为了量化积雪影响，研究者改进了 Marion 雪损模型，通过引入随积雪深度变化的“滑动系数（sc）”来模拟积雪的自然清除过程。同时，基于计算机视觉和深度学习（CNN）的图像处理技术被用于自动识别积雪覆盖比例（如图 </w:t>
      </w:r>
      <w:r>
        <w:rPr>
          <w:rFonts w:hint="eastAsia" w:ascii="宋体" w:hAnsi="宋体" w:eastAsia="宋体" w:cs="宋体"/>
          <w:snapToGrid w:val="0"/>
          <w:color w:val="000000"/>
          <w:kern w:val="0"/>
          <w:sz w:val="24"/>
          <w:szCs w:val="24"/>
          <w:lang w:val="en-US" w:eastAsia="zh-CN" w:bidi="ar"/>
        </w:rPr>
        <w:t>5</w:t>
      </w:r>
      <w:r>
        <w:rPr>
          <w:rFonts w:hint="default" w:ascii="宋体" w:hAnsi="宋体" w:eastAsia="宋体" w:cs="宋体"/>
          <w:snapToGrid w:val="0"/>
          <w:color w:val="000000"/>
          <w:kern w:val="0"/>
          <w:sz w:val="24"/>
          <w:szCs w:val="24"/>
          <w:lang w:val="en-US" w:eastAsia="zh-CN" w:bidi="ar"/>
        </w:rPr>
        <w:t xml:space="preserve"> 所示）。实证显示，单面组件在冬季的平均雪损可达 33.12%，而双面组件由于背面吸收光热有助于融雪，损失可降至 16% 以下。</w:t>
      </w:r>
    </w:p>
    <w:p w14:paraId="0190425F">
      <w:pPr>
        <w:keepNext w:val="0"/>
        <w:keepLines w:val="0"/>
        <w:widowControl/>
        <w:suppressLineNumbers w:val="0"/>
        <w:spacing w:line="240" w:lineRule="auto"/>
        <w:jc w:val="left"/>
        <w:rPr>
          <w:rFonts w:hint="default" w:ascii="华文楷体" w:hAnsi="华文楷体" w:eastAsia="华文楷体" w:cs="华文楷体"/>
          <w:snapToGrid w:val="0"/>
          <w:color w:val="000000"/>
          <w:kern w:val="0"/>
          <w:sz w:val="21"/>
          <w:szCs w:val="21"/>
          <w:lang w:val="en-US" w:eastAsia="zh-CN" w:bidi="ar"/>
        </w:rPr>
      </w:pPr>
      <w:r>
        <w:rPr>
          <w:rFonts w:hint="default" w:ascii="华文楷体" w:hAnsi="华文楷体" w:eastAsia="华文楷体" w:cs="华文楷体"/>
          <w:snapToGrid w:val="0"/>
          <w:color w:val="000000"/>
          <w:kern w:val="0"/>
          <w:sz w:val="21"/>
          <w:szCs w:val="21"/>
          <w:lang w:val="en-US" w:eastAsia="zh-CN" w:bidi="ar"/>
        </w:rPr>
        <w:drawing>
          <wp:inline distT="0" distB="0" distL="114300" distR="114300">
            <wp:extent cx="5269865" cy="3576320"/>
            <wp:effectExtent l="0" t="0" r="635"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269865" cy="3576320"/>
                    </a:xfrm>
                    <a:prstGeom prst="rect">
                      <a:avLst/>
                    </a:prstGeom>
                    <a:noFill/>
                    <a:ln>
                      <a:noFill/>
                    </a:ln>
                  </pic:spPr>
                </pic:pic>
              </a:graphicData>
            </a:graphic>
          </wp:inline>
        </w:drawing>
      </w:r>
    </w:p>
    <w:p w14:paraId="28D35965">
      <w:pPr>
        <w:keepNext w:val="0"/>
        <w:keepLines w:val="0"/>
        <w:widowControl/>
        <w:suppressLineNumbers w:val="0"/>
        <w:spacing w:line="240" w:lineRule="auto"/>
        <w:jc w:val="center"/>
        <w:rPr>
          <w:rFonts w:hint="default" w:ascii="华文楷体" w:hAnsi="华文楷体" w:eastAsia="华文楷体" w:cs="华文楷体"/>
          <w:snapToGrid w:val="0"/>
          <w:color w:val="000000"/>
          <w:kern w:val="0"/>
          <w:sz w:val="21"/>
          <w:szCs w:val="21"/>
          <w:lang w:val="en-US" w:eastAsia="zh-CN" w:bidi="ar"/>
        </w:rPr>
      </w:pPr>
      <w:r>
        <w:rPr>
          <w:rFonts w:hint="eastAsia" w:ascii="华文楷体" w:hAnsi="华文楷体" w:eastAsia="华文楷体" w:cs="华文楷体"/>
          <w:snapToGrid w:val="0"/>
          <w:color w:val="000000"/>
          <w:kern w:val="0"/>
          <w:sz w:val="21"/>
          <w:szCs w:val="21"/>
          <w:lang w:val="en-US" w:eastAsia="zh-CN" w:bidi="ar"/>
        </w:rPr>
        <w:t>(图5)</w:t>
      </w:r>
    </w:p>
    <w:p w14:paraId="15104964">
      <w:pPr>
        <w:keepNext w:val="0"/>
        <w:keepLines w:val="0"/>
        <w:widowControl/>
        <w:suppressLineNumbers w:val="0"/>
        <w:spacing w:line="240" w:lineRule="auto"/>
        <w:jc w:val="left"/>
        <w:rPr>
          <w:rFonts w:hint="default" w:ascii="华文楷体" w:hAnsi="华文楷体" w:eastAsia="华文楷体" w:cs="华文楷体"/>
          <w:snapToGrid w:val="0"/>
          <w:color w:val="000000"/>
          <w:kern w:val="0"/>
          <w:sz w:val="21"/>
          <w:szCs w:val="21"/>
          <w:lang w:val="en-US" w:eastAsia="zh-CN" w:bidi="ar"/>
        </w:rPr>
      </w:pPr>
      <w:r>
        <w:rPr>
          <w:rFonts w:hint="default" w:ascii="华文楷体" w:hAnsi="华文楷体" w:eastAsia="华文楷体" w:cs="华文楷体"/>
          <w:snapToGrid w:val="0"/>
          <w:color w:val="000000"/>
          <w:kern w:val="0"/>
          <w:sz w:val="21"/>
          <w:szCs w:val="21"/>
          <w:lang w:val="en-US" w:eastAsia="zh-CN" w:bidi="ar"/>
        </w:rPr>
        <w:t>（</w:t>
      </w:r>
      <w:r>
        <w:rPr>
          <w:rFonts w:hint="eastAsia" w:ascii="华文楷体" w:hAnsi="华文楷体" w:eastAsia="华文楷体" w:cs="华文楷体"/>
          <w:snapToGrid w:val="0"/>
          <w:color w:val="000000"/>
          <w:kern w:val="0"/>
          <w:sz w:val="21"/>
          <w:szCs w:val="21"/>
          <w:lang w:val="en-US" w:eastAsia="zh-CN" w:bidi="ar"/>
        </w:rPr>
        <w:t xml:space="preserve">Resource: </w:t>
      </w:r>
      <w:r>
        <w:rPr>
          <w:rFonts w:hint="default" w:ascii="华文楷体" w:hAnsi="华文楷体" w:eastAsia="华文楷体" w:cs="华文楷体"/>
          <w:snapToGrid w:val="0"/>
          <w:color w:val="000000"/>
          <w:kern w:val="0"/>
          <w:sz w:val="21"/>
          <w:szCs w:val="21"/>
          <w:lang w:val="en-US" w:eastAsia="zh-CN" w:bidi="ar"/>
        </w:rPr>
        <w:t>Monofacial vs bifacial solar photovoltaic systems in snowy environments，展示利用图像分割技术确定光伏板积雪覆盖比例的过程）</w:t>
      </w:r>
    </w:p>
    <w:p w14:paraId="3E98F258">
      <w:pPr>
        <w:keepNext w:val="0"/>
        <w:keepLines w:val="0"/>
        <w:widowControl/>
        <w:suppressLineNumbers w:val="0"/>
        <w:spacing w:line="240" w:lineRule="auto"/>
        <w:jc w:val="left"/>
        <w:rPr>
          <w:rFonts w:hint="default" w:ascii="华文楷体" w:hAnsi="华文楷体" w:eastAsia="华文楷体" w:cs="华文楷体"/>
          <w:snapToGrid w:val="0"/>
          <w:color w:val="000000"/>
          <w:kern w:val="0"/>
          <w:sz w:val="21"/>
          <w:szCs w:val="21"/>
          <w:lang w:val="en-US" w:eastAsia="zh-CN" w:bidi="ar"/>
        </w:rPr>
      </w:pPr>
    </w:p>
    <w:p w14:paraId="0BAC5B2D">
      <w:pPr>
        <w:keepNext w:val="0"/>
        <w:keepLines w:val="0"/>
        <w:widowControl/>
        <w:suppressLineNumbers w:val="0"/>
        <w:spacing w:line="360" w:lineRule="auto"/>
        <w:ind w:firstLine="420" w:firstLineChars="0"/>
        <w:jc w:val="left"/>
        <w:rPr>
          <w:rFonts w:hint="eastAsia"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最新的研究深入探讨了组件安装方式（纵向 vs. 横向）对雪损电信号的影响。由于雪通常从顶部下滑并堆积在底部，纵向（Portrait）安装的组件即使只有 10% 的面积被雪遮挡，也会切断所有电池串的电流，导致 100% 的功率损失；而横向（Landscape）安装则允许上部未遮挡区域继续发电。在模型修正方面，改进后的 Marion 模型建议根据雪深动态调整滑动系数：当雪深小于 3cm 时，取 sc=0.4；当雪深超过 3cm 时，由于地面支撑导致的滑动受阻，系数应锐减至 0.06。在自动监测技术上，利用卷积神经网络（CNN）结合全像素分析，可以实现对 44 块组件阵列的高精度监控，其覆盖比例预测误差仅为 1.8% 至 3.7%。深度学习方法（如 LMB 算法）被证明在处理复杂背景下的积雪识别时比传统图像分割更稳健，其预测 R 值平均达到 0.9。研究还发现，双面组件的“快速融雪效应”在 15 分钟级的高频图像监测中得到了证实，其背面的光热转换能有效降低雪与玻璃之间的粘附力，加速滑雪过程。这些研究为极地光伏阵列的精细化运维及电路重构策略提供了核心数据支撑。</w:t>
      </w:r>
    </w:p>
    <w:p w14:paraId="37935090">
      <w:pPr>
        <w:keepNext w:val="0"/>
        <w:keepLines w:val="0"/>
        <w:widowControl/>
        <w:suppressLineNumbers w:val="0"/>
        <w:spacing w:line="240" w:lineRule="auto"/>
        <w:jc w:val="left"/>
        <w:rPr>
          <w:rFonts w:hint="default" w:ascii="华文楷体" w:hAnsi="华文楷体" w:eastAsia="华文楷体" w:cs="华文楷体"/>
          <w:snapToGrid w:val="0"/>
          <w:color w:val="000000"/>
          <w:kern w:val="0"/>
          <w:sz w:val="21"/>
          <w:szCs w:val="21"/>
          <w:lang w:val="en-US" w:eastAsia="zh-CN" w:bidi="ar"/>
        </w:rPr>
      </w:pPr>
    </w:p>
    <w:p w14:paraId="227F0333">
      <w:pPr>
        <w:keepNext w:val="0"/>
        <w:keepLines w:val="0"/>
        <w:widowControl/>
        <w:suppressLineNumbers w:val="0"/>
        <w:spacing w:line="360" w:lineRule="auto"/>
        <w:jc w:val="left"/>
        <w:rPr>
          <w:rFonts w:hint="eastAsia" w:ascii="宋体" w:hAnsi="宋体" w:eastAsia="宋体" w:cs="宋体"/>
          <w:snapToGrid w:val="0"/>
          <w:color w:val="000000"/>
          <w:kern w:val="0"/>
          <w:sz w:val="24"/>
          <w:szCs w:val="24"/>
          <w:lang w:val="en-US" w:eastAsia="zh-CN" w:bidi="ar"/>
        </w:rPr>
      </w:pPr>
    </w:p>
    <w:p w14:paraId="4D7645FE">
      <w:pPr>
        <w:keepNext w:val="0"/>
        <w:keepLines w:val="0"/>
        <w:widowControl/>
        <w:suppressLineNumbers w:val="0"/>
        <w:spacing w:line="360" w:lineRule="auto"/>
        <w:jc w:val="left"/>
        <w:rPr>
          <w:rFonts w:hint="eastAsia" w:ascii="宋体" w:hAnsi="宋体" w:eastAsia="宋体" w:cs="宋体"/>
          <w:snapToGrid w:val="0"/>
          <w:color w:val="000000"/>
          <w:kern w:val="0"/>
          <w:sz w:val="24"/>
          <w:szCs w:val="24"/>
          <w:lang w:val="en-US" w:eastAsia="zh-CN" w:bidi="ar"/>
        </w:rPr>
      </w:pPr>
    </w:p>
    <w:p w14:paraId="50850978">
      <w:pPr>
        <w:keepNext w:val="0"/>
        <w:keepLines w:val="0"/>
        <w:widowControl/>
        <w:suppressLineNumbers w:val="0"/>
        <w:spacing w:line="360" w:lineRule="auto"/>
        <w:jc w:val="left"/>
        <w:rPr>
          <w:rFonts w:hint="eastAsia" w:ascii="宋体" w:hAnsi="宋体" w:eastAsia="宋体" w:cs="宋体"/>
          <w:snapToGrid w:val="0"/>
          <w:color w:val="000000"/>
          <w:kern w:val="0"/>
          <w:sz w:val="24"/>
          <w:szCs w:val="24"/>
          <w:lang w:val="en-US" w:eastAsia="zh-CN" w:bidi="ar"/>
        </w:rPr>
      </w:pPr>
    </w:p>
    <w:p w14:paraId="646BE4A8">
      <w:pPr>
        <w:keepNext w:val="0"/>
        <w:keepLines w:val="0"/>
        <w:widowControl/>
        <w:suppressLineNumbers w:val="0"/>
        <w:spacing w:line="360" w:lineRule="auto"/>
        <w:jc w:val="left"/>
        <w:rPr>
          <w:rFonts w:hint="eastAsia" w:ascii="宋体" w:hAnsi="宋体" w:eastAsia="宋体" w:cs="宋体"/>
          <w:snapToGrid w:val="0"/>
          <w:color w:val="000000"/>
          <w:kern w:val="0"/>
          <w:sz w:val="24"/>
          <w:szCs w:val="24"/>
          <w:lang w:val="en-US" w:eastAsia="zh-CN" w:bidi="ar"/>
        </w:rPr>
      </w:pPr>
    </w:p>
    <w:p w14:paraId="2696FD87">
      <w:pPr>
        <w:keepNext w:val="0"/>
        <w:keepLines w:val="0"/>
        <w:widowControl/>
        <w:suppressLineNumbers w:val="0"/>
        <w:spacing w:line="360" w:lineRule="auto"/>
        <w:jc w:val="left"/>
        <w:rPr>
          <w:rFonts w:hint="eastAsia" w:ascii="宋体" w:hAnsi="宋体" w:eastAsia="宋体" w:cs="宋体"/>
          <w:snapToGrid w:val="0"/>
          <w:color w:val="000000"/>
          <w:kern w:val="0"/>
          <w:sz w:val="24"/>
          <w:szCs w:val="24"/>
          <w:lang w:val="en-US" w:eastAsia="zh-CN" w:bidi="ar"/>
        </w:rPr>
      </w:pPr>
    </w:p>
    <w:p w14:paraId="023FBEA9">
      <w:pPr>
        <w:keepNext w:val="0"/>
        <w:keepLines w:val="0"/>
        <w:widowControl/>
        <w:suppressLineNumbers w:val="0"/>
        <w:spacing w:line="360" w:lineRule="auto"/>
        <w:jc w:val="left"/>
        <w:rPr>
          <w:rFonts w:hint="eastAsia" w:ascii="宋体" w:hAnsi="宋体" w:eastAsia="宋体" w:cs="宋体"/>
          <w:snapToGrid w:val="0"/>
          <w:color w:val="000000"/>
          <w:kern w:val="0"/>
          <w:sz w:val="24"/>
          <w:szCs w:val="24"/>
          <w:lang w:val="en-US" w:eastAsia="zh-CN" w:bidi="ar"/>
        </w:rPr>
      </w:pPr>
    </w:p>
    <w:p w14:paraId="56C0B09B">
      <w:pPr>
        <w:numPr>
          <w:ilvl w:val="0"/>
          <w:numId w:val="2"/>
        </w:numPr>
        <w:spacing w:before="91" w:line="221" w:lineRule="auto"/>
        <w:jc w:val="center"/>
        <w:outlineLvl w:val="0"/>
        <w:rPr>
          <w:rFonts w:hint="eastAsia" w:ascii="宋体" w:hAnsi="宋体" w:eastAsia="宋体" w:cs="宋体"/>
          <w:b/>
          <w:bCs/>
          <w:spacing w:val="-7"/>
          <w:sz w:val="32"/>
          <w:szCs w:val="32"/>
          <w:lang w:val="en-US" w:eastAsia="zh-CN"/>
        </w:rPr>
      </w:pPr>
      <w:bookmarkStart w:id="4" w:name="_Toc9707"/>
      <w:bookmarkStart w:id="5" w:name="_Toc16903"/>
      <w:r>
        <w:rPr>
          <w:rFonts w:hint="eastAsia" w:ascii="宋体" w:hAnsi="宋体" w:eastAsia="宋体" w:cs="宋体"/>
          <w:b/>
          <w:bCs/>
          <w:spacing w:val="-7"/>
          <w:sz w:val="32"/>
          <w:szCs w:val="32"/>
          <w:lang w:val="en-US" w:eastAsia="zh-CN"/>
        </w:rPr>
        <w:t>项目进展情况</w:t>
      </w:r>
      <w:bookmarkEnd w:id="4"/>
      <w:bookmarkEnd w:id="5"/>
    </w:p>
    <w:p w14:paraId="47AE121C">
      <w:pPr>
        <w:numPr>
          <w:ilvl w:val="0"/>
          <w:numId w:val="3"/>
        </w:numPr>
        <w:spacing w:before="91" w:line="221" w:lineRule="auto"/>
        <w:jc w:val="both"/>
        <w:outlineLvl w:val="1"/>
        <w:rPr>
          <w:rFonts w:hint="default" w:ascii="宋体" w:hAnsi="宋体" w:eastAsia="宋体" w:cs="宋体"/>
          <w:b/>
          <w:bCs/>
          <w:spacing w:val="-6"/>
          <w:sz w:val="28"/>
          <w:szCs w:val="28"/>
          <w:lang w:val="en-US" w:eastAsia="zh-CN"/>
        </w:rPr>
      </w:pPr>
      <w:bookmarkStart w:id="6" w:name="_Toc1700"/>
      <w:bookmarkStart w:id="7" w:name="_Toc1906"/>
      <w:r>
        <w:rPr>
          <w:rFonts w:hint="eastAsia" w:ascii="宋体" w:hAnsi="宋体" w:eastAsia="宋体" w:cs="宋体"/>
          <w:b/>
          <w:bCs/>
          <w:spacing w:val="-7"/>
          <w:sz w:val="28"/>
          <w:szCs w:val="28"/>
          <w:lang w:val="en-US" w:eastAsia="zh-CN"/>
        </w:rPr>
        <w:t>各部分进展情况</w:t>
      </w:r>
      <w:bookmarkEnd w:id="6"/>
      <w:bookmarkEnd w:id="7"/>
    </w:p>
    <w:p w14:paraId="30F71E9F">
      <w:pPr>
        <w:keepNext w:val="0"/>
        <w:keepLines w:val="0"/>
        <w:widowControl/>
        <w:suppressLineNumbers w:val="0"/>
        <w:spacing w:line="360" w:lineRule="auto"/>
        <w:jc w:val="left"/>
        <w:outlineLvl w:val="2"/>
        <w:rPr>
          <w:rFonts w:hint="default" w:ascii="宋体" w:hAnsi="宋体" w:eastAsia="宋体" w:cs="宋体"/>
          <w:b/>
          <w:bCs/>
          <w:spacing w:val="-6"/>
          <w:sz w:val="28"/>
          <w:szCs w:val="28"/>
          <w:lang w:val="en-US" w:eastAsia="zh-CN"/>
        </w:rPr>
      </w:pPr>
      <w:bookmarkStart w:id="8" w:name="_Toc31650"/>
      <w:r>
        <w:rPr>
          <w:rFonts w:hint="eastAsia" w:ascii="宋体" w:hAnsi="宋体" w:eastAsia="宋体" w:cs="宋体"/>
          <w:b/>
          <w:bCs/>
          <w:snapToGrid w:val="0"/>
          <w:color w:val="000000"/>
          <w:kern w:val="0"/>
          <w:sz w:val="28"/>
          <w:szCs w:val="28"/>
          <w:lang w:val="en-US" w:eastAsia="zh-CN" w:bidi="ar"/>
        </w:rPr>
        <w:t>（1）极地光伏组件及系统设计方案:</w:t>
      </w:r>
      <w:bookmarkEnd w:id="8"/>
    </w:p>
    <w:p w14:paraId="11A2F8A0">
      <w:pPr>
        <w:ind w:firstLine="420" w:firstLineChars="0"/>
        <w:outlineLvl w:val="3"/>
        <w:rPr>
          <w:rFonts w:hint="eastAsia" w:asciiTheme="minorEastAsia" w:hAnsiTheme="minorEastAsia" w:eastAsiaTheme="minorEastAsia" w:cstheme="minorEastAsia"/>
          <w:b/>
          <w:bCs/>
          <w:sz w:val="28"/>
          <w:szCs w:val="28"/>
          <w:lang w:val="en-US" w:eastAsia="zh-CN"/>
        </w:rPr>
      </w:pPr>
      <w:bookmarkStart w:id="9" w:name="_Toc19949"/>
      <w:r>
        <w:rPr>
          <w:rFonts w:hint="eastAsia" w:asciiTheme="minorEastAsia" w:hAnsiTheme="minorEastAsia" w:eastAsiaTheme="minorEastAsia" w:cstheme="minorEastAsia"/>
          <w:b/>
          <w:bCs/>
          <w:sz w:val="28"/>
          <w:szCs w:val="28"/>
          <w:lang w:val="en-US" w:eastAsia="zh-CN"/>
        </w:rPr>
        <w:t>（1.1）光伏组件直射入射角的计算</w:t>
      </w:r>
      <w:bookmarkEnd w:id="9"/>
    </w:p>
    <w:p w14:paraId="1ED74E0A">
      <w:pPr>
        <w:ind w:firstLine="420" w:firstLineChars="0"/>
        <w:rPr>
          <w:rFonts w:hint="default" w:asciiTheme="minorEastAsia" w:hAnsiTheme="minorEastAsia" w:eastAsiaTheme="minorEastAsia" w:cstheme="minorEastAsia"/>
          <w:sz w:val="24"/>
          <w:szCs w:val="24"/>
          <w:lang w:val="en-US" w:eastAsia="zh-CN"/>
        </w:rPr>
      </w:pPr>
    </w:p>
    <w:p w14:paraId="0B9D1CD4">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drawing>
          <wp:inline distT="0" distB="0" distL="114300" distR="114300">
            <wp:extent cx="2754630" cy="1974850"/>
            <wp:effectExtent l="0" t="0" r="1270" b="6350"/>
            <wp:docPr id="6" name="图片 2" descr="屏幕截图 2025-09-17 215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屏幕截图 2025-09-17 215850"/>
                    <pic:cNvPicPr>
                      <a:picLocks noChangeAspect="1"/>
                    </pic:cNvPicPr>
                  </pic:nvPicPr>
                  <pic:blipFill>
                    <a:blip r:embed="rId11"/>
                    <a:stretch>
                      <a:fillRect/>
                    </a:stretch>
                  </pic:blipFill>
                  <pic:spPr>
                    <a:xfrm>
                      <a:off x="0" y="0"/>
                      <a:ext cx="2754630" cy="1974850"/>
                    </a:xfrm>
                    <a:prstGeom prst="rect">
                      <a:avLst/>
                    </a:prstGeom>
                  </pic:spPr>
                </pic:pic>
              </a:graphicData>
            </a:graphic>
          </wp:inline>
        </w:drawing>
      </w:r>
    </w:p>
    <w:p w14:paraId="3B6DDB81">
      <w:pPr>
        <w:ind w:firstLine="420" w:firstLineChars="0"/>
        <w:rPr>
          <w:rFonts w:hint="default" w:asciiTheme="minorEastAsia" w:hAnsiTheme="minorEastAsia" w:eastAsiaTheme="minorEastAsia" w:cstheme="minorEastAsia"/>
          <w:sz w:val="24"/>
          <w:szCs w:val="24"/>
          <w:lang w:val="en-US" w:eastAsia="zh-CN"/>
        </w:rPr>
      </w:pPr>
    </w:p>
    <w:p w14:paraId="63713935">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单面直射入射角计算: </w:t>
      </w:r>
    </w:p>
    <w:p w14:paraId="51C60369">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4角度融合: 太阳俯仰角 太阳方位角 光伏板俯仰角 光伏板方位角</w:t>
      </w:r>
    </w:p>
    <w:p w14:paraId="63F22B01">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cos(入射角) = cos(太阳俯仰角 - 光伏板俯仰角) * cos(太阳方位角 - 光伏板方位角)</w:t>
      </w:r>
    </w:p>
    <w:p w14:paraId="48A030C4">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考虑多面围合的组合方位角计算(假设第一个面方位角是0):</w:t>
      </w:r>
    </w:p>
    <w:p w14:paraId="166A439A">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第i个面: </w:t>
      </w:r>
    </w:p>
    <w:p w14:paraId="7A62B7BF">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cos(入射角i) = cos(太阳俯仰角 - 光伏板俯仰角) * cos(太阳方位角 - (方位角+360/n * i))</w:t>
      </w:r>
    </w:p>
    <w:p w14:paraId="4B870D4F">
      <w:pPr>
        <w:ind w:firstLine="420" w:firstLineChars="0"/>
        <w:rPr>
          <w:rFonts w:hint="default" w:asciiTheme="minorEastAsia" w:hAnsiTheme="minorEastAsia" w:eastAsiaTheme="minorEastAsia" w:cstheme="minorEastAsia"/>
          <w:sz w:val="24"/>
          <w:szCs w:val="24"/>
          <w:lang w:val="en-US" w:eastAsia="zh-CN"/>
        </w:rPr>
      </w:pPr>
    </w:p>
    <w:p w14:paraId="6F738A42">
      <w:pPr>
        <w:ind w:firstLine="420" w:firstLineChars="0"/>
        <w:outlineLvl w:val="3"/>
        <w:rPr>
          <w:rFonts w:hint="eastAsia" w:asciiTheme="minorEastAsia" w:hAnsiTheme="minorEastAsia" w:eastAsiaTheme="minorEastAsia" w:cstheme="minorEastAsia"/>
          <w:b/>
          <w:bCs/>
          <w:sz w:val="28"/>
          <w:szCs w:val="28"/>
          <w:lang w:val="en-US" w:eastAsia="zh-CN"/>
        </w:rPr>
      </w:pPr>
      <w:bookmarkStart w:id="10" w:name="_Toc5608"/>
      <w:r>
        <w:rPr>
          <w:rFonts w:hint="eastAsia" w:asciiTheme="minorEastAsia" w:hAnsiTheme="minorEastAsia" w:eastAsiaTheme="minorEastAsia" w:cstheme="minorEastAsia"/>
          <w:b/>
          <w:bCs/>
          <w:sz w:val="28"/>
          <w:szCs w:val="28"/>
          <w:lang w:val="en-US" w:eastAsia="zh-CN"/>
        </w:rPr>
        <w:t>（1.2）基础辐照功率的推算</w:t>
      </w:r>
      <w:bookmarkEnd w:id="10"/>
    </w:p>
    <w:p w14:paraId="3CDBD33F">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pvlib库计算直射辐照度和给出某地某时刻DNI的方法:</w:t>
      </w:r>
    </w:p>
    <w:p w14:paraId="4BCF461C">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根据天文学理论推导得到某时刻某地的太阳俯仰角和太阳方位角</w:t>
      </w:r>
    </w:p>
    <w:p w14:paraId="76E6F935">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标准时间 --&gt; 儒略日和儒略世纪数 --&gt; 太阳黄经 太阳赤纬 --&gt; 太阳俯仰角&amp;太阳方位角</w:t>
      </w:r>
    </w:p>
    <w:p w14:paraId="30533507">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计算某地考虑部分大气与环境因素的DNI - Direct Normal Irradiance(法向直射辐照度):</w:t>
      </w:r>
    </w:p>
    <w:p w14:paraId="332BEF7D">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object>
          <v:shape id="_x0000_i1025" o:spt="75" type="#_x0000_t75" style="height:19pt;width:68pt;" o:ole="t" filled="f" o:preferrelative="t" stroked="f" coordsize="21600,21600">
            <v:path/>
            <v:fill on="f" focussize="0,0"/>
            <v:stroke on="f" joinstyle="miter"/>
            <v:imagedata r:id="rId13" o:title=""/>
            <o:lock v:ext="edit" aspectratio="f"/>
            <w10:wrap type="none"/>
            <w10:anchorlock/>
          </v:shape>
          <o:OLEObject Type="Embed" ProgID="Equation.DSMT4" ShapeID="_x0000_i1025" DrawAspect="Content" ObjectID="_1468075725" r:id="rId12">
            <o:LockedField>false</o:LockedField>
          </o:OLEObject>
        </w:object>
      </w:r>
    </w:p>
    <w:p w14:paraId="74C42AF6">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I : 太阳常数(理论计算式如下, T为太阳表面温度, r为太阳半径, R为地日距离, 实际取值为近地轨道空间站实际测量的单位面积法相直射辐照度)</w:t>
      </w:r>
    </w:p>
    <w:p w14:paraId="201DFC63">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object>
          <v:shape id="_x0000_i1026" o:spt="75" type="#_x0000_t75" style="height:33pt;width:36pt;" o:ole="t" filled="f" o:preferrelative="t" stroked="f" coordsize="21600,21600">
            <v:path/>
            <v:fill on="f" focussize="0,0"/>
            <v:stroke on="f" joinstyle="miter"/>
            <v:imagedata r:id="rId15" o:title=""/>
            <o:lock v:ext="edit" aspectratio="f"/>
            <w10:wrap type="none"/>
            <w10:anchorlock/>
          </v:shape>
          <o:OLEObject Type="Embed" ProgID="Equation.DSMT4" ShapeID="_x0000_i1026" DrawAspect="Content" ObjectID="_1468075726" r:id="rId14">
            <o:LockedField>false</o:LockedField>
          </o:OLEObject>
        </w:object>
      </w:r>
    </w:p>
    <w:p w14:paraId="56FA2EBE">
      <w:pPr>
        <w:ind w:firstLine="420" w:firstLineChars="0"/>
        <w:rPr>
          <w:rFonts w:hint="eastAsia" w:asciiTheme="minorEastAsia" w:hAnsiTheme="minorEastAsia" w:eastAsiaTheme="minorEastAsia" w:cstheme="minorEastAsia"/>
          <w:sz w:val="24"/>
          <w:szCs w:val="24"/>
          <w:lang w:val="en-US" w:eastAsia="zh-CN"/>
        </w:rPr>
      </w:pPr>
    </w:p>
    <w:p w14:paraId="4B4BEB9D">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m：大气质量</w:t>
      </w:r>
    </w:p>
    <w:p w14:paraId="7BA06682">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k：与大气浑浊度、吸收和散射有关的经验系数（由 Linke turbidity 给出）</w:t>
      </w:r>
    </w:p>
    <w:p w14:paraId="7D9385EF">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考虑散射辐照度(地面散射+天空散射)</w:t>
      </w:r>
    </w:p>
    <w:p w14:paraId="612FF411">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计算DHI (Diffuse Horizontal Irradiance)</w:t>
      </w:r>
    </w:p>
    <w:p w14:paraId="7975F469">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object>
          <v:shape id="_x0000_i1027" o:spt="75" type="#_x0000_t75" style="height:20pt;width:153pt;" o:ole="t" filled="f" o:preferrelative="t" stroked="f" coordsize="21600,21600">
            <v:path/>
            <v:fill on="f" focussize="0,0"/>
            <v:stroke on="f" joinstyle="miter"/>
            <v:imagedata r:id="rId17" o:title=""/>
            <o:lock v:ext="edit" aspectratio="f"/>
            <w10:wrap type="none"/>
            <w10:anchorlock/>
          </v:shape>
          <o:OLEObject Type="Embed" ProgID="Equation.DSMT4" ShapeID="_x0000_i1027" DrawAspect="Content" ObjectID="_1468075727" r:id="rId16">
            <o:LockedField>false</o:LockedField>
          </o:OLEObject>
        </w:object>
      </w:r>
    </w:p>
    <w:p w14:paraId="695C647F">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其中GHI(Global Horizontal Irradiance) 为实测得地表总辐照度(包括直射+散射), pvlib库会根据输入得经纬度调出当地或就近地区测得的GHI数据. </w:t>
      </w:r>
      <w:r>
        <w:rPr>
          <w:rFonts w:hint="eastAsia" w:asciiTheme="minorEastAsia" w:hAnsiTheme="minorEastAsia" w:eastAsiaTheme="minorEastAsia" w:cstheme="minorEastAsia"/>
          <w:sz w:val="24"/>
          <w:szCs w:val="24"/>
          <w:lang w:val="en-US" w:eastAsia="zh-CN"/>
        </w:rPr>
        <w:object>
          <v:shape id="_x0000_i1028" o:spt="75" type="#_x0000_t75" style="height:18pt;width:14pt;" o:ole="t" filled="f" o:preferrelative="t" stroked="f" coordsize="21600,21600">
            <v:path/>
            <v:fill on="f" focussize="0,0"/>
            <v:stroke on="f" joinstyle="miter"/>
            <v:imagedata r:id="rId19" o:title=""/>
            <o:lock v:ext="edit" aspectratio="f"/>
            <w10:wrap type="none"/>
            <w10:anchorlock/>
          </v:shape>
          <o:OLEObject Type="Embed" ProgID="Equation.DSMT4" ShapeID="_x0000_i1028" DrawAspect="Content" ObjectID="_1468075728" r:id="rId18">
            <o:LockedField>false</o:LockedField>
          </o:OLEObject>
        </w:object>
      </w:r>
      <w:r>
        <w:rPr>
          <w:rFonts w:hint="eastAsia" w:asciiTheme="minorEastAsia" w:hAnsiTheme="minorEastAsia" w:eastAsiaTheme="minorEastAsia" w:cstheme="minorEastAsia"/>
          <w:sz w:val="24"/>
          <w:szCs w:val="24"/>
          <w:lang w:val="en-US" w:eastAsia="zh-CN"/>
        </w:rPr>
        <w:t>为太阳高度角</w:t>
      </w:r>
    </w:p>
    <w:p w14:paraId="4813C2ED">
      <w:pPr>
        <w:ind w:firstLine="420" w:firstLineChars="0"/>
        <w:rPr>
          <w:rFonts w:hint="eastAsia" w:asciiTheme="minorEastAsia" w:hAnsiTheme="minorEastAsia" w:eastAsiaTheme="minorEastAsia" w:cstheme="minorEastAsia"/>
          <w:sz w:val="24"/>
          <w:szCs w:val="24"/>
          <w:lang w:val="en-US" w:eastAsia="zh-CN"/>
        </w:rPr>
      </w:pPr>
    </w:p>
    <w:p w14:paraId="085CA08C">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地面散射(Gound Diffusion): </w:t>
      </w:r>
    </w:p>
    <w:p w14:paraId="09D5CC1B">
      <w:pPr>
        <w:ind w:firstLine="420" w:firstLine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地面散射本质是由GHI反射得到, 所以大致为GHI 乘一个系数, 这里即为:</w:t>
      </w:r>
    </w:p>
    <w:p w14:paraId="142E1B42">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en-US" w:eastAsia="zh-CN"/>
        </w:rPr>
        <w:object>
          <v:shape id="_x0000_i1029" o:spt="75" type="#_x0000_t75" style="height:31pt;width:88pt;" o:ole="t" filled="f" o:preferrelative="t" stroked="f" coordsize="21600,21600">
            <v:path/>
            <v:fill on="f" focussize="0,0"/>
            <v:stroke on="f" joinstyle="miter"/>
            <v:imagedata r:id="rId21" o:title=""/>
            <o:lock v:ext="edit" aspectratio="f"/>
            <w10:wrap type="none"/>
            <w10:anchorlock/>
          </v:shape>
          <o:OLEObject Type="Embed" ProgID="Equation.DSMT4" ShapeID="_x0000_i1029" DrawAspect="Content" ObjectID="_1468075729" r:id="rId20">
            <o:LockedField>false</o:LockedField>
          </o:OLEObject>
        </w:object>
      </w:r>
    </w:p>
    <w:p w14:paraId="1FCD90F2">
      <w:pPr>
        <w:ind w:firstLine="420" w:firstLine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得到基础辐照功率的计算公式: </w:t>
      </w:r>
    </w:p>
    <w:p w14:paraId="7C87A246">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object>
          <v:shape id="_x0000_i1030" o:spt="75" type="#_x0000_t75" style="height:20pt;width:404pt;" o:ole="t" filled="f" o:preferrelative="t" stroked="f" coordsize="21600,21600">
            <v:path/>
            <v:fill on="f" focussize="0,0"/>
            <v:stroke on="f"/>
            <v:imagedata r:id="rId23" o:title=""/>
            <o:lock v:ext="edit" aspectratio="f"/>
            <w10:wrap type="none"/>
            <w10:anchorlock/>
          </v:shape>
          <o:OLEObject Type="Embed" ProgID="Equation.DSMT4" ShapeID="_x0000_i1030" DrawAspect="Content" ObjectID="_1468075730" r:id="rId22">
            <o:LockedField>false</o:LockedField>
          </o:OLEObject>
        </w:object>
      </w:r>
    </w:p>
    <w:p w14:paraId="64C75290">
      <w:pPr>
        <w:ind w:firstLine="420" w:firstLineChars="0"/>
        <w:outlineLvl w:val="3"/>
        <w:rPr>
          <w:rFonts w:hint="default" w:asciiTheme="minorEastAsia" w:hAnsiTheme="minorEastAsia" w:eastAsiaTheme="minorEastAsia" w:cstheme="minorEastAsia"/>
          <w:b/>
          <w:bCs/>
          <w:sz w:val="28"/>
          <w:szCs w:val="28"/>
          <w:lang w:val="en-US" w:eastAsia="zh-CN"/>
        </w:rPr>
      </w:pPr>
      <w:bookmarkStart w:id="11" w:name="_Toc24339"/>
      <w:r>
        <w:rPr>
          <w:rFonts w:hint="eastAsia" w:asciiTheme="minorEastAsia" w:hAnsiTheme="minorEastAsia" w:eastAsiaTheme="minorEastAsia" w:cstheme="minorEastAsia"/>
          <w:b/>
          <w:bCs/>
          <w:sz w:val="28"/>
          <w:szCs w:val="28"/>
          <w:lang w:val="en-US" w:eastAsia="zh-CN"/>
        </w:rPr>
        <w:t>（1.3）优化辐照功率的推算</w:t>
      </w:r>
      <w:bookmarkEnd w:id="11"/>
    </w:p>
    <w:p w14:paraId="0F9E6969">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以PV-lib库整合的Perez模型为基础</w:t>
      </w:r>
    </w:p>
    <w:p w14:paraId="6736078E">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Gsky​=DHI</w:t>
      </w:r>
      <w:r>
        <w:rPr>
          <w:rFonts w:hint="eastAsia" w:asciiTheme="minorEastAsia" w:hAnsiTheme="minorEastAsia" w:eastAsiaTheme="minorEastAsia" w:cstheme="minorEastAsia"/>
          <w:sz w:val="24"/>
          <w:szCs w:val="24"/>
          <w:lang w:val="en-US" w:eastAsia="zh-CN"/>
        </w:rPr>
        <w:t>*</w:t>
      </w:r>
      <w:r>
        <w:rPr>
          <w:rFonts w:hint="default" w:asciiTheme="minorEastAsia" w:hAnsiTheme="minorEastAsia" w:eastAsiaTheme="minorEastAsia" w:cstheme="minorEastAsia"/>
          <w:sz w:val="24"/>
          <w:szCs w:val="24"/>
          <w:lang w:val="en-US" w:eastAsia="zh-CN"/>
        </w:rPr>
        <w:t>(Fiso​+Fcircumsolar​+Fhorizon​)</w:t>
      </w:r>
    </w:p>
    <w:p w14:paraId="07E732F7">
      <w:pPr>
        <w:ind w:firstLine="420" w:firstLine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poa</w:t>
      </w:r>
      <w:r>
        <w:rPr>
          <w:rFonts w:hint="default" w:asciiTheme="minorEastAsia" w:hAnsiTheme="minorEastAsia" w:eastAsiaTheme="minorEastAsia" w:cstheme="minorEastAsia"/>
          <w:sz w:val="24"/>
          <w:szCs w:val="24"/>
          <w:lang w:val="en-US" w:eastAsia="zh-CN"/>
        </w:rPr>
        <w:t>= pvlib.irradiance.get_total_irradiance( surface_tilt=beta, surface_azimuth=gamma, dni=dni, ghi=ghi, dhi=dhi, solar_zenith=theta_z, solar_azimuth=azimuth, albedo=, model='perez' )</w:t>
      </w:r>
    </w:p>
    <w:p w14:paraId="759FA081">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G_beam = poa['poa_direct']</w:t>
      </w:r>
      <w:r>
        <w:rPr>
          <w:rFonts w:hint="default" w:asciiTheme="minorEastAsia" w:hAnsiTheme="minorEastAsia" w:eastAsiaTheme="minorEastAsia" w:cstheme="minorEastAsia"/>
          <w:sz w:val="24"/>
          <w:szCs w:val="24"/>
          <w:lang w:val="en-US" w:eastAsia="zh-CN"/>
        </w:rPr>
        <w:br w:type="textWrapping"/>
      </w:r>
      <w:r>
        <w:rPr>
          <w:rFonts w:hint="default" w:asciiTheme="minorEastAsia" w:hAnsiTheme="minorEastAsia" w:eastAsiaTheme="minorEastAsia" w:cstheme="minorEastAsia"/>
          <w:sz w:val="24"/>
          <w:szCs w:val="24"/>
          <w:lang w:val="en-US" w:eastAsia="zh-CN"/>
        </w:rPr>
        <w:t>G_sky = poa['poa_sky_diffuse']</w:t>
      </w:r>
      <w:r>
        <w:rPr>
          <w:rFonts w:hint="default" w:asciiTheme="minorEastAsia" w:hAnsiTheme="minorEastAsia" w:eastAsiaTheme="minorEastAsia" w:cstheme="minorEastAsia"/>
          <w:sz w:val="24"/>
          <w:szCs w:val="24"/>
          <w:lang w:val="en-US" w:eastAsia="zh-CN"/>
        </w:rPr>
        <w:br w:type="textWrapping"/>
      </w:r>
      <w:r>
        <w:rPr>
          <w:rFonts w:hint="default" w:asciiTheme="minorEastAsia" w:hAnsiTheme="minorEastAsia" w:eastAsiaTheme="minorEastAsia" w:cstheme="minorEastAsia"/>
          <w:sz w:val="24"/>
          <w:szCs w:val="24"/>
          <w:lang w:val="en-US" w:eastAsia="zh-CN"/>
        </w:rPr>
        <w:t>G_ground = poa['poa_ground_diffuse']</w:t>
      </w:r>
    </w:p>
    <w:p w14:paraId="63245569">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在研究过程中, 我们选取了现代光伏和极地地区必须要考虑的几大因素, 用于优化辐照功率的建模, 具体分析如下:</w:t>
      </w:r>
    </w:p>
    <w:p w14:paraId="4C97CEEA">
      <w:pPr>
        <w:ind w:firstLine="420" w:firstLineChars="0"/>
        <w:rPr>
          <w:rFonts w:hint="default" w:asciiTheme="minorEastAsia" w:hAnsiTheme="minorEastAsia" w:eastAsiaTheme="minorEastAsia" w:cstheme="minorEastAsia"/>
          <w:sz w:val="24"/>
          <w:szCs w:val="24"/>
          <w:lang w:val="en-US" w:eastAsia="zh-CN"/>
        </w:rPr>
      </w:pPr>
    </w:p>
    <w:p w14:paraId="01093A00">
      <w:pPr>
        <w:ind w:firstLine="420" w:firstLine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(1.3.1) FlAM大入射角损失</w:t>
      </w:r>
    </w:p>
    <w:p w14:paraId="16E77C6B">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为了修正南极低太阳高度角下，光伏板玻璃表面的角度反射损失，</w:t>
      </w:r>
      <w:r>
        <w:rPr>
          <w:rFonts w:hint="eastAsia" w:asciiTheme="minorEastAsia" w:hAnsiTheme="minorEastAsia" w:eastAsiaTheme="minorEastAsia" w:cstheme="minorEastAsia"/>
          <w:sz w:val="24"/>
          <w:szCs w:val="24"/>
          <w:lang w:val="en-US" w:eastAsia="zh-CN"/>
        </w:rPr>
        <w:t>本模型</w:t>
      </w:r>
      <w:r>
        <w:rPr>
          <w:rFonts w:hint="default" w:asciiTheme="minorEastAsia" w:hAnsiTheme="minorEastAsia" w:eastAsiaTheme="minorEastAsia" w:cstheme="minorEastAsia"/>
          <w:sz w:val="24"/>
          <w:szCs w:val="24"/>
          <w:lang w:val="en-US" w:eastAsia="zh-CN"/>
        </w:rPr>
        <w:t>引入了入射角修正因子 (</w:t>
      </w:r>
      <w:r>
        <w:rPr>
          <w:rFonts w:hint="eastAsia" w:asciiTheme="minorEastAsia" w:hAnsiTheme="minorEastAsia" w:eastAsiaTheme="minorEastAsia" w:cstheme="minorEastAsia"/>
          <w:sz w:val="24"/>
          <w:szCs w:val="24"/>
          <w:lang w:val="en-US" w:eastAsia="zh-CN"/>
        </w:rPr>
        <w:t>F</w:t>
      </w:r>
      <w:r>
        <w:rPr>
          <w:rFonts w:hint="default" w:asciiTheme="minorEastAsia" w:hAnsiTheme="minorEastAsia" w:eastAsiaTheme="minorEastAsia" w:cstheme="minorEastAsia"/>
          <w:sz w:val="24"/>
          <w:szCs w:val="24"/>
          <w:lang w:val="en-US" w:eastAsia="zh-CN"/>
        </w:rPr>
        <w:t>IAM)。其中，直射项修正参考 Sandia IAM 模型，而天空散射项的修正因子 (fIAM,diff​) 则参考 Martin and Ruiz 分析模型，以确保在大入射角条件下有效利用辐照度计算的准确性。</w:t>
      </w:r>
    </w:p>
    <w:p w14:paraId="7477EBEB">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object>
          <v:shape id="_x0000_i1031" o:spt="75" type="#_x0000_t75" style="height:20pt;width:135pt;" o:ole="t" filled="f" o:preferrelative="t" stroked="f" coordsize="21600,21600">
            <v:path/>
            <v:fill on="f" focussize="0,0"/>
            <v:stroke on="f"/>
            <v:imagedata r:id="rId25" o:title=""/>
            <o:lock v:ext="edit" aspectratio="f"/>
            <w10:wrap type="none"/>
            <w10:anchorlock/>
          </v:shape>
          <o:OLEObject Type="Embed" ProgID="Equation.DSMT4" ShapeID="_x0000_i1031" DrawAspect="Content" ObjectID="_1468075731" r:id="rId24">
            <o:LockedField>false</o:LockedField>
          </o:OLEObject>
        </w:object>
      </w:r>
    </w:p>
    <w:p w14:paraId="5562520D">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“Sourcing albedo data for bifacial PV systems in complex landscapes”</w:t>
      </w:r>
      <w:r>
        <w:rPr>
          <w:rFonts w:hint="eastAsia" w:asciiTheme="minorEastAsia" w:hAnsiTheme="minorEastAsia" w:eastAsiaTheme="minorEastAsia" w:cstheme="minorEastAsia"/>
          <w:sz w:val="24"/>
          <w:szCs w:val="24"/>
          <w:lang w:val="en-US" w:eastAsia="zh-CN"/>
        </w:rPr>
        <w:t>一文中对此解释如下:</w:t>
      </w:r>
    </w:p>
    <w:p w14:paraId="5A5FBC93">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One problem of the reference cell is that reflections from its planar glass cover significantly reduce the measured effective irradiance at high angles of incidence. This effect can be modelled using incident angle modifier (IAM) models. We show the result of fitting the 1-parameter Martin and Ruiz IAM model with a parameter ar = 0.163. This enables an angular correction to be applied. We modify the reference cell albedometer measurement with an angular-response correction, where fIAM(θ) is the incident angle modifier function for direct light, and fIAM,diff is the IAM for diffuse light. We used the Martin and Ruiz IAM model with fit parameter ar = 0.163 and fIAM,diff = 0.986 derived by assuming isotropic diffuseradiance.</w:t>
      </w:r>
    </w:p>
    <w:p w14:paraId="72F49E8B">
      <w:pPr>
        <w:ind w:firstLine="420" w:firstLineChars="0"/>
        <w:rPr>
          <w:rFonts w:hint="default" w:asciiTheme="minorEastAsia" w:hAnsiTheme="minorEastAsia" w:eastAsiaTheme="minorEastAsia" w:cstheme="minorEastAsia"/>
          <w:sz w:val="24"/>
          <w:szCs w:val="24"/>
          <w:lang w:val="en-US" w:eastAsia="zh-CN"/>
        </w:rPr>
      </w:pPr>
    </w:p>
    <w:p w14:paraId="6C6A1FAC">
      <w:pPr>
        <w:ind w:firstLine="420" w:firstLineChars="0"/>
        <w:rPr>
          <w:rFonts w:hint="eastAsia"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drawing>
          <wp:inline distT="0" distB="0" distL="114300" distR="114300">
            <wp:extent cx="5274310" cy="1701165"/>
            <wp:effectExtent l="0" t="0" r="889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5274310" cy="1701165"/>
                    </a:xfrm>
                    <a:prstGeom prst="rect">
                      <a:avLst/>
                    </a:prstGeom>
                    <a:noFill/>
                    <a:ln>
                      <a:noFill/>
                    </a:ln>
                  </pic:spPr>
                </pic:pic>
              </a:graphicData>
            </a:graphic>
          </wp:inline>
        </w:drawing>
      </w:r>
    </w:p>
    <w:p w14:paraId="5CC399D8">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 xml:space="preserve">Resource: </w:t>
      </w:r>
      <w:r>
        <w:rPr>
          <w:rFonts w:hint="default" w:asciiTheme="minorEastAsia" w:hAnsiTheme="minorEastAsia" w:eastAsiaTheme="minorEastAsia" w:cstheme="minorEastAsia"/>
          <w:sz w:val="24"/>
          <w:szCs w:val="24"/>
          <w:lang w:val="en-US" w:eastAsia="zh-CN"/>
        </w:rPr>
        <w:t>Sourcing albedo data for bifacial PV systems in complex landscapes</w:t>
      </w:r>
      <w:r>
        <w:rPr>
          <w:rFonts w:hint="eastAsia" w:asciiTheme="minorEastAsia" w:hAnsiTheme="minorEastAsia" w:eastAsiaTheme="minorEastAsia" w:cstheme="minorEastAsia"/>
          <w:sz w:val="24"/>
          <w:szCs w:val="24"/>
          <w:lang w:val="en-US" w:eastAsia="zh-CN"/>
        </w:rPr>
        <w:t>)</w:t>
      </w:r>
    </w:p>
    <w:p w14:paraId="7DEAB0EC">
      <w:pPr>
        <w:ind w:firstLine="420" w:firstLineChars="0"/>
        <w:rPr>
          <w:rFonts w:hint="default" w:asciiTheme="minorEastAsia" w:hAnsiTheme="minorEastAsia" w:eastAsiaTheme="minorEastAsia" w:cstheme="minorEastAsia"/>
          <w:sz w:val="24"/>
          <w:szCs w:val="24"/>
          <w:lang w:val="en-US" w:eastAsia="zh-CN"/>
        </w:rPr>
      </w:pPr>
    </w:p>
    <w:p w14:paraId="585386F3">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(1.3.2) 0.98的雪地光谱与硅光伏板错配系数</w:t>
      </w:r>
    </w:p>
    <w:p w14:paraId="1137CF03">
      <w:pPr>
        <w:ind w:firstLine="420" w:firstLineChars="0"/>
        <w:rPr>
          <w:rFonts w:hint="eastAsia" w:asciiTheme="minorEastAsia" w:hAnsiTheme="minorEastAsia" w:eastAsiaTheme="minorEastAsia" w:cstheme="minorEastAsia"/>
          <w:sz w:val="24"/>
          <w:szCs w:val="24"/>
          <w:lang w:val="en-US" w:eastAsia="zh-CN"/>
        </w:rPr>
      </w:pPr>
    </w:p>
    <w:p w14:paraId="32EF5595">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The effect of spectral albedo in bifacial photovoltaic performance</w:t>
      </w:r>
      <w:r>
        <w:rPr>
          <w:rFonts w:hint="default"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一文中对此做了以下解释:</w:t>
      </w:r>
    </w:p>
    <w:p w14:paraId="68E86FCF">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The spectral nature of albedo is shown to have significant influence on bifacial photo-voltaic performance wherein backside spectral impact as high as 1.20 is observed for fixed-tilt systems above green vegetation and as low as 0.98 for systems above snow.</w:t>
      </w:r>
    </w:p>
    <w:p w14:paraId="485C0755">
      <w:pPr>
        <w:ind w:firstLine="420" w:firstLineChars="0"/>
        <w:rPr>
          <w:rFonts w:hint="default" w:asciiTheme="minorEastAsia" w:hAnsiTheme="minorEastAsia" w:eastAsiaTheme="minorEastAsia" w:cstheme="minorEastAsia"/>
          <w:sz w:val="24"/>
          <w:szCs w:val="24"/>
          <w:lang w:val="en-US" w:eastAsia="zh-CN"/>
        </w:rPr>
      </w:pPr>
    </w:p>
    <w:p w14:paraId="067F62C4">
      <w:pPr>
        <w:ind w:firstLine="420" w:firstLine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drawing>
          <wp:inline distT="0" distB="0" distL="114300" distR="114300">
            <wp:extent cx="5268595" cy="1761490"/>
            <wp:effectExtent l="0" t="0" r="1905" b="3810"/>
            <wp:docPr id="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2"/>
                    <pic:cNvPicPr>
                      <a:picLocks noChangeAspect="1"/>
                    </pic:cNvPicPr>
                  </pic:nvPicPr>
                  <pic:blipFill>
                    <a:blip r:embed="rId26"/>
                    <a:stretch>
                      <a:fillRect/>
                    </a:stretch>
                  </pic:blipFill>
                  <pic:spPr>
                    <a:xfrm>
                      <a:off x="0" y="0"/>
                      <a:ext cx="5268595" cy="1761490"/>
                    </a:xfrm>
                    <a:prstGeom prst="rect">
                      <a:avLst/>
                    </a:prstGeom>
                    <a:noFill/>
                    <a:ln>
                      <a:noFill/>
                    </a:ln>
                  </pic:spPr>
                </pic:pic>
              </a:graphicData>
            </a:graphic>
          </wp:inline>
        </w:drawing>
      </w:r>
      <w:r>
        <w:rPr>
          <w:rFonts w:hint="default" w:asciiTheme="minorEastAsia" w:hAnsiTheme="minorEastAsia" w:eastAsiaTheme="minorEastAsia" w:cstheme="minorEastAsia"/>
          <w:sz w:val="24"/>
          <w:szCs w:val="24"/>
          <w:lang w:val="en-US" w:eastAsia="zh-CN"/>
        </w:rPr>
        <w:t> </w:t>
      </w:r>
    </w:p>
    <w:p w14:paraId="5551F705">
      <w:pPr>
        <w:ind w:firstLine="420" w:firstLineChars="0"/>
        <w:rPr>
          <w:rFonts w:hint="default" w:asciiTheme="minorEastAsia" w:hAnsiTheme="minorEastAsia" w:eastAsiaTheme="minorEastAsia" w:cstheme="minorEastAsia"/>
          <w:sz w:val="24"/>
          <w:szCs w:val="24"/>
          <w:lang w:val="en-US" w:eastAsia="zh-CN"/>
        </w:rPr>
      </w:pPr>
    </w:p>
    <w:p w14:paraId="250AC895">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(1.3.3) </w:t>
      </w:r>
      <w:r>
        <w:rPr>
          <w:rFonts w:hint="default" w:asciiTheme="minorEastAsia" w:hAnsiTheme="minorEastAsia" w:eastAsiaTheme="minorEastAsia" w:cstheme="minorEastAsia"/>
          <w:sz w:val="24"/>
          <w:szCs w:val="24"/>
          <w:lang w:val="en-US" w:eastAsia="zh-CN"/>
        </w:rPr>
        <w:t>αeff’(t)</w:t>
      </w:r>
      <w:r>
        <w:rPr>
          <w:rFonts w:hint="eastAsia" w:asciiTheme="minorEastAsia" w:hAnsiTheme="minorEastAsia" w:eastAsiaTheme="minorEastAsia" w:cstheme="minorEastAsia"/>
          <w:sz w:val="24"/>
          <w:szCs w:val="24"/>
          <w:lang w:val="en-US" w:eastAsia="zh-CN"/>
        </w:rPr>
        <w:t xml:space="preserve"> 反射系数优化</w:t>
      </w:r>
    </w:p>
    <w:p w14:paraId="1B41B930">
      <w:pPr>
        <w:ind w:firstLine="420" w:firstLineChars="0"/>
        <w:rPr>
          <w:rFonts w:hint="default" w:asciiTheme="minorEastAsia" w:hAnsiTheme="minorEastAsia" w:eastAsiaTheme="minorEastAsia" w:cstheme="minorEastAsia"/>
          <w:sz w:val="24"/>
          <w:szCs w:val="24"/>
          <w:lang w:val="en-US" w:eastAsia="zh-CN"/>
        </w:rPr>
      </w:pPr>
    </w:p>
    <w:p w14:paraId="4FCD5ABB">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object>
          <v:shape id="_x0000_i1032" o:spt="75" type="#_x0000_t75" style="height:20pt;width:228pt;" o:ole="t" filled="f" o:preferrelative="t" stroked="f" coordsize="21600,21600">
            <v:path/>
            <v:fill on="f" focussize="0,0"/>
            <v:stroke on="f"/>
            <v:imagedata r:id="rId28" o:title=""/>
            <o:lock v:ext="edit" aspectratio="f"/>
            <w10:wrap type="none"/>
            <w10:anchorlock/>
          </v:shape>
          <o:OLEObject Type="Embed" ProgID="Equation.DSMT4" ShapeID="_x0000_i1032" DrawAspect="Content" ObjectID="_1468075732" r:id="rId27">
            <o:LockedField>false</o:LockedField>
          </o:OLEObject>
        </w:object>
      </w:r>
    </w:p>
    <w:p w14:paraId="65F6D5A9">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此优化的核心在于将到达地面的太阳辐射拆分为“直射”与“散射”两个物理分量，并分别考虑地表对这两种不同光性质的反射特性. αws为white sky albedo, while αbs为black sky albedo, 这两个参数由BRDF卫星数据获得.</w:t>
      </w:r>
    </w:p>
    <w:p w14:paraId="25D90AC2">
      <w:pPr>
        <w:ind w:firstLine="420" w:firstLineChars="0"/>
        <w:rPr>
          <w:rFonts w:hint="eastAsia" w:asciiTheme="minorEastAsia" w:hAnsiTheme="minorEastAsia" w:eastAsiaTheme="minorEastAsia" w:cstheme="minorEastAsia"/>
          <w:sz w:val="24"/>
          <w:szCs w:val="24"/>
          <w:lang w:val="en-US" w:eastAsia="zh-CN"/>
        </w:rPr>
      </w:pPr>
    </w:p>
    <w:p w14:paraId="763CEF5D">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“Sourcing albedo data for bifacial PV systems in complex landscapes”</w:t>
      </w:r>
      <w:r>
        <w:rPr>
          <w:rFonts w:hint="eastAsia" w:asciiTheme="minorEastAsia" w:hAnsiTheme="minorEastAsia" w:eastAsiaTheme="minorEastAsia" w:cstheme="minorEastAsia"/>
          <w:sz w:val="24"/>
          <w:szCs w:val="24"/>
          <w:lang w:val="en-US" w:eastAsia="zh-CN"/>
        </w:rPr>
        <w:t>中提到:</w:t>
      </w:r>
    </w:p>
    <w:p w14:paraId="11B9B968">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It is convenient to separate into two components: white-sky albedo αws and black-sky albedo αbs, representing diffuse and direct illumination components respectively. αws is calculated from a bihemispherical integral of the surface BRDF assuming an isotropic light source. αbs is calculated from a single hemispherical integral of the BRDF assuming that all incoming light is from a single direction. αbs is a function of solar zenith angle θSun, whereas αws is independent of the Sun's position. The total albedo α is estimated from a weighted sum of these sources: α = kdiff αws + (1 − kdiff) αbs, where kdiff is the quotient of diffuse horizontal irradiance divided by global horizontal irradiance.</w:t>
      </w:r>
    </w:p>
    <w:p w14:paraId="2959028D">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其中α = kdiff αws + (1 − kdiff) αbs为反射系数优化的核心</w:t>
      </w:r>
    </w:p>
    <w:p w14:paraId="36468C7F">
      <w:pPr>
        <w:ind w:firstLine="420" w:firstLineChars="0"/>
        <w:rPr>
          <w:rFonts w:hint="default" w:asciiTheme="minorEastAsia" w:hAnsiTheme="minorEastAsia" w:eastAsiaTheme="minorEastAsia" w:cstheme="minorEastAsia"/>
          <w:sz w:val="24"/>
          <w:szCs w:val="24"/>
          <w:lang w:val="en-US" w:eastAsia="zh-CN"/>
        </w:rPr>
      </w:pPr>
    </w:p>
    <w:p w14:paraId="75701582">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(1.3.4) flow_sun(</w:t>
      </w:r>
      <w:r>
        <w:rPr>
          <w:rFonts w:hint="default" w:asciiTheme="minorEastAsia" w:hAnsiTheme="minorEastAsia" w:eastAsiaTheme="minorEastAsia" w:cstheme="minorEastAsia"/>
          <w:sz w:val="24"/>
          <w:szCs w:val="24"/>
          <w:lang w:val="en-US" w:eastAsia="zh-CN"/>
        </w:rPr>
        <w:t>γ</w:t>
      </w:r>
      <w:r>
        <w:rPr>
          <w:rFonts w:hint="eastAsia" w:asciiTheme="minorEastAsia" w:hAnsiTheme="minorEastAsia" w:eastAsiaTheme="minorEastAsia" w:cstheme="minorEastAsia"/>
          <w:sz w:val="24"/>
          <w:szCs w:val="24"/>
          <w:lang w:val="en-US" w:eastAsia="zh-CN"/>
        </w:rPr>
        <w:t>)低太阳高度角模型失真</w:t>
      </w:r>
    </w:p>
    <w:p w14:paraId="0EE86513">
      <w:pPr>
        <w:ind w:firstLine="420" w:firstLineChars="0"/>
        <w:rPr>
          <w:rFonts w:hint="eastAsia" w:asciiTheme="minorEastAsia" w:hAnsiTheme="minorEastAsia" w:eastAsiaTheme="minorEastAsia" w:cstheme="minorEastAsia"/>
          <w:sz w:val="24"/>
          <w:szCs w:val="24"/>
          <w:lang w:val="en-US" w:eastAsia="zh-CN"/>
        </w:rPr>
      </w:pPr>
    </w:p>
    <w:p w14:paraId="3D6CF849">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“Sourcing albedo data for bifacial PV systems in complex landscapes”</w:t>
      </w:r>
      <w:r>
        <w:rPr>
          <w:rFonts w:hint="eastAsia" w:asciiTheme="minorEastAsia" w:hAnsiTheme="minorEastAsia" w:eastAsiaTheme="minorEastAsia" w:cstheme="minorEastAsia"/>
          <w:sz w:val="24"/>
          <w:szCs w:val="24"/>
          <w:lang w:val="en-US" w:eastAsia="zh-CN"/>
        </w:rPr>
        <w:t>中提到:</w:t>
      </w:r>
    </w:p>
    <w:p w14:paraId="437F78A4">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On clear days, the daily horizontal diffuse to global fraction (Kd) was less than 0.40, while on cloudy days Kd was greater than 0.95. Albedo increases with decreases in sun height on clear days, but only down to solar elevation angles of about 10°, at which point the albedo decreases. This phenomenon occurs because the fraction of horizontal diffuse to horizontal beam irradiance rapidly increases as the solar elevation angle decreases from 10° toward the horizon. Therefore, we only show measurements when the sun is higher than 10° above the horizon.</w:t>
      </w:r>
    </w:p>
    <w:p w14:paraId="4610403C">
      <w:pPr>
        <w:ind w:firstLine="420" w:firstLineChars="0"/>
        <w:rPr>
          <w:rFonts w:hint="default" w:asciiTheme="minorEastAsia" w:hAnsiTheme="minorEastAsia" w:eastAsiaTheme="minorEastAsia" w:cstheme="minorEastAsia"/>
          <w:sz w:val="24"/>
          <w:szCs w:val="24"/>
          <w:lang w:val="en-US" w:eastAsia="zh-CN"/>
        </w:rPr>
      </w:pPr>
    </w:p>
    <w:p w14:paraId="6B960479">
      <w:pPr>
        <w:ind w:firstLine="420" w:firstLine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即</w:t>
      </w:r>
      <w:r>
        <w:rPr>
          <w:rFonts w:hint="default" w:asciiTheme="minorEastAsia" w:hAnsiTheme="minorEastAsia" w:eastAsiaTheme="minorEastAsia" w:cstheme="minorEastAsia"/>
          <w:sz w:val="24"/>
          <w:szCs w:val="24"/>
          <w:lang w:val="en-US" w:eastAsia="zh-CN"/>
        </w:rPr>
        <w:t>当太阳从 10° 降向地平线时，太阳光在大气中穿行的路径极长。这导致水平面散射辐照度与水平面直射辐照度的比例（DHI/GHI）迅速增加。</w:t>
      </w:r>
    </w:p>
    <w:p w14:paraId="6E16EC6C">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BRDF 模型是基于经验核函数的数学拟合。当太阳处于极低角度时，这些核函数会进入数学上的不稳定区，导致计算出的 αbs数值可能出现物理上不可能的极值（如大于 1.0 或剧烈震荡</w:t>
      </w:r>
    </w:p>
    <w:p w14:paraId="25D60783">
      <w:pPr>
        <w:ind w:firstLine="420" w:firstLineChars="0"/>
        <w:rPr>
          <w:rFonts w:hint="default" w:asciiTheme="minorEastAsia" w:hAnsiTheme="minorEastAsia" w:eastAsiaTheme="minorEastAsia" w:cstheme="minorEastAsia"/>
          <w:sz w:val="24"/>
          <w:szCs w:val="24"/>
          <w:lang w:val="en-US" w:eastAsia="zh-CN"/>
        </w:rPr>
      </w:pPr>
    </w:p>
    <w:p w14:paraId="5BD47D87">
      <w:pPr>
        <w:ind w:firstLine="420" w:firstLineChars="0"/>
        <w:rPr>
          <w:rFonts w:hint="default" w:asciiTheme="minorEastAsia" w:hAnsiTheme="minorEastAsia" w:eastAsiaTheme="minorEastAsia" w:cstheme="minorEastAsia"/>
          <w:sz w:val="24"/>
          <w:szCs w:val="24"/>
          <w:lang w:val="en-US" w:eastAsia="zh-CN"/>
        </w:rPr>
      </w:pPr>
    </w:p>
    <w:p w14:paraId="58790860">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将上述4个方面考虑之后, 得到优化过后的计算某一时刻南极某地单面光伏接收的总辐照功率的系统公式:</w:t>
      </w:r>
    </w:p>
    <w:p w14:paraId="660B727C">
      <w:pPr>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w:t>
      </w:r>
      <w:r>
        <w:rPr>
          <w:rFonts w:hint="default" w:asciiTheme="minorEastAsia" w:hAnsiTheme="minorEastAsia" w:eastAsiaTheme="minorEastAsia" w:cstheme="minorEastAsia"/>
          <w:sz w:val="24"/>
          <w:szCs w:val="24"/>
          <w:lang w:val="en-US" w:eastAsia="zh-CN"/>
        </w:rPr>
        <w:object>
          <v:shape id="_x0000_i1033" o:spt="75" type="#_x0000_t75" style="height:20pt;width:39pt;" o:ole="t" filled="f" o:preferrelative="t" stroked="f" coordsize="21600,21600">
            <v:path/>
            <v:fill on="f" focussize="0,0"/>
            <v:stroke on="f"/>
            <v:imagedata r:id="rId30" o:title=""/>
            <o:lock v:ext="edit" aspectratio="f"/>
            <w10:wrap type="none"/>
            <w10:anchorlock/>
          </v:shape>
          <o:OLEObject Type="Embed" ProgID="Equation.DSMT4" ShapeID="_x0000_i1033" DrawAspect="Content" ObjectID="_1468075733" r:id="rId29">
            <o:LockedField>false</o:LockedField>
          </o:OLEObject>
        </w:object>
      </w:r>
    </w:p>
    <w:p w14:paraId="6433DB09">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object>
          <v:shape id="_x0000_i1034" o:spt="75" type="#_x0000_t75" style="height:20pt;width:177pt;" o:ole="t" filled="f" o:preferrelative="t" stroked="f" coordsize="21600,21600">
            <v:path/>
            <v:fill on="f" focussize="0,0"/>
            <v:stroke on="f"/>
            <v:imagedata r:id="rId32" o:title=""/>
            <o:lock v:ext="edit" aspectratio="f"/>
            <w10:wrap type="none"/>
            <w10:anchorlock/>
          </v:shape>
          <o:OLEObject Type="Embed" ProgID="Equation.DSMT4" ShapeID="_x0000_i1034" DrawAspect="Content" ObjectID="_1468075734" r:id="rId31">
            <o:LockedField>false</o:LockedField>
          </o:OLEObject>
        </w:object>
      </w:r>
    </w:p>
    <w:p w14:paraId="736B9093">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object>
          <v:shape id="_x0000_i1035" o:spt="75" type="#_x0000_t75" style="height:20pt;width:189pt;" o:ole="t" filled="f" o:preferrelative="t" stroked="f" coordsize="21600,21600">
            <v:path/>
            <v:fill on="f" focussize="0,0"/>
            <v:stroke on="f"/>
            <v:imagedata r:id="rId34" o:title=""/>
            <o:lock v:ext="edit" aspectratio="f"/>
            <w10:wrap type="none"/>
            <w10:anchorlock/>
          </v:shape>
          <o:OLEObject Type="Embed" ProgID="Equation.DSMT4" ShapeID="_x0000_i1035" DrawAspect="Content" ObjectID="_1468075735" r:id="rId33">
            <o:LockedField>false</o:LockedField>
          </o:OLEObject>
        </w:object>
      </w:r>
    </w:p>
    <w:p w14:paraId="28FA72A5">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object>
          <v:shape id="_x0000_i1036" o:spt="75" type="#_x0000_t75" style="height:20pt;width:224pt;" o:ole="t" filled="f" o:preferrelative="t" stroked="f" coordsize="21600,21600">
            <v:path/>
            <v:fill on="f" focussize="0,0"/>
            <v:stroke on="f"/>
            <v:imagedata r:id="rId36" o:title=""/>
            <o:lock v:ext="edit" aspectratio="f"/>
            <w10:wrap type="none"/>
            <w10:anchorlock/>
          </v:shape>
          <o:OLEObject Type="Embed" ProgID="Equation.DSMT4" ShapeID="_x0000_i1036" DrawAspect="Content" ObjectID="_1468075736" r:id="rId35">
            <o:LockedField>false</o:LockedField>
          </o:OLEObject>
        </w:object>
      </w:r>
    </w:p>
    <w:p w14:paraId="3634FFCF">
      <w:pPr>
        <w:ind w:firstLine="420" w:firstLine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其中: </w:t>
      </w:r>
      <w:r>
        <w:rPr>
          <w:rFonts w:hint="default" w:asciiTheme="minorEastAsia" w:hAnsiTheme="minorEastAsia" w:eastAsiaTheme="minorEastAsia" w:cstheme="minorEastAsia"/>
          <w:sz w:val="24"/>
          <w:szCs w:val="24"/>
          <w:lang w:val="en-US" w:eastAsia="zh-CN"/>
        </w:rPr>
        <w:object>
          <v:shape id="_x0000_i1037" o:spt="75" type="#_x0000_t75" style="height:20pt;width:384.95pt;" o:ole="t" filled="f" o:preferrelative="t" stroked="f" coordsize="21600,21600">
            <v:path/>
            <v:fill on="f" focussize="0,0"/>
            <v:stroke on="f"/>
            <v:imagedata r:id="rId38" o:title=""/>
            <o:lock v:ext="edit" aspectratio="f"/>
            <w10:wrap type="none"/>
            <w10:anchorlock/>
          </v:shape>
          <o:OLEObject Type="Embed" ProgID="Equation.DSMT4" ShapeID="_x0000_i1037" DrawAspect="Content" ObjectID="_1468075737" r:id="rId37">
            <o:LockedField>false</o:LockedField>
          </o:OLEObject>
        </w:object>
      </w:r>
    </w:p>
    <w:p w14:paraId="2ABF381D">
      <w:pPr>
        <w:ind w:firstLine="420" w:firstLineChars="0"/>
        <w:rPr>
          <w:rFonts w:hint="default" w:asciiTheme="minorEastAsia" w:hAnsiTheme="minorEastAsia" w:eastAsiaTheme="minorEastAsia" w:cstheme="minorEastAsia"/>
          <w:sz w:val="24"/>
          <w:szCs w:val="24"/>
          <w:lang w:val="en-US" w:eastAsia="zh-CN"/>
        </w:rPr>
      </w:pPr>
    </w:p>
    <w:p w14:paraId="458D1048">
      <w:pPr>
        <w:ind w:firstLine="420" w:firstLineChars="0"/>
        <w:outlineLvl w:val="2"/>
        <w:rPr>
          <w:rFonts w:hint="eastAsia" w:asciiTheme="minorEastAsia" w:hAnsiTheme="minorEastAsia" w:eastAsiaTheme="minorEastAsia" w:cstheme="minorEastAsia"/>
          <w:b/>
          <w:bCs/>
          <w:sz w:val="28"/>
          <w:szCs w:val="28"/>
          <w:lang w:val="en-US" w:eastAsia="zh-CN"/>
        </w:rPr>
      </w:pPr>
      <w:bookmarkStart w:id="12" w:name="_Toc18219"/>
      <w:r>
        <w:rPr>
          <w:rFonts w:hint="eastAsia" w:asciiTheme="minorEastAsia" w:hAnsiTheme="minorEastAsia" w:eastAsiaTheme="minorEastAsia" w:cstheme="minorEastAsia"/>
          <w:b/>
          <w:bCs/>
          <w:sz w:val="28"/>
          <w:szCs w:val="28"/>
          <w:lang w:val="en-US" w:eastAsia="zh-CN"/>
        </w:rPr>
        <w:t>（2）Matlab与Python仿真</w:t>
      </w:r>
      <w:bookmarkEnd w:id="12"/>
    </w:p>
    <w:p w14:paraId="1373A1A7">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仿真系统采用MATLAB与Python混合编程架构，通过Python进行几何阴影计算，MATLAB完成雪影耦合与电气特性仿真，实现完整的雪影耦合仿真流程。MATLAB通过内置函数（pyenv）配置Python环境，调用shadow_calculator模块中的calculate_shading_ratio函数。输入障碍物顶点坐标，光照方向向量，光伏阵列四个顶点坐标，得到几何阴影遮挡比例，本研究采用单二极管五参数模型作为光伏组件的电气模型。该模型是光伏仿真领域最广泛使用的等效电路模型，《局部阴影下光伏组件的Matlab/Simulink仿真模拟与特性分析》中指出，单二极管模型具有5个参数，数学模型简单、计算效率较高。</w:t>
      </w:r>
    </w:p>
    <w:p w14:paraId="56AFF1E9">
      <w:pPr>
        <w:ind w:firstLine="420" w:firstLine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《Comprehensive approach to modeling and simulation of photovoltaic arrays》中给出单二极管模型方程 B.</w:t>
      </w:r>
      <w:r>
        <w:rPr>
          <w:rFonts w:hint="default" w:asciiTheme="minorEastAsia" w:hAnsiTheme="minorEastAsia" w:eastAsiaTheme="minorEastAsia" w:cstheme="minorEastAsia"/>
          <w:sz w:val="24"/>
          <w:szCs w:val="24"/>
          <w:lang w:val="en-US" w:eastAsia="zh-CN"/>
        </w:rPr>
        <w:t>Modeling the PV Array The basic equation (2) of the elementary PV cell does not represent the I–V characteristic of a practical PV array. Practical arrays are composed of several connected PV cells and the observation of the characteristics at the terminals of the PV  array requires the inclusion of additional parameters to the basic equation [13]</w:t>
      </w:r>
    </w:p>
    <w:p w14:paraId="45A67586">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drawing>
          <wp:inline distT="0" distB="0" distL="114300" distR="114300">
            <wp:extent cx="5000625" cy="742950"/>
            <wp:effectExtent l="0" t="0" r="3175" b="6350"/>
            <wp:docPr id="9" name="图片 9" descr="a2ddc7679703fff1ac145ab118bd8f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2ddc7679703fff1ac145ab118bd8f19"/>
                    <pic:cNvPicPr>
                      <a:picLocks noChangeAspect="1"/>
                    </pic:cNvPicPr>
                  </pic:nvPicPr>
                  <pic:blipFill>
                    <a:blip r:embed="rId39"/>
                    <a:stretch>
                      <a:fillRect/>
                    </a:stretch>
                  </pic:blipFill>
                  <pic:spPr>
                    <a:xfrm>
                      <a:off x="0" y="0"/>
                      <a:ext cx="5000625" cy="742950"/>
                    </a:xfrm>
                    <a:prstGeom prst="rect">
                      <a:avLst/>
                    </a:prstGeom>
                  </pic:spPr>
                </pic:pic>
              </a:graphicData>
            </a:graphic>
          </wp:inline>
        </w:drawing>
      </w:r>
    </w:p>
    <w:p w14:paraId="63803F2A">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drawing>
          <wp:inline distT="0" distB="0" distL="114300" distR="114300">
            <wp:extent cx="5271135" cy="2513965"/>
            <wp:effectExtent l="0" t="0" r="12065" b="635"/>
            <wp:docPr id="10" name="图片 10" descr="7f4f96316bee7e0b10749df804f42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f4f96316bee7e0b10749df804f42426"/>
                    <pic:cNvPicPr>
                      <a:picLocks noChangeAspect="1"/>
                    </pic:cNvPicPr>
                  </pic:nvPicPr>
                  <pic:blipFill>
                    <a:blip r:embed="rId40"/>
                    <a:stretch>
                      <a:fillRect/>
                    </a:stretch>
                  </pic:blipFill>
                  <pic:spPr>
                    <a:xfrm>
                      <a:off x="0" y="0"/>
                      <a:ext cx="5271135" cy="2513965"/>
                    </a:xfrm>
                    <a:prstGeom prst="rect">
                      <a:avLst/>
                    </a:prstGeom>
                  </pic:spPr>
                </pic:pic>
              </a:graphicData>
            </a:graphic>
          </wp:inline>
        </w:drawing>
      </w:r>
    </w:p>
    <w:p w14:paraId="05893F4A">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论文《A Novel Methodology for Partial Shading Diagnosis Using the Electrical Parameters of Photovoltaic Strings》给出光生电流与辐照度关系</w:t>
      </w:r>
    </w:p>
    <w:p w14:paraId="1EE6A385">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Suppose that the proportion λ (0 &lt; λ ≤ 1) of the PV cell is </w:t>
      </w:r>
    </w:p>
    <w:p w14:paraId="3B0B1909">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partially shaded. Equivalent irradiance [24] is used to describe </w:t>
      </w:r>
    </w:p>
    <w:p w14:paraId="48555ECB">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the overall partially shaded cell as follows:</w:t>
      </w:r>
    </w:p>
    <w:p w14:paraId="5DD2090D">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drawing>
          <wp:inline distT="0" distB="0" distL="114300" distR="114300">
            <wp:extent cx="4017645" cy="653415"/>
            <wp:effectExtent l="0" t="0" r="8255" b="6985"/>
            <wp:docPr id="11" name="图片 11" descr="09efe27b0cb47b85a80e58ce55ffc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9efe27b0cb47b85a80e58ce55ffc64b"/>
                    <pic:cNvPicPr>
                      <a:picLocks noChangeAspect="1"/>
                    </pic:cNvPicPr>
                  </pic:nvPicPr>
                  <pic:blipFill>
                    <a:blip r:embed="rId41"/>
                    <a:stretch>
                      <a:fillRect/>
                    </a:stretch>
                  </pic:blipFill>
                  <pic:spPr>
                    <a:xfrm>
                      <a:off x="0" y="0"/>
                      <a:ext cx="4017645" cy="653415"/>
                    </a:xfrm>
                    <a:prstGeom prst="rect">
                      <a:avLst/>
                    </a:prstGeom>
                  </pic:spPr>
                </pic:pic>
              </a:graphicData>
            </a:graphic>
          </wp:inline>
        </w:drawing>
      </w:r>
    </w:p>
    <w:p w14:paraId="2C45A716">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其中λ为遮挡比例，k 为透射率。结合光伏电池基本物理原理，光生电流与等效辐照度成正比。并指出阴影遮挡条件下，IV曲线应呈阶梯状下降，采用论文中提出的“光伏组件由60个电池串联组成，每20个电池并联一个旁路二极管，形成3个子模块。”基础上进行代码的改进</w:t>
      </w:r>
    </w:p>
    <w:p w14:paraId="5261E5AC">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drawing>
          <wp:inline distT="0" distB="0" distL="114300" distR="114300">
            <wp:extent cx="2854325" cy="2299970"/>
            <wp:effectExtent l="0" t="0" r="3175" b="11430"/>
            <wp:docPr id="12" name="图片 12" descr="6f1bf6f381dbd7090c682643f4268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6f1bf6f381dbd7090c682643f4268701"/>
                    <pic:cNvPicPr>
                      <a:picLocks noChangeAspect="1"/>
                    </pic:cNvPicPr>
                  </pic:nvPicPr>
                  <pic:blipFill>
                    <a:blip r:embed="rId42"/>
                    <a:stretch>
                      <a:fillRect/>
                    </a:stretch>
                  </pic:blipFill>
                  <pic:spPr>
                    <a:xfrm>
                      <a:off x="0" y="0"/>
                      <a:ext cx="2854325" cy="2299970"/>
                    </a:xfrm>
                    <a:prstGeom prst="rect">
                      <a:avLst/>
                    </a:prstGeom>
                  </pic:spPr>
                </pic:pic>
              </a:graphicData>
            </a:graphic>
          </wp:inline>
        </w:drawing>
      </w:r>
    </w:p>
    <w:p w14:paraId="0197155B">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Fig. 2. </w:t>
      </w:r>
    </w:p>
    <w:p w14:paraId="6566C8D5">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I–V curves and the MPPs of the PV module and three submodules </w:t>
      </w:r>
    </w:p>
    <w:p w14:paraId="3816E83B">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at G = 800 W/m2. The operation states of each submodule at LMPPs are </w:t>
      </w:r>
    </w:p>
    <w:p w14:paraId="220CA013">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illustrated. The submodule, which is represented by a current source, determines </w:t>
      </w:r>
    </w:p>
    <w:p w14:paraId="21E5C0D7">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the current at corresponding LMPP.</w:t>
      </w:r>
    </w:p>
    <w:p w14:paraId="364C5EC0">
      <w:pPr>
        <w:ind w:firstLine="420" w:firstLineChars="0"/>
        <w:rPr>
          <w:rFonts w:hint="default" w:asciiTheme="minorEastAsia" w:hAnsiTheme="minorEastAsia" w:eastAsiaTheme="minorEastAsia" w:cstheme="minorEastAsia"/>
          <w:sz w:val="24"/>
          <w:szCs w:val="24"/>
          <w:lang w:val="en-US" w:eastAsia="zh-CN"/>
        </w:rPr>
      </w:pPr>
    </w:p>
    <w:p w14:paraId="0ECB772A">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It is shown in Fig. 2 that the effect of the equivalent irradiance </w:t>
      </w:r>
    </w:p>
    <w:p w14:paraId="3A72ABBA">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on the current at LMPPs is nearly linear, as the orange symbols </w:t>
      </w:r>
    </w:p>
    <w:p w14:paraId="1AD5FEFC">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are very close to the corresponding grey ones. In contrast, the </w:t>
      </w:r>
    </w:p>
    <w:p w14:paraId="7A8BC404">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voltage is not proportional to the number of submodules at </w:t>
      </w:r>
    </w:p>
    <w:p w14:paraId="0F4218DB">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different shading levels, because of the parallel diodes. With </w:t>
      </w:r>
    </w:p>
    <w:p w14:paraId="17185930">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the increase in series PV modules and shaded submodules, the </w:t>
      </w:r>
    </w:p>
    <w:p w14:paraId="29591197">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distribution of LMPPs becomes more diverse and complicated </w:t>
      </w:r>
    </w:p>
    <w:p w14:paraId="66FCB7D2">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at different irradiance levels. In this manner, the GMPP jumps </w:t>
      </w:r>
    </w:p>
    <w:p w14:paraId="1A6730D8">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between the LMPPs under varying irradiance. Consequently, the </w:t>
      </w:r>
    </w:p>
    <w:p w14:paraId="1D417BE8">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distinctive characteristic of the voltage time series volatility can </w:t>
      </w:r>
    </w:p>
    <w:p w14:paraId="50FA744A">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be utilized for static shading detection.</w:t>
      </w:r>
    </w:p>
    <w:p w14:paraId="343426BA">
      <w:pPr>
        <w:ind w:firstLine="420" w:firstLine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下图为</w:t>
      </w:r>
      <w:r>
        <w:rPr>
          <w:rFonts w:hint="default" w:asciiTheme="minorEastAsia" w:hAnsiTheme="minorEastAsia" w:eastAsiaTheme="minorEastAsia" w:cstheme="minorEastAsia"/>
          <w:sz w:val="24"/>
          <w:szCs w:val="24"/>
          <w:lang w:val="en-US" w:eastAsia="zh-CN"/>
        </w:rPr>
        <w:t>可变阴影（Variable Shading</w:t>
      </w:r>
      <w:r>
        <w:rPr>
          <w:rFonts w:hint="eastAsia" w:asciiTheme="minorEastAsia" w:hAnsiTheme="minorEastAsia" w:eastAsiaTheme="minorEastAsia" w:cstheme="minorEastAsia"/>
          <w:sz w:val="24"/>
          <w:szCs w:val="24"/>
          <w:lang w:val="en-US" w:eastAsia="zh-CN"/>
        </w:rPr>
        <w:t>）</w:t>
      </w:r>
      <w:r>
        <w:rPr>
          <w:rFonts w:hint="default" w:asciiTheme="minorEastAsia" w:hAnsiTheme="minorEastAsia" w:eastAsiaTheme="minorEastAsia" w:cstheme="minorEastAsia"/>
          <w:sz w:val="24"/>
          <w:szCs w:val="24"/>
          <w:lang w:val="en-US" w:eastAsia="zh-CN"/>
        </w:rPr>
        <w:t>条件下，光伏组串在不同时刻的I-V曲线测量结果与对应的现场阴影图像。</w:t>
      </w:r>
    </w:p>
    <w:p w14:paraId="4980AB78">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drawing>
          <wp:inline distT="0" distB="0" distL="114300" distR="114300">
            <wp:extent cx="5266690" cy="3727450"/>
            <wp:effectExtent l="0" t="0" r="3810" b="6350"/>
            <wp:docPr id="21" name="图片 21" descr="dcac30ba67a30fd75674cb301f8b2d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dcac30ba67a30fd75674cb301f8b2da5"/>
                    <pic:cNvPicPr>
                      <a:picLocks noChangeAspect="1"/>
                    </pic:cNvPicPr>
                  </pic:nvPicPr>
                  <pic:blipFill>
                    <a:blip r:embed="rId43"/>
                    <a:stretch>
                      <a:fillRect/>
                    </a:stretch>
                  </pic:blipFill>
                  <pic:spPr>
                    <a:xfrm>
                      <a:off x="0" y="0"/>
                      <a:ext cx="5266690" cy="3727450"/>
                    </a:xfrm>
                    <a:prstGeom prst="rect">
                      <a:avLst/>
                    </a:prstGeom>
                  </pic:spPr>
                </pic:pic>
              </a:graphicData>
            </a:graphic>
          </wp:inline>
        </w:drawing>
      </w:r>
    </w:p>
    <w:p w14:paraId="1B4A6574">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代码应用</w:t>
      </w:r>
      <w:r>
        <w:rPr>
          <w:rFonts w:hint="default" w:asciiTheme="minorEastAsia" w:hAnsiTheme="minorEastAsia" w:eastAsiaTheme="minorEastAsia" w:cstheme="minorEastAsia"/>
          <w:sz w:val="24"/>
          <w:szCs w:val="24"/>
          <w:lang w:val="en-US" w:eastAsia="zh-CN"/>
        </w:rPr>
        <w:t>3个子模块+旁路二极管结构</w:t>
      </w:r>
      <w:r>
        <w:rPr>
          <w:rFonts w:hint="eastAsia" w:asciiTheme="minorEastAsia" w:hAnsiTheme="minorEastAsia" w:eastAsiaTheme="minorEastAsia" w:cstheme="minorEastAsia"/>
          <w:sz w:val="24"/>
          <w:szCs w:val="24"/>
          <w:lang w:val="en-US" w:eastAsia="zh-CN"/>
        </w:rPr>
        <w:t>、子模块电流限制原理、旁路二极管导通逻辑复现了阴影遮挡条件下IV曲线的阶梯状下降这一现象，后续查询雪损识别与建模类的论文做了进一步优化，将雪这一自然因素考虑进代码仿真的步骤里，参考《Snow impact on PV performance: Assessing the zero-output challenge in cold areas》图7展示的雪深与透光率的关系</w:t>
      </w:r>
    </w:p>
    <w:p w14:paraId="684972A9">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曲线计算雪层透光率，</w:t>
      </w:r>
    </w:p>
    <w:p w14:paraId="2D373322">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drawing>
          <wp:inline distT="0" distB="0" distL="114300" distR="114300">
            <wp:extent cx="2933065" cy="2027555"/>
            <wp:effectExtent l="0" t="0" r="635" b="4445"/>
            <wp:docPr id="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4"/>
                    <pic:cNvPicPr>
                      <a:picLocks noChangeAspect="1"/>
                    </pic:cNvPicPr>
                  </pic:nvPicPr>
                  <pic:blipFill>
                    <a:blip r:embed="rId44"/>
                    <a:stretch>
                      <a:fillRect/>
                    </a:stretch>
                  </pic:blipFill>
                  <pic:spPr>
                    <a:xfrm>
                      <a:off x="0" y="0"/>
                      <a:ext cx="2933065" cy="2027555"/>
                    </a:xfrm>
                    <a:prstGeom prst="rect">
                      <a:avLst/>
                    </a:prstGeom>
                    <a:noFill/>
                    <a:ln>
                      <a:noFill/>
                    </a:ln>
                  </pic:spPr>
                </pic:pic>
              </a:graphicData>
            </a:graphic>
          </wp:inline>
        </w:drawing>
      </w:r>
      <w:r>
        <w:rPr>
          <w:rFonts w:hint="default" w:asciiTheme="minorEastAsia" w:hAnsiTheme="minorEastAsia" w:eastAsiaTheme="minorEastAsia" w:cstheme="minorEastAsia"/>
          <w:sz w:val="24"/>
          <w:szCs w:val="24"/>
          <w:lang w:val="en-US" w:eastAsia="zh-CN"/>
        </w:rPr>
        <w:drawing>
          <wp:inline distT="0" distB="0" distL="114300" distR="114300">
            <wp:extent cx="4456430" cy="2025015"/>
            <wp:effectExtent l="0" t="0" r="1270" b="6985"/>
            <wp:docPr id="22" name="图片 22" descr="2a7c29bc7eaf13eb6a3c618544db2d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a7c29bc7eaf13eb6a3c618544db2d18"/>
                    <pic:cNvPicPr>
                      <a:picLocks noChangeAspect="1"/>
                    </pic:cNvPicPr>
                  </pic:nvPicPr>
                  <pic:blipFill>
                    <a:blip r:embed="rId45"/>
                    <a:stretch>
                      <a:fillRect/>
                    </a:stretch>
                  </pic:blipFill>
                  <pic:spPr>
                    <a:xfrm>
                      <a:off x="0" y="0"/>
                      <a:ext cx="4456430" cy="2025015"/>
                    </a:xfrm>
                    <a:prstGeom prst="rect">
                      <a:avLst/>
                    </a:prstGeom>
                  </pic:spPr>
                </pic:pic>
              </a:graphicData>
            </a:graphic>
          </wp:inline>
        </w:drawing>
      </w:r>
    </w:p>
    <w:p w14:paraId="1E101A22">
      <w:pPr>
        <w:ind w:firstLine="420" w:firstLine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论文中还给出雪的粘附特性的相关公式，</w:t>
      </w:r>
      <w:r>
        <w:rPr>
          <w:rFonts w:hint="default" w:asciiTheme="minorEastAsia" w:hAnsiTheme="minorEastAsia" w:eastAsiaTheme="minorEastAsia" w:cstheme="minorEastAsia"/>
          <w:sz w:val="24"/>
          <w:szCs w:val="24"/>
          <w:lang w:val="en-US" w:eastAsia="zh-CN"/>
        </w:rPr>
        <w:t>论文第10页明确表述“LWC around 20%时粘附最强，超过后粘附降低”，本研究据此建立分段线性函数。</w:t>
      </w:r>
    </w:p>
    <w:p w14:paraId="2CDF30B0">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It is highly impacted by the LWC and the </w:t>
      </w:r>
    </w:p>
    <w:p w14:paraId="7DD6F1E7">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surface properties on which snow is accumulated. The LWC, or wetness </w:t>
      </w:r>
    </w:p>
    <w:p w14:paraId="20C2EDE4">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of snow, is defined as the ratio of the mass of water contained to the total </w:t>
      </w:r>
    </w:p>
    <w:p w14:paraId="66A100B2">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mass of the wet snow [86]. Depending on LWC, snow is commonly </w:t>
      </w:r>
    </w:p>
    <w:p w14:paraId="1C0B253D">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separated into two types: wet and dry snow. While dry snow corresponds </w:t>
      </w:r>
    </w:p>
    <w:p w14:paraId="436D8E0C">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to temperatures below − 1◦C to − 2◦C [87], wet snow is associated with </w:t>
      </w:r>
    </w:p>
    <w:p w14:paraId="139A9534">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temperatures that are near freezing [27]. </w:t>
      </w:r>
    </w:p>
    <w:p w14:paraId="2546241E">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These authors found that snow adhesion increases with the increase of </w:t>
      </w:r>
    </w:p>
    <w:p w14:paraId="26C27A26">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LWC and strongly adheres to the surfaces when the LWC is around 20 %. </w:t>
      </w:r>
    </w:p>
    <w:p w14:paraId="2F0F5DAE">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Once this value surpassed, snow adhesion decreases. </w:t>
      </w:r>
    </w:p>
    <w:p w14:paraId="43B3A562">
      <w:pPr>
        <w:ind w:firstLine="420" w:firstLineChars="0"/>
        <w:rPr>
          <w:rFonts w:hint="eastAsia"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基于Dahlioui论文图7的透光率曲线反向推导，雪深与覆盖率的近似关系。每厘米雪深约覆盖组件20%面积</w:t>
      </w:r>
      <w:r>
        <w:rPr>
          <w:rFonts w:hint="eastAsia" w:asciiTheme="minorEastAsia" w:hAnsiTheme="minorEastAsia" w:eastAsiaTheme="minorEastAsia" w:cstheme="minorEastAsia"/>
          <w:sz w:val="24"/>
          <w:szCs w:val="24"/>
          <w:lang w:val="en-US" w:eastAsia="zh-CN"/>
        </w:rPr>
        <w:t>，综合考虑雪深、倾角清除、雪粘附三种因素后得到的实际积雪覆盖比例。C_eff = C_base × (1 - Cr) × μ，Cr为自然清除率，μ为粘附系数，接下来将几何阴影与雪影耦合，计算总遮挡率。</w:t>
      </w:r>
    </w:p>
    <w:p w14:paraId="002040A5">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仿真结果输出短路电流 I_sc、开路电压 V_oc、最大功率 P_max、局部峰值数量、填充因子 FF，现阶段得到的输出结果如下</w:t>
      </w:r>
    </w:p>
    <w:p w14:paraId="332437DD">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drawing>
          <wp:inline distT="0" distB="0" distL="114300" distR="114300">
            <wp:extent cx="5268595" cy="2987040"/>
            <wp:effectExtent l="0" t="0" r="1905" b="10160"/>
            <wp:docPr id="24" name="图片 24" descr="e587c7dc508e81e5e55c4f6b126b7c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e587c7dc508e81e5e55c4f6b126b7c31"/>
                    <pic:cNvPicPr>
                      <a:picLocks noChangeAspect="1"/>
                    </pic:cNvPicPr>
                  </pic:nvPicPr>
                  <pic:blipFill>
                    <a:blip r:embed="rId46"/>
                    <a:stretch>
                      <a:fillRect/>
                    </a:stretch>
                  </pic:blipFill>
                  <pic:spPr>
                    <a:xfrm>
                      <a:off x="0" y="0"/>
                      <a:ext cx="5268595" cy="2987040"/>
                    </a:xfrm>
                    <a:prstGeom prst="rect">
                      <a:avLst/>
                    </a:prstGeom>
                  </pic:spPr>
                </pic:pic>
              </a:graphicData>
            </a:graphic>
          </wp:inline>
        </w:drawing>
      </w:r>
    </w:p>
    <w:p w14:paraId="1882660C">
      <w:pPr>
        <w:ind w:firstLine="420" w:firstLineChars="0"/>
        <w:rPr>
          <w:rFonts w:hint="default" w:asciiTheme="minorEastAsia" w:hAnsiTheme="minorEastAsia" w:eastAsiaTheme="minorEastAsia" w:cstheme="minorEastAsia"/>
          <w:sz w:val="24"/>
          <w:szCs w:val="24"/>
          <w:lang w:val="en-US" w:eastAsia="zh-CN"/>
        </w:rPr>
      </w:pPr>
    </w:p>
    <w:p w14:paraId="780DFD92">
      <w:pPr>
        <w:ind w:firstLine="420" w:firstLineChars="0"/>
        <w:rPr>
          <w:rFonts w:hint="default" w:asciiTheme="minorEastAsia" w:hAnsiTheme="minorEastAsia" w:eastAsiaTheme="minorEastAsia" w:cstheme="minorEastAsia"/>
          <w:sz w:val="24"/>
          <w:szCs w:val="24"/>
          <w:lang w:val="en-US" w:eastAsia="zh-CN"/>
        </w:rPr>
      </w:pPr>
    </w:p>
    <w:p w14:paraId="02AD4E2A">
      <w:pPr>
        <w:ind w:firstLine="420" w:firstLineChars="0"/>
        <w:outlineLvl w:val="2"/>
        <w:rPr>
          <w:rFonts w:hint="default" w:asciiTheme="minorEastAsia" w:hAnsiTheme="minorEastAsia" w:eastAsiaTheme="minorEastAsia" w:cstheme="minorEastAsia"/>
          <w:b/>
          <w:bCs/>
          <w:i w:val="0"/>
          <w:iCs w:val="0"/>
          <w:sz w:val="28"/>
          <w:szCs w:val="28"/>
          <w:lang w:val="en-US" w:eastAsia="zh-CN"/>
        </w:rPr>
      </w:pPr>
      <w:bookmarkStart w:id="13" w:name="_Toc3913"/>
      <w:r>
        <w:rPr>
          <w:rFonts w:hint="eastAsia" w:asciiTheme="minorEastAsia" w:hAnsiTheme="minorEastAsia" w:eastAsiaTheme="minorEastAsia" w:cstheme="minorEastAsia"/>
          <w:b/>
          <w:bCs/>
          <w:i w:val="0"/>
          <w:iCs w:val="0"/>
          <w:sz w:val="28"/>
          <w:szCs w:val="28"/>
          <w:lang w:val="en-US" w:eastAsia="zh-CN"/>
        </w:rPr>
        <w:t>（3）论文复现与雪损模型仿真</w:t>
      </w:r>
      <w:bookmarkEnd w:id="13"/>
    </w:p>
    <w:p w14:paraId="5F7A6F62">
      <w:pPr>
        <w:ind w:firstLine="420" w:firstLineChars="0"/>
        <w:outlineLvl w:val="3"/>
        <w:rPr>
          <w:rFonts w:hint="default" w:asciiTheme="minorEastAsia" w:hAnsiTheme="minorEastAsia" w:eastAsiaTheme="minorEastAsia" w:cstheme="minorEastAsia"/>
          <w:b/>
          <w:bCs/>
          <w:sz w:val="28"/>
          <w:szCs w:val="28"/>
          <w:lang w:val="en-US" w:eastAsia="zh-CN"/>
        </w:rPr>
      </w:pPr>
      <w:bookmarkStart w:id="14" w:name="_Toc5169"/>
      <w:r>
        <w:rPr>
          <w:rFonts w:hint="default" w:asciiTheme="minorEastAsia" w:hAnsiTheme="minorEastAsia" w:eastAsiaTheme="minorEastAsia" w:cstheme="minorEastAsia"/>
          <w:b/>
          <w:bCs/>
          <w:sz w:val="28"/>
          <w:szCs w:val="28"/>
          <w:lang w:val="en-US" w:eastAsia="zh-CN"/>
        </w:rPr>
        <w:t>(</w:t>
      </w:r>
      <w:r>
        <w:rPr>
          <w:rFonts w:hint="eastAsia" w:asciiTheme="minorEastAsia" w:hAnsiTheme="minorEastAsia" w:eastAsiaTheme="minorEastAsia" w:cstheme="minorEastAsia"/>
          <w:b/>
          <w:bCs/>
          <w:sz w:val="28"/>
          <w:szCs w:val="28"/>
          <w:lang w:val="en-US" w:eastAsia="zh-CN"/>
        </w:rPr>
        <w:t>3.</w:t>
      </w:r>
      <w:r>
        <w:rPr>
          <w:rFonts w:hint="default" w:asciiTheme="minorEastAsia" w:hAnsiTheme="minorEastAsia" w:eastAsiaTheme="minorEastAsia" w:cstheme="minorEastAsia"/>
          <w:b/>
          <w:bCs/>
          <w:sz w:val="28"/>
          <w:szCs w:val="28"/>
          <w:lang w:val="en-US" w:eastAsia="zh-CN"/>
        </w:rPr>
        <w:t>1)改进型 Marion 积雪损失模型的核心构建</w:t>
      </w:r>
      <w:bookmarkEnd w:id="14"/>
    </w:p>
    <w:p w14:paraId="2C745837">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本研究针对极地积雪环境下光伏系统发电损失的精准模拟需求，在经典 Marion 雪损模型的基础上，完成 4 项核心改进，构建了适配高纬度极低温度、极昼极夜、长期积雪特征的专用损失模型，核心公式与实现逻辑如下：</w:t>
      </w:r>
    </w:p>
    <w:p w14:paraId="5588F6D5">
      <w:pPr>
        <w:ind w:firstLine="420" w:firstLineChars="0"/>
        <w:rPr>
          <w:rFonts w:hint="default" w:asciiTheme="minorEastAsia" w:hAnsiTheme="minorEastAsia" w:eastAsiaTheme="minorEastAsia" w:cstheme="minorEastAsia"/>
          <w:sz w:val="24"/>
          <w:szCs w:val="24"/>
          <w:lang w:val="en-US" w:eastAsia="zh-CN"/>
        </w:rPr>
      </w:pPr>
    </w:p>
    <w:p w14:paraId="2FAD054C">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积雪滑动触发条件判断</w:t>
      </w:r>
    </w:p>
    <w:p w14:paraId="16C5304C">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基于极地低温环境下积雪滑动的物理特性，引入温度 - 辐照度耦合滑动阈值判据，核心公式为：</w:t>
      </w:r>
    </w:p>
    <w:p w14:paraId="377CE20B">
      <w:pPr>
        <w:ind w:firstLine="420" w:firstLineChars="0"/>
        <w:rPr>
          <w:rFonts w:hint="default" w:asciiTheme="minorEastAsia" w:hAnsiTheme="minorEastAsia" w:eastAsiaTheme="minorEastAsia" w:cstheme="minorEastAsia"/>
          <w:b w:val="0"/>
          <w:bCs w:val="0"/>
          <w:i w:val="0"/>
          <w:iCs w:val="0"/>
          <w:sz w:val="24"/>
          <w:szCs w:val="24"/>
          <w:lang w:val="en-US" w:eastAsia="zh-CN"/>
        </w:rPr>
      </w:pPr>
      <w:r>
        <w:rPr>
          <w:rFonts w:hint="default" w:asciiTheme="minorEastAsia" w:hAnsiTheme="minorEastAsia" w:eastAsiaTheme="minorEastAsia" w:cstheme="minorEastAsia"/>
          <w:b w:val="0"/>
          <w:bCs w:val="0"/>
          <w:i w:val="0"/>
          <w:iCs w:val="0"/>
          <w:sz w:val="24"/>
          <w:szCs w:val="24"/>
          <w:lang w:val="en-US" w:eastAsia="zh-CN"/>
        </w:rPr>
        <w:object>
          <v:shape id="_x0000_i1038" o:spt="75" type="#_x0000_t75" style="height:31pt;width:59pt;" o:ole="t" filled="f" o:preferrelative="t" stroked="f" coordsize="21600,21600">
            <v:path/>
            <v:fill on="f" focussize="0,0"/>
            <v:stroke on="f"/>
            <v:imagedata r:id="rId48" o:title=""/>
            <o:lock v:ext="edit" aspectratio="f"/>
            <w10:wrap type="none"/>
            <w10:anchorlock/>
          </v:shape>
          <o:OLEObject Type="Embed" ProgID="Equation.DSMT4" ShapeID="_x0000_i1038" DrawAspect="Content" ObjectID="_1468075738" r:id="rId47">
            <o:LockedField>false</o:LockedField>
          </o:OLEObject>
        </w:object>
      </w:r>
    </w:p>
    <w:p w14:paraId="6180FE8B">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​其中，Tamb​为逐小时环境温度（℃），GPOA​为光伏组件平面辐照度（W/m²），M为积雪滑动阈值系数，适配南极极地环境取值为 - 70~-75 W/(m²・℃)，仅在白天有日照时段触发积雪滑动计算。</w:t>
      </w:r>
    </w:p>
    <w:p w14:paraId="1CCB6F66">
      <w:pPr>
        <w:ind w:firstLine="420" w:firstLineChars="0"/>
        <w:rPr>
          <w:rFonts w:hint="default" w:asciiTheme="minorEastAsia" w:hAnsiTheme="minorEastAsia" w:eastAsiaTheme="minorEastAsia" w:cstheme="minorEastAsia"/>
          <w:sz w:val="24"/>
          <w:szCs w:val="24"/>
          <w:lang w:val="en-US" w:eastAsia="zh-CN"/>
        </w:rPr>
      </w:pPr>
    </w:p>
    <w:p w14:paraId="4537C6C9">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雪深依赖的动态滑动系数针对经典模型固定滑动系数的误差问题，引入雪深分段式滑动系数，核心公式为：</w:t>
      </w:r>
    </w:p>
    <w:p w14:paraId="34B0D96A">
      <w:pPr>
        <w:ind w:firstLine="420" w:firstLineChars="0"/>
        <w:rPr>
          <w:rFonts w:hint="eastAsia"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object>
          <v:shape id="_x0000_i1039" o:spt="75" type="#_x0000_t75" style="height:38pt;width:139pt;" o:ole="t" filled="f" o:preferrelative="t" stroked="f" coordsize="21600,21600">
            <v:path/>
            <v:fill on="f" focussize="0,0"/>
            <v:stroke on="f"/>
            <v:imagedata r:id="rId50" o:title=""/>
            <o:lock v:ext="edit" aspectratio="f"/>
            <w10:wrap type="none"/>
            <w10:anchorlock/>
          </v:shape>
          <o:OLEObject Type="Embed" ProgID="Equation.DSMT4" ShapeID="_x0000_i1039" DrawAspect="Content" ObjectID="_1468075739" r:id="rId49">
            <o:LockedField>false</o:LockedField>
          </o:OLEObject>
        </w:object>
      </w:r>
    </w:p>
    <w:p w14:paraId="1311A2B1">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其中，sc​为积雪滑动系数，dsnow​为逐小时积雪深度（cm）；SCTHIN​为薄雪滑动系数（取值0.30~0.35），SCTHICK​为厚雪滑动系数（取值0.04~0.05），匹配薄雪易滑落、厚雪易堆积的物理特性。</w:t>
      </w:r>
    </w:p>
    <w:p w14:paraId="2EFFD59B">
      <w:pPr>
        <w:ind w:firstLine="420" w:firstLineChars="0"/>
        <w:rPr>
          <w:rFonts w:hint="default" w:asciiTheme="minorEastAsia" w:hAnsiTheme="minorEastAsia" w:eastAsiaTheme="minorEastAsia" w:cstheme="minorEastAsia"/>
          <w:sz w:val="24"/>
          <w:szCs w:val="24"/>
          <w:lang w:val="en-US" w:eastAsia="zh-CN"/>
        </w:rPr>
      </w:pPr>
    </w:p>
    <w:p w14:paraId="711C944E">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积雪覆盖比例时序迭代计算</w:t>
      </w:r>
    </w:p>
    <w:p w14:paraId="14A91005">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基于积雪的累积-滑动-融化时序特性，构建覆盖比例的迭代计算模型，核心公式为：</w:t>
      </w:r>
    </w:p>
    <w:p w14:paraId="4A2580BF">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object>
          <v:shape id="_x0000_i1040" o:spt="75" type="#_x0000_t75" style="height:36pt;width:235pt;" o:ole="t" filled="f" o:preferrelative="t" stroked="f" coordsize="21600,21600">
            <v:path/>
            <v:fill on="f" focussize="0,0"/>
            <v:stroke on="f"/>
            <v:imagedata r:id="rId52" o:title=""/>
            <o:lock v:ext="edit" aspectratio="f"/>
            <w10:wrap type="none"/>
            <w10:anchorlock/>
          </v:shape>
          <o:OLEObject Type="Embed" ProgID="Equation.DSMT4" ShapeID="_x0000_i1040" DrawAspect="Content" ObjectID="_1468075740" r:id="rId51">
            <o:LockedField>false</o:LockedField>
          </o:OLEObject>
        </w:object>
      </w:r>
    </w:p>
    <w:p w14:paraId="7595A65C">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其中，Ccover​(t)为t时刻的光伏组件积雪覆盖比例，β为光伏组件安装倾角（°），新降雪事件触发时覆盖比例初始值置为1.0。</w:t>
      </w:r>
    </w:p>
    <w:p w14:paraId="274ED77A">
      <w:pPr>
        <w:ind w:firstLine="420" w:firstLineChars="0"/>
        <w:rPr>
          <w:rFonts w:hint="default" w:asciiTheme="minorEastAsia" w:hAnsiTheme="minorEastAsia" w:eastAsiaTheme="minorEastAsia" w:cstheme="minorEastAsia"/>
          <w:sz w:val="24"/>
          <w:szCs w:val="24"/>
          <w:lang w:val="en-US" w:eastAsia="zh-CN"/>
        </w:rPr>
      </w:pPr>
    </w:p>
    <w:p w14:paraId="70750DF0">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横装组件旁路二极管阶梯式损失修正</w:t>
      </w:r>
    </w:p>
    <w:p w14:paraId="04287B55">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针对经典模型线性损失假设的误差，引入横装组件的旁路二极管导通特性，构建阶梯式功率损失模型，核心公式为：</w:t>
      </w:r>
    </w:p>
    <w:p w14:paraId="2B991C57">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object>
          <v:shape id="_x0000_i1041" o:spt="75" type="#_x0000_t75" style="height:74pt;width:157pt;" o:ole="t" filled="f" o:preferrelative="t" stroked="f" coordsize="21600,21600">
            <v:path/>
            <v:fill on="f" focussize="0,0"/>
            <v:stroke on="f"/>
            <v:imagedata r:id="rId54" o:title=""/>
            <o:lock v:ext="edit" aspectratio="f"/>
            <w10:wrap type="none"/>
            <w10:anchorlock/>
          </v:shape>
          <o:OLEObject Type="Embed" ProgID="Equation.DSMT4" ShapeID="_x0000_i1041" DrawAspect="Content" ObjectID="_1468075741" r:id="rId53">
            <o:LockedField>false</o:LockedField>
          </o:OLEObject>
        </w:object>
      </w:r>
    </w:p>
    <w:p w14:paraId="7D1BB11D">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其中，ηloss​为积雪遮挡导致的基础功率损失比例，匹配3串子串并联旁路二极管的组件电气特性。</w:t>
      </w:r>
    </w:p>
    <w:p w14:paraId="28D21B06">
      <w:pPr>
        <w:ind w:firstLine="420" w:firstLineChars="0"/>
        <w:rPr>
          <w:rFonts w:hint="default" w:asciiTheme="minorEastAsia" w:hAnsiTheme="minorEastAsia" w:eastAsiaTheme="minorEastAsia" w:cstheme="minorEastAsia"/>
          <w:sz w:val="24"/>
          <w:szCs w:val="24"/>
          <w:lang w:val="en-US" w:eastAsia="zh-CN"/>
        </w:rPr>
      </w:pPr>
    </w:p>
    <w:p w14:paraId="2DDA7DE7">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积雪透射率修正与实际功率计算</w:t>
      </w:r>
    </w:p>
    <w:p w14:paraId="283E7AAB">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引入薄雪透射特性修正，完善实际输出功率的计算逻辑，核心公式为：</w:t>
      </w:r>
    </w:p>
    <w:p w14:paraId="244343DA">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object>
          <v:shape id="_x0000_i1042" o:spt="75" type="#_x0000_t75" style="height:52pt;width:165pt;" o:ole="t" filled="f" o:preferrelative="t" stroked="f" coordsize="21600,21600">
            <v:path/>
            <v:fill on="f" focussize="0,0"/>
            <v:stroke on="f"/>
            <v:imagedata r:id="rId56" o:title=""/>
            <o:lock v:ext="edit" aspectratio="f"/>
            <w10:wrap type="none"/>
            <w10:anchorlock/>
          </v:shape>
          <o:OLEObject Type="Embed" ProgID="Equation.DSMT4" ShapeID="_x0000_i1042" DrawAspect="Content" ObjectID="_1468075742" r:id="rId55">
            <o:LockedField>false</o:LockedField>
          </o:OLEObject>
        </w:object>
      </w:r>
    </w:p>
    <w:p w14:paraId="089AC9DE">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object>
          <v:shape id="_x0000_i1043" o:spt="75" type="#_x0000_t75" style="height:18pt;width:100pt;" o:ole="t" filled="f" o:preferrelative="t" stroked="f" coordsize="21600,21600">
            <v:path/>
            <v:fill on="f" focussize="0,0"/>
            <v:stroke on="f"/>
            <v:imagedata r:id="rId58" o:title=""/>
            <o:lock v:ext="edit" aspectratio="f"/>
            <w10:wrap type="none"/>
            <w10:anchorlock/>
          </v:shape>
          <o:OLEObject Type="Embed" ProgID="Equation.DSMT4" ShapeID="_x0000_i1043" DrawAspect="Content" ObjectID="_1468075743" r:id="rId57">
            <o:LockedField>false</o:LockedField>
          </o:OLEObject>
        </w:object>
      </w:r>
    </w:p>
    <w:p w14:paraId="447B08A2">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Pactual​=Pbaseline​⋅(1−ηeff​)</w:t>
      </w:r>
    </w:p>
    <w:p w14:paraId="60374210">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其中，τsnow​为积雪层光透射率，ηeff​为积雪有效损失率，Pbaseline​为无雪工况下的组件基准输出功率，Pactual​为考虑积雪影响的实际输出功率。</w:t>
      </w:r>
    </w:p>
    <w:p w14:paraId="6C15818E">
      <w:pPr>
        <w:ind w:firstLine="420" w:firstLineChars="0"/>
        <w:rPr>
          <w:rFonts w:hint="default" w:asciiTheme="minorEastAsia" w:hAnsiTheme="minorEastAsia" w:eastAsiaTheme="minorEastAsia" w:cstheme="minorEastAsia"/>
          <w:sz w:val="24"/>
          <w:szCs w:val="24"/>
          <w:lang w:val="en-US" w:eastAsia="zh-CN"/>
        </w:rPr>
      </w:pPr>
    </w:p>
    <w:p w14:paraId="0E36F3E5">
      <w:pPr>
        <w:ind w:firstLine="420" w:firstLineChars="0"/>
        <w:rPr>
          <w:rFonts w:hint="default" w:asciiTheme="minorEastAsia" w:hAnsiTheme="minorEastAsia" w:eastAsiaTheme="minorEastAsia" w:cstheme="minorEastAsia"/>
          <w:sz w:val="24"/>
          <w:szCs w:val="24"/>
          <w:lang w:val="en-US" w:eastAsia="zh-CN"/>
        </w:rPr>
      </w:pPr>
    </w:p>
    <w:p w14:paraId="1FE070B8">
      <w:pPr>
        <w:ind w:firstLine="420" w:firstLineChars="0"/>
        <w:outlineLvl w:val="3"/>
        <w:rPr>
          <w:rFonts w:hint="default" w:asciiTheme="minorEastAsia" w:hAnsiTheme="minorEastAsia" w:eastAsiaTheme="minorEastAsia" w:cstheme="minorEastAsia"/>
          <w:b/>
          <w:bCs/>
          <w:sz w:val="28"/>
          <w:szCs w:val="28"/>
          <w:lang w:val="en-US" w:eastAsia="zh-CN"/>
        </w:rPr>
      </w:pPr>
      <w:bookmarkStart w:id="15" w:name="_Toc4707"/>
      <w:r>
        <w:rPr>
          <w:rFonts w:hint="eastAsia" w:asciiTheme="minorEastAsia" w:hAnsiTheme="minorEastAsia" w:eastAsiaTheme="minorEastAsia" w:cstheme="minorEastAsia"/>
          <w:b/>
          <w:bCs/>
          <w:sz w:val="28"/>
          <w:szCs w:val="28"/>
          <w:lang w:val="en-US" w:eastAsia="zh-CN"/>
        </w:rPr>
        <w:t>（3.2）</w:t>
      </w:r>
      <w:r>
        <w:rPr>
          <w:rFonts w:hint="default" w:asciiTheme="minorEastAsia" w:hAnsiTheme="minorEastAsia" w:eastAsiaTheme="minorEastAsia" w:cstheme="minorEastAsia"/>
          <w:b/>
          <w:bCs/>
          <w:sz w:val="28"/>
          <w:szCs w:val="28"/>
          <w:lang w:val="en-US" w:eastAsia="zh-CN"/>
        </w:rPr>
        <w:t>南极站点气象与积雪时序仿真模型实现</w:t>
      </w:r>
      <w:bookmarkEnd w:id="15"/>
    </w:p>
    <w:p w14:paraId="36990DD9">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基于上述雪损模型，结合中国南极长城站、中山站的实测地理与气候特征，构建了全年8760小时级的气象与积雪时序仿真模型，核心实现逻辑如下：</w:t>
      </w:r>
    </w:p>
    <w:p w14:paraId="560A29A7">
      <w:pPr>
        <w:ind w:firstLine="420" w:firstLine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（3.2.1）</w:t>
      </w:r>
      <w:r>
        <w:rPr>
          <w:rFonts w:hint="default" w:asciiTheme="minorEastAsia" w:hAnsiTheme="minorEastAsia" w:eastAsiaTheme="minorEastAsia" w:cstheme="minorEastAsia"/>
          <w:sz w:val="24"/>
          <w:szCs w:val="24"/>
          <w:lang w:val="en-US" w:eastAsia="zh-CN"/>
        </w:rPr>
        <w:t>极地太阳位置与辐照度计算</w:t>
      </w:r>
    </w:p>
    <w:p w14:paraId="70BD6258">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基于pvlib天文算法完成极地太阳位置精准计算，适配极昼极夜特性，引入ASHRAE入射角修正（IAM）模型，核心公式为：</w:t>
      </w:r>
    </w:p>
    <w:p w14:paraId="0A85E652">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object>
          <v:shape id="_x0000_i1044" o:spt="75" type="#_x0000_t75" style="height:38pt;width:139.95pt;" o:ole="t" filled="f" o:preferrelative="t" stroked="f" coordsize="21600,21600">
            <v:path/>
            <v:fill on="f" focussize="0,0"/>
            <v:stroke on="f"/>
            <v:imagedata r:id="rId60" o:title=""/>
            <o:lock v:ext="edit" aspectratio="f"/>
            <w10:wrap type="none"/>
            <w10:anchorlock/>
          </v:shape>
          <o:OLEObject Type="Embed" ProgID="Equation.DSMT4" ShapeID="_x0000_i1044" DrawAspect="Content" ObjectID="_1468075744" r:id="rId59">
            <o:LockedField>false</o:LockedField>
          </o:OLEObject>
        </w:object>
      </w:r>
      <w:r>
        <w:rPr>
          <w:rFonts w:hint="eastAsia" w:asciiTheme="minorEastAsia" w:hAnsiTheme="minorEastAsia" w:eastAsiaTheme="minorEastAsia" w:cstheme="minorEastAsia"/>
          <w:sz w:val="24"/>
          <w:szCs w:val="24"/>
          <w:lang w:val="en-US" w:eastAsia="zh-CN"/>
        </w:rPr>
        <w:t xml:space="preserve">     </w:t>
      </w:r>
      <w:r>
        <w:rPr>
          <w:rFonts w:hint="default" w:asciiTheme="minorEastAsia" w:hAnsiTheme="minorEastAsia" w:eastAsiaTheme="minorEastAsia" w:cstheme="minorEastAsia"/>
          <w:sz w:val="24"/>
          <w:szCs w:val="24"/>
          <w:lang w:val="en-US" w:eastAsia="zh-CN"/>
        </w:rPr>
        <w:t>GPOA​=1000⋅sinα⋅IAM⋅kweather​</w:t>
      </w:r>
    </w:p>
    <w:p w14:paraId="7790A5ED">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其中，b0​为入射角修正系数（极地适配取值0.035~0.04），θAOI​为太阳光线入射角，α为太阳高度角，极夜时段sinα≤0时GPOA​强制置0；kweather​为天气波动系数（取值0.5~1.0），匹配南极多云天气特征。</w:t>
      </w:r>
    </w:p>
    <w:p w14:paraId="06E620FC">
      <w:pPr>
        <w:ind w:firstLine="420" w:firstLineChars="0"/>
        <w:rPr>
          <w:rFonts w:hint="default" w:asciiTheme="minorEastAsia" w:hAnsiTheme="minorEastAsia" w:eastAsiaTheme="minorEastAsia" w:cstheme="minorEastAsia"/>
          <w:sz w:val="24"/>
          <w:szCs w:val="24"/>
          <w:lang w:val="en-US" w:eastAsia="zh-CN"/>
        </w:rPr>
      </w:pPr>
    </w:p>
    <w:p w14:paraId="778782B3">
      <w:pPr>
        <w:ind w:firstLine="420" w:firstLine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（3.2.2）</w:t>
      </w:r>
      <w:r>
        <w:rPr>
          <w:rFonts w:hint="default" w:asciiTheme="minorEastAsia" w:hAnsiTheme="minorEastAsia" w:eastAsiaTheme="minorEastAsia" w:cstheme="minorEastAsia"/>
          <w:sz w:val="24"/>
          <w:szCs w:val="24"/>
          <w:lang w:val="en-US" w:eastAsia="zh-CN"/>
        </w:rPr>
        <w:t>极地环境温度时序模拟</w:t>
      </w:r>
    </w:p>
    <w:p w14:paraId="7AF599CC">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基于南半球季节周期特征，构建余弦函数温度基础模型，叠加日变化与随机波动，核心公式为：</w:t>
      </w:r>
    </w:p>
    <w:p w14:paraId="46755985">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object>
          <v:shape id="_x0000_i1045" o:spt="75" type="#_x0000_t75" style="height:34pt;width:193.95pt;" o:ole="t" filled="f" o:preferrelative="t" stroked="f" coordsize="21600,21600">
            <v:path/>
            <v:fill on="f" focussize="0,0"/>
            <v:stroke on="f"/>
            <v:imagedata r:id="rId62" o:title=""/>
            <o:lock v:ext="edit" aspectratio="f"/>
            <w10:wrap type="none"/>
            <w10:anchorlock/>
          </v:shape>
          <o:OLEObject Type="Embed" ProgID="Equation.DSMT4" ShapeID="_x0000_i1045" DrawAspect="Content" ObjectID="_1468075745" r:id="rId61">
            <o:LockedField>false</o:LockedField>
          </o:OLEObject>
        </w:object>
      </w:r>
    </w:p>
    <w:p w14:paraId="457FDB48">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其中，Tmean​为站点年平均气温，Atemp​为温度年较差，DOY为年积日，以1月15日作为南半球夏季温度峰值，匹配南极温度变化规律。</w:t>
      </w:r>
    </w:p>
    <w:p w14:paraId="36CF512E">
      <w:pPr>
        <w:ind w:firstLine="420" w:firstLineChars="0"/>
        <w:rPr>
          <w:rFonts w:hint="default" w:asciiTheme="minorEastAsia" w:hAnsiTheme="minorEastAsia" w:eastAsiaTheme="minorEastAsia" w:cstheme="minorEastAsia"/>
          <w:sz w:val="24"/>
          <w:szCs w:val="24"/>
          <w:lang w:val="en-US" w:eastAsia="zh-CN"/>
        </w:rPr>
      </w:pPr>
    </w:p>
    <w:p w14:paraId="74EF2B3E">
      <w:pPr>
        <w:ind w:firstLine="420" w:firstLineChars="0"/>
        <w:rPr>
          <w:rFonts w:hint="default" w:asciiTheme="minorEastAsia" w:hAnsiTheme="minorEastAsia" w:eastAsiaTheme="minorEastAsia" w:cstheme="minorEastAsia"/>
          <w:sz w:val="24"/>
          <w:szCs w:val="24"/>
          <w:lang w:val="en-US" w:eastAsia="zh-CN"/>
        </w:rPr>
      </w:pPr>
    </w:p>
    <w:p w14:paraId="78691B47">
      <w:pPr>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（3.2.3）</w:t>
      </w:r>
      <w:r>
        <w:rPr>
          <w:rFonts w:hint="default" w:asciiTheme="minorEastAsia" w:hAnsiTheme="minorEastAsia" w:eastAsiaTheme="minorEastAsia" w:cstheme="minorEastAsia"/>
          <w:sz w:val="24"/>
          <w:szCs w:val="24"/>
          <w:lang w:val="en-US" w:eastAsia="zh-CN"/>
        </w:rPr>
        <w:t>积雪深度时序模拟</w:t>
      </w:r>
    </w:p>
    <w:p w14:paraId="7753963D">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基于南极站点实测积雪周期特征，构建降雪累积-融化全流程模型，融化速率核心公式为：</w:t>
      </w:r>
    </w:p>
    <w:p w14:paraId="29DAC2F0">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object>
          <v:shape id="_x0000_i1046" o:spt="75" type="#_x0000_t75" style="height:18pt;width:150.95pt;" o:ole="t" filled="f" o:preferrelative="t" stroked="f" coordsize="21600,21600">
            <v:path/>
            <v:fill on="f" focussize="0,0"/>
            <v:stroke on="f"/>
            <v:imagedata r:id="rId64" o:title=""/>
            <o:lock v:ext="edit" aspectratio="f"/>
            <w10:wrap type="none"/>
            <w10:anchorlock/>
          </v:shape>
          <o:OLEObject Type="Embed" ProgID="Equation.DSMT4" ShapeID="_x0000_i1046" DrawAspect="Content" ObjectID="_1468075746" r:id="rId63">
            <o:LockedField>false</o:LockedField>
          </o:OLEObject>
        </w:object>
      </w:r>
    </w:p>
    <w:p w14:paraId="18B034A6">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其中，vmelt​为积雪融化速率（cm/h），仅在白天有日照且环境温度超过0℃时触发融化过程，同时设置多轮降雪事件，匹配南极冬季频繁降雪的气候特征。</w:t>
      </w:r>
    </w:p>
    <w:p w14:paraId="28740552">
      <w:pPr>
        <w:ind w:firstLine="420" w:firstLineChars="0"/>
        <w:rPr>
          <w:rFonts w:hint="default" w:asciiTheme="minorEastAsia" w:hAnsiTheme="minorEastAsia" w:eastAsiaTheme="minorEastAsia" w:cstheme="minorEastAsia"/>
          <w:sz w:val="24"/>
          <w:szCs w:val="24"/>
          <w:lang w:val="en-US" w:eastAsia="zh-CN"/>
        </w:rPr>
      </w:pPr>
    </w:p>
    <w:p w14:paraId="450106DC">
      <w:pPr>
        <w:ind w:firstLine="420" w:firstLineChars="0"/>
        <w:outlineLvl w:val="3"/>
        <w:rPr>
          <w:rFonts w:hint="default" w:asciiTheme="minorEastAsia" w:hAnsiTheme="minorEastAsia" w:eastAsiaTheme="minorEastAsia" w:cstheme="minorEastAsia"/>
          <w:b/>
          <w:bCs/>
          <w:sz w:val="28"/>
          <w:szCs w:val="28"/>
          <w:lang w:val="en-US" w:eastAsia="zh-CN"/>
        </w:rPr>
      </w:pPr>
      <w:bookmarkStart w:id="16" w:name="_Toc17145"/>
      <w:r>
        <w:rPr>
          <w:rFonts w:hint="eastAsia" w:asciiTheme="minorEastAsia" w:hAnsiTheme="minorEastAsia" w:eastAsiaTheme="minorEastAsia" w:cstheme="minorEastAsia"/>
          <w:b/>
          <w:bCs/>
          <w:sz w:val="28"/>
          <w:szCs w:val="28"/>
          <w:lang w:val="en-US" w:eastAsia="zh-CN"/>
        </w:rPr>
        <w:t>（3.3）</w:t>
      </w:r>
      <w:r>
        <w:rPr>
          <w:rFonts w:hint="default" w:asciiTheme="minorEastAsia" w:hAnsiTheme="minorEastAsia" w:eastAsiaTheme="minorEastAsia" w:cstheme="minorEastAsia"/>
          <w:b/>
          <w:bCs/>
          <w:sz w:val="28"/>
          <w:szCs w:val="28"/>
          <w:lang w:val="en-US" w:eastAsia="zh-CN"/>
        </w:rPr>
        <w:t>极地光伏组件发电性能仿真与角度优化结果</w:t>
      </w:r>
      <w:bookmarkEnd w:id="16"/>
    </w:p>
    <w:p w14:paraId="22E37E7E">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基于上述模型，完成了高纬度冬季工况验证仿真、南极站点全年仿真与安装角度优化，核心结果如下：</w:t>
      </w:r>
    </w:p>
    <w:p w14:paraId="0EF60D44">
      <w:pPr>
        <w:ind w:firstLine="420" w:firstLine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b/>
      </w:r>
      <w:r>
        <w:rPr>
          <w:rFonts w:hint="default" w:asciiTheme="minorEastAsia" w:hAnsiTheme="minorEastAsia" w:eastAsiaTheme="minorEastAsia" w:cstheme="minorEastAsia"/>
          <w:sz w:val="24"/>
          <w:szCs w:val="24"/>
          <w:lang w:val="en-US" w:eastAsia="zh-CN"/>
        </w:rPr>
        <w:t>高纬度冬季积雪损失仿真验证结果以挪威奥斯陆60°N高纬度地区为验证场景，完成2019年1-3月冬季工况的小时级仿真，得到积雪深度、覆盖比例、输出功率与雪损率的全时序变化规律，结果如图3-1、图3-2、图3-3所示。</w:t>
      </w:r>
    </w:p>
    <w:p w14:paraId="662DE90E">
      <w:pPr>
        <w:ind w:firstLine="420" w:firstLineChars="0"/>
        <w:rPr>
          <w:rFonts w:hint="default" w:asciiTheme="minorEastAsia" w:hAnsiTheme="minorEastAsia" w:eastAsiaTheme="minorEastAsia" w:cstheme="minorEastAsia"/>
          <w:sz w:val="24"/>
          <w:szCs w:val="24"/>
          <w:lang w:val="en-US" w:eastAsia="zh-CN"/>
        </w:rPr>
      </w:pPr>
    </w:p>
    <w:p w14:paraId="18503D49">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drawing>
          <wp:inline distT="0" distB="0" distL="114300" distR="114300">
            <wp:extent cx="5273040" cy="2952750"/>
            <wp:effectExtent l="0" t="0" r="10160" b="6350"/>
            <wp:docPr id="13" name="图片 13" descr="论文匹配版_积雪深度与覆盖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论文匹配版_积雪深度与覆盖比例"/>
                    <pic:cNvPicPr>
                      <a:picLocks noChangeAspect="1"/>
                    </pic:cNvPicPr>
                  </pic:nvPicPr>
                  <pic:blipFill>
                    <a:blip r:embed="rId65"/>
                    <a:stretch>
                      <a:fillRect/>
                    </a:stretch>
                  </pic:blipFill>
                  <pic:spPr>
                    <a:xfrm>
                      <a:off x="0" y="0"/>
                      <a:ext cx="5273040" cy="2952750"/>
                    </a:xfrm>
                    <a:prstGeom prst="rect">
                      <a:avLst/>
                    </a:prstGeom>
                  </pic:spPr>
                </pic:pic>
              </a:graphicData>
            </a:graphic>
          </wp:inline>
        </w:drawing>
      </w:r>
    </w:p>
    <w:p w14:paraId="5FD83A82">
      <w:pPr>
        <w:ind w:firstLine="420" w:firstLineChars="0"/>
        <w:jc w:val="center"/>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图3-1 积雪深度与覆盖比例时序变化</w:t>
      </w:r>
    </w:p>
    <w:p w14:paraId="1A46AE86">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drawing>
          <wp:inline distT="0" distB="0" distL="114300" distR="114300">
            <wp:extent cx="5260975" cy="1951990"/>
            <wp:effectExtent l="0" t="0" r="9525" b="3810"/>
            <wp:docPr id="14" name="图片 14" descr="论文匹配版_功率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论文匹配版_功率对比"/>
                    <pic:cNvPicPr>
                      <a:picLocks noChangeAspect="1"/>
                    </pic:cNvPicPr>
                  </pic:nvPicPr>
                  <pic:blipFill>
                    <a:blip r:embed="rId66"/>
                    <a:stretch>
                      <a:fillRect/>
                    </a:stretch>
                  </pic:blipFill>
                  <pic:spPr>
                    <a:xfrm>
                      <a:off x="0" y="0"/>
                      <a:ext cx="5260975" cy="1951990"/>
                    </a:xfrm>
                    <a:prstGeom prst="rect">
                      <a:avLst/>
                    </a:prstGeom>
                  </pic:spPr>
                </pic:pic>
              </a:graphicData>
            </a:graphic>
          </wp:inline>
        </w:drawing>
      </w:r>
    </w:p>
    <w:p w14:paraId="10468651">
      <w:pPr>
        <w:ind w:firstLine="420" w:firstLineChars="0"/>
        <w:rPr>
          <w:rFonts w:hint="default" w:asciiTheme="minorEastAsia" w:hAnsiTheme="minorEastAsia" w:eastAsiaTheme="minorEastAsia" w:cstheme="minorEastAsia"/>
          <w:sz w:val="24"/>
          <w:szCs w:val="24"/>
          <w:lang w:val="en-US" w:eastAsia="zh-CN"/>
        </w:rPr>
      </w:pPr>
    </w:p>
    <w:p w14:paraId="41684824">
      <w:pPr>
        <w:ind w:firstLine="420" w:firstLineChars="0"/>
        <w:jc w:val="center"/>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图3-2 无雪基准功率与积雪实际功率对比</w:t>
      </w:r>
    </w:p>
    <w:p w14:paraId="599D9747">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drawing>
          <wp:inline distT="0" distB="0" distL="114300" distR="114300">
            <wp:extent cx="5273040" cy="1621790"/>
            <wp:effectExtent l="0" t="0" r="10160" b="3810"/>
            <wp:docPr id="15" name="图片 15" descr="论文匹配版_雪损率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论文匹配版_雪损率分布"/>
                    <pic:cNvPicPr>
                      <a:picLocks noChangeAspect="1"/>
                    </pic:cNvPicPr>
                  </pic:nvPicPr>
                  <pic:blipFill>
                    <a:blip r:embed="rId67"/>
                    <a:stretch>
                      <a:fillRect/>
                    </a:stretch>
                  </pic:blipFill>
                  <pic:spPr>
                    <a:xfrm>
                      <a:off x="0" y="0"/>
                      <a:ext cx="5273040" cy="1621790"/>
                    </a:xfrm>
                    <a:prstGeom prst="rect">
                      <a:avLst/>
                    </a:prstGeom>
                  </pic:spPr>
                </pic:pic>
              </a:graphicData>
            </a:graphic>
          </wp:inline>
        </w:drawing>
      </w:r>
    </w:p>
    <w:p w14:paraId="7111416C">
      <w:pPr>
        <w:ind w:firstLine="420" w:firstLineChars="0"/>
        <w:jc w:val="center"/>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图3-3 逐小时雪损率分布特征</w:t>
      </w:r>
    </w:p>
    <w:p w14:paraId="05F11BA5">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仿真结果显示：降雪事件后积雪深度快速上升，组件覆盖比例同步达到100%，输出功率出现显著衰减；在满足积雪滑动与融化条件后，积雪覆盖比例逐步下降，组件输出功率逐步恢复至无雪基准水平。冬季仿真周期内，系统累计相对雪损率为8.21%，与高纬度地区光伏系统冬季雪损率的实测研究结果高度匹配，验证了本模型的准确性。</w:t>
      </w:r>
    </w:p>
    <w:p w14:paraId="2A7DC5EF">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 南极科考站光伏安装角度优化结果以中国南极长城站为研究对象，完成全年8760小时的发电性能仿真，遍历0°~360°方位角、0°~90°倾角的全角度组合，得到不同安装角度下的年发电量、月均积雪深度与雪损率分布，最终确定适配极地积雪环境的最佳安装角度，结果如图3-4所示。</w:t>
      </w:r>
    </w:p>
    <w:p w14:paraId="1D3CBA1B">
      <w:pPr>
        <w:ind w:firstLine="420" w:firstLineChars="0"/>
        <w:rPr>
          <w:rFonts w:hint="default" w:asciiTheme="minorEastAsia" w:hAnsiTheme="minorEastAsia" w:eastAsiaTheme="minorEastAsia" w:cstheme="minorEastAsia"/>
          <w:sz w:val="24"/>
          <w:szCs w:val="24"/>
          <w:lang w:val="en-US" w:eastAsia="zh-CN"/>
        </w:rPr>
      </w:pPr>
    </w:p>
    <w:p w14:paraId="2BE18127">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drawing>
          <wp:inline distT="0" distB="0" distL="114300" distR="114300">
            <wp:extent cx="5259070" cy="3140075"/>
            <wp:effectExtent l="0" t="0" r="11430" b="9525"/>
            <wp:docPr id="16" name="图片 16" descr="antarctic_marion_model_长城站_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ntarctic_marion_model_长城站_2023"/>
                    <pic:cNvPicPr>
                      <a:picLocks noChangeAspect="1"/>
                    </pic:cNvPicPr>
                  </pic:nvPicPr>
                  <pic:blipFill>
                    <a:blip r:embed="rId68"/>
                    <a:stretch>
                      <a:fillRect/>
                    </a:stretch>
                  </pic:blipFill>
                  <pic:spPr>
                    <a:xfrm>
                      <a:off x="0" y="0"/>
                      <a:ext cx="5259070" cy="3140075"/>
                    </a:xfrm>
                    <a:prstGeom prst="rect">
                      <a:avLst/>
                    </a:prstGeom>
                  </pic:spPr>
                </pic:pic>
              </a:graphicData>
            </a:graphic>
          </wp:inline>
        </w:drawing>
      </w:r>
    </w:p>
    <w:p w14:paraId="3CB68DA4">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图3-4 南极长城站光伏年发电量热力图、月均积雪深度与各角度雪损率分布</w:t>
      </w:r>
    </w:p>
    <w:p w14:paraId="097683B7">
      <w:pPr>
        <w:ind w:firstLine="420" w:firstLineChars="0"/>
        <w:rPr>
          <w:rFonts w:hint="eastAsia"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仿真核心结果如下：长城站工况下，光伏组件最佳安装方位角为0.0°，最佳倾角为50.0°，对应年发电量为192.79 kWh/kWp；无雪基准工况下年发电量为209.</w:t>
      </w:r>
      <w:r>
        <w:rPr>
          <w:rFonts w:hint="eastAsia" w:asciiTheme="minorEastAsia" w:hAnsiTheme="minorEastAsia" w:eastAsiaTheme="minorEastAsia" w:cstheme="minorEastAsia"/>
          <w:sz w:val="24"/>
          <w:szCs w:val="24"/>
          <w:lang w:val="en-US" w:eastAsia="zh-CN"/>
        </w:rPr>
        <w:t>86 kWh/kWp，全年累计相对雪损率为8.13%。同时仿真结果表明，大倾角安装可显著降低积雪覆盖时长与雪损率，与极地光伏系统垂直安装的优化方向一致，验证了本模型在极地光伏工程设计中的应用价值。</w:t>
      </w:r>
    </w:p>
    <w:p w14:paraId="05213157">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模型代码工程化实现基于Python与pvlib库完成了上述模型的全流程代码开发，代码集成了站点参数配置、气象时序模拟、积雪损失计算、角度遍历优化与结果可视化全功能模块，适配中国南极长城站、中山站的地理与气候特征，可实现不同站点、不同安装参数下的光伏发电性能快速仿真与优化，为极地光伏系统的工程化设计提供了量化分析工具。</w:t>
      </w:r>
    </w:p>
    <w:p w14:paraId="26CB704C">
      <w:pPr>
        <w:ind w:firstLine="420" w:firstLineChars="0"/>
        <w:rPr>
          <w:rFonts w:hint="eastAsia" w:asciiTheme="minorEastAsia" w:hAnsiTheme="minorEastAsia" w:eastAsiaTheme="minorEastAsia" w:cstheme="minorEastAsia"/>
          <w:sz w:val="24"/>
          <w:szCs w:val="24"/>
          <w:lang w:val="en-US" w:eastAsia="zh-CN"/>
        </w:rPr>
      </w:pPr>
    </w:p>
    <w:p w14:paraId="77D788E0">
      <w:pPr>
        <w:outlineLvl w:val="2"/>
        <w:rPr>
          <w:rFonts w:hint="default" w:asciiTheme="minorEastAsia" w:hAnsiTheme="minorEastAsia" w:eastAsiaTheme="minorEastAsia" w:cstheme="minorEastAsia"/>
          <w:b/>
          <w:bCs/>
          <w:sz w:val="28"/>
          <w:szCs w:val="28"/>
          <w:lang w:val="en-US" w:eastAsia="zh-CN"/>
        </w:rPr>
      </w:pPr>
      <w:bookmarkStart w:id="17" w:name="_Toc31202"/>
      <w:r>
        <w:rPr>
          <w:rFonts w:hint="eastAsia" w:asciiTheme="minorEastAsia" w:hAnsiTheme="minorEastAsia" w:eastAsiaTheme="minorEastAsia" w:cstheme="minorEastAsia"/>
          <w:b/>
          <w:bCs/>
          <w:sz w:val="28"/>
          <w:szCs w:val="28"/>
          <w:lang w:val="en-US" w:eastAsia="zh-CN"/>
        </w:rPr>
        <w:t>（4）</w:t>
      </w:r>
      <w:bookmarkEnd w:id="17"/>
      <w:r>
        <w:rPr>
          <w:rFonts w:hint="eastAsia" w:asciiTheme="minorEastAsia" w:hAnsiTheme="minorEastAsia" w:eastAsiaTheme="minorEastAsia" w:cstheme="minorEastAsia"/>
          <w:b/>
          <w:bCs/>
          <w:sz w:val="28"/>
          <w:szCs w:val="28"/>
          <w:lang w:val="en-US" w:eastAsia="zh-CN"/>
        </w:rPr>
        <w:t>任意两平面间阴影面积计算方案及Python的实现</w:t>
      </w:r>
    </w:p>
    <w:p w14:paraId="6FB5AFFD">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基于三维解析几何与数值计算方法，对平行光照条件下多面体结构的阴影面积计算问题进行了系统性总结与实现。通过向量运算构建空间几何关系，利用叉积确定平面法向量并建立平面一般方程，在此基础上结合光线参数方程推导出光线与平面的交点表达式，从而为后续阴影判定提供了严格的数学基础。同时，针对平面区域的面积计算问题，采用三角剖分方法，将多边形分解为若干三角形并通过向量叉积求解面积，实现了对任意多边形区域的稳定计算。</w:t>
      </w:r>
    </w:p>
    <w:p w14:paraId="55BA8FC5">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在具体实现中，利用面向对象的编程思想构建了统一的三维向量与平面表示方法，并结合平行光模型描述光照方向。通过在目标平面上生成均匀分布的采样点，构造反向光线并检测其与其他几何面的相交关系，从而判断采样点是否处于阴影区域。最终，通过统计阴影点所占比例并结合平面总面积，实现阴影面积的近似计算。该方法本质上是一种基于离散采样的数值积分策略，能够有效处理多物体之间复杂的空间遮挡关系。</w:t>
      </w:r>
    </w:p>
    <w:p w14:paraId="6A6F8694">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具体计算方式如下：</w:t>
      </w:r>
    </w:p>
    <w:p w14:paraId="16C9D390">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 平面法向量与单位化公式</w:t>
      </w:r>
    </w:p>
    <w:p w14:paraId="70AE0D36">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通过平面相邻两条边向量叉乘得到法向量，再进行单位化处理：</w:t>
      </w:r>
    </w:p>
    <w:p w14:paraId="15041DD0">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设平面相邻两条边的向量为</w:t>
      </w:r>
      <m:oMath>
        <m:r>
          <m:rPr>
            <m:sty m:val="p"/>
          </m:rPr>
          <w:rPr>
            <w:rFonts w:hint="default" w:ascii="Cambria Math" w:hAnsi="Cambria Math" w:eastAsiaTheme="minorEastAsia" w:cstheme="minorEastAsia"/>
            <w:sz w:val="24"/>
            <w:szCs w:val="24"/>
            <w:lang w:val="en-US" w:eastAsia="zh-CN"/>
          </w:rPr>
          <m:t>(</m:t>
        </m:r>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acc>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oMath>
      <w:r>
        <w:rPr>
          <w:rFonts w:hint="eastAsia" w:asciiTheme="minorEastAsia" w:hAnsiTheme="minorEastAsia" w:eastAsiaTheme="minorEastAsia" w:cstheme="minorEastAsia"/>
          <w:sz w:val="24"/>
          <w:szCs w:val="24"/>
          <w:lang w:val="en-US" w:eastAsia="zh-CN"/>
        </w:rPr>
        <w:t>、</w:t>
      </w:r>
      <m:oMath>
        <m:r>
          <m:rPr>
            <m:sty m:val="p"/>
          </m:rPr>
          <w:rPr>
            <w:rFonts w:hint="default" w:ascii="Cambria Math" w:hAnsi="Cambria Math" w:eastAsiaTheme="minorEastAsia" w:cstheme="minorEastAsia"/>
            <w:sz w:val="24"/>
            <w:szCs w:val="24"/>
            <w:lang w:val="en-US" w:eastAsia="zh-CN"/>
          </w:rPr>
          <m:t>(</m:t>
        </m:r>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acc>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oMath>
      <w:r>
        <w:rPr>
          <w:rFonts w:hint="eastAsia" w:asciiTheme="minorEastAsia" w:hAnsiTheme="minorEastAsia" w:eastAsiaTheme="minorEastAsia" w:cstheme="minorEastAsia"/>
          <w:sz w:val="24"/>
          <w:szCs w:val="24"/>
          <w:lang w:val="en-US" w:eastAsia="zh-CN"/>
        </w:rPr>
        <w:t>，则法向量</w:t>
      </w:r>
      <m:oMath>
        <m:r>
          <m:rPr>
            <m:sty m:val="p"/>
          </m:rPr>
          <w:rPr>
            <w:rFonts w:hint="default" w:ascii="Cambria Math" w:hAnsi="Cambria Math" w:eastAsiaTheme="minorEastAsia" w:cstheme="minorEastAsia"/>
            <w:sz w:val="24"/>
            <w:szCs w:val="24"/>
            <w:lang w:val="en-US" w:eastAsia="zh-CN"/>
          </w:rPr>
          <m:t>(</m:t>
        </m:r>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n</m:t>
            </m:r>
            <m:ctrlPr>
              <w:rPr>
                <w:rFonts w:hint="eastAsia" w:ascii="Cambria Math" w:hAnsi="Cambria Math" w:eastAsiaTheme="minorEastAsia" w:cstheme="minorEastAsia"/>
                <w:sz w:val="24"/>
                <w:szCs w:val="24"/>
                <w:lang w:val="en-US" w:eastAsia="zh-CN"/>
              </w:rPr>
            </m:ctrlPr>
          </m:e>
        </m:acc>
        <m:r>
          <m:rPr>
            <m:sty m:val="p"/>
          </m:rPr>
          <w:rPr>
            <w:rFonts w:hint="default" w:ascii="Cambria Math" w:hAnsi="Cambria Math" w:eastAsiaTheme="minorEastAsia" w:cstheme="minorEastAsia"/>
            <w:sz w:val="24"/>
            <w:szCs w:val="24"/>
            <w:lang w:val="en-US" w:eastAsia="zh-CN"/>
          </w:rPr>
          <m:t>)</m:t>
        </m:r>
      </m:oMath>
      <w:r>
        <w:rPr>
          <w:rFonts w:hint="eastAsia" w:asciiTheme="minorEastAsia" w:hAnsiTheme="minorEastAsia" w:eastAsiaTheme="minorEastAsia" w:cstheme="minorEastAsia"/>
          <w:sz w:val="24"/>
          <w:szCs w:val="24"/>
          <w:lang w:val="en-US" w:eastAsia="zh-CN"/>
        </w:rPr>
        <w:t>为：</w:t>
      </w:r>
    </w:p>
    <w:p w14:paraId="3147F487">
      <w:pPr>
        <w:ind w:firstLine="420" w:firstLineChars="0"/>
        <w:rPr>
          <w:rFonts w:hint="eastAsia" w:asciiTheme="minorEastAsia" w:hAnsiTheme="minorEastAsia" w:eastAsiaTheme="minorEastAsia" w:cstheme="minorEastAsia"/>
          <w:sz w:val="24"/>
          <w:szCs w:val="24"/>
          <w:lang w:val="en-US" w:eastAsia="zh-CN"/>
        </w:rPr>
      </w:pPr>
      <m:oMathPara>
        <m:oMath>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n</m:t>
              </m:r>
              <m:ctrlPr>
                <w:rPr>
                  <w:rFonts w:hint="eastAsia" w:ascii="Cambria Math" w:hAnsi="Cambria Math" w:eastAsiaTheme="minorEastAsia" w:cstheme="minorEastAsia"/>
                  <w:sz w:val="24"/>
                  <w:szCs w:val="24"/>
                  <w:lang w:val="en-US" w:eastAsia="zh-CN"/>
                </w:rPr>
              </m:ctrlPr>
            </m:e>
          </m:acc>
          <m:r>
            <m:rPr>
              <m:sty m:val="p"/>
            </m:rPr>
            <w:rPr>
              <w:rFonts w:hint="default" w:ascii="Cambria Math" w:hAnsi="Cambria Math" w:eastAsiaTheme="minorEastAsia" w:cstheme="minorEastAsia"/>
              <w:sz w:val="24"/>
              <w:szCs w:val="24"/>
              <w:lang w:val="en-US" w:eastAsia="zh-CN"/>
            </w:rPr>
            <m:t>=</m:t>
          </m:r>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acc>
          <m:r>
            <m:rPr>
              <m:sty m:val="p"/>
            </m:rPr>
            <w:rPr>
              <w:rFonts w:hint="default" w:ascii="Cambria Math" w:hAnsi="Cambria Math" w:eastAsiaTheme="minorEastAsia" w:cstheme="minorEastAsia"/>
              <w:sz w:val="24"/>
              <w:szCs w:val="24"/>
              <w:lang w:val="en-US" w:eastAsia="zh-CN"/>
            </w:rPr>
            <m:t>×</m:t>
          </m:r>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acc>
          <m:r>
            <m:rPr>
              <m:sty m:val="p"/>
            </m:rPr>
            <w:rPr>
              <w:rFonts w:hint="default" w:ascii="Cambria Math" w:hAnsi="Cambria Math" w:eastAsiaTheme="minorEastAsia" w:cstheme="minorEastAsia"/>
              <w:sz w:val="24"/>
              <w:szCs w:val="24"/>
              <w:lang w:val="en-US" w:eastAsia="zh-CN"/>
            </w:rPr>
            <m:t>=</m:t>
          </m:r>
          <m:d>
            <m:dPr>
              <m:begChr m:val="|"/>
              <m:endChr m:val="|"/>
              <m:ctrlPr>
                <w:rPr>
                  <w:rFonts w:hint="default" w:ascii="Cambria Math" w:hAnsi="Cambria Math" w:eastAsiaTheme="minorEastAsia" w:cstheme="minorEastAsia"/>
                  <w:sz w:val="24"/>
                  <w:szCs w:val="24"/>
                  <w:lang w:val="en-US" w:eastAsia="zh-CN"/>
                </w:rPr>
              </m:ctrlPr>
            </m:dPr>
            <m:e>
              <m:m>
                <m:mPr>
                  <m:mcs>
                    <m:mc>
                      <m:mcPr>
                        <m:count m:val="3"/>
                        <m:mcJc m:val="center"/>
                      </m:mcPr>
                    </m:mc>
                  </m:mcs>
                  <m:plcHide m:val="1"/>
                  <m:ctrlPr>
                    <w:rPr>
                      <w:rFonts w:hint="default" w:ascii="Cambria Math" w:hAnsi="Cambria Math" w:eastAsiaTheme="minorEastAsia" w:cstheme="minorEastAsia"/>
                      <w:sz w:val="24"/>
                      <w:szCs w:val="24"/>
                      <w:lang w:val="en-US" w:eastAsia="zh-CN"/>
                    </w:rPr>
                  </m:ctrlPr>
                </m:mPr>
                <m:mr>
                  <m:e>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i</m:t>
                        </m:r>
                        <m:ctrlPr>
                          <w:rPr>
                            <w:rFonts w:hint="eastAsia" w:ascii="Cambria Math" w:hAnsi="Cambria Math" w:eastAsiaTheme="minorEastAsia" w:cstheme="minorEastAsia"/>
                            <w:sz w:val="24"/>
                            <w:szCs w:val="24"/>
                            <w:lang w:val="en-US" w:eastAsia="zh-CN"/>
                          </w:rPr>
                        </m:ctrlPr>
                      </m:e>
                    </m:acc>
                    <m:ctrlPr>
                      <w:rPr>
                        <w:rFonts w:hint="default" w:ascii="Cambria Math" w:hAnsi="Cambria Math" w:eastAsiaTheme="minorEastAsia" w:cstheme="minorEastAsia"/>
                        <w:sz w:val="24"/>
                        <w:szCs w:val="24"/>
                        <w:lang w:val="en-US" w:eastAsia="zh-CN"/>
                      </w:rPr>
                    </m:ctrlPr>
                  </m:e>
                  <m:e>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j</m:t>
                        </m:r>
                        <m:ctrlPr>
                          <w:rPr>
                            <w:rFonts w:hint="eastAsia" w:ascii="Cambria Math" w:hAnsi="Cambria Math" w:eastAsiaTheme="minorEastAsia" w:cstheme="minorEastAsia"/>
                            <w:sz w:val="24"/>
                            <w:szCs w:val="24"/>
                            <w:lang w:val="en-US" w:eastAsia="zh-CN"/>
                          </w:rPr>
                        </m:ctrlPr>
                      </m:e>
                    </m:acc>
                    <m:ctrlPr>
                      <w:rPr>
                        <w:rFonts w:hint="default" w:ascii="Cambria Math" w:hAnsi="Cambria Math" w:eastAsiaTheme="minorEastAsia" w:cstheme="minorEastAsia"/>
                        <w:sz w:val="24"/>
                        <w:szCs w:val="24"/>
                        <w:lang w:val="en-US" w:eastAsia="zh-CN"/>
                      </w:rPr>
                    </m:ctrlPr>
                  </m:e>
                  <m:e>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k</m:t>
                        </m:r>
                        <m:ctrlPr>
                          <w:rPr>
                            <w:rFonts w:hint="eastAsia" w:ascii="Cambria Math" w:hAnsi="Cambria Math" w:eastAsiaTheme="minorEastAsia" w:cstheme="minorEastAsia"/>
                            <w:sz w:val="24"/>
                            <w:szCs w:val="24"/>
                            <w:lang w:val="en-US" w:eastAsia="zh-CN"/>
                          </w:rPr>
                        </m:ctrlPr>
                      </m:e>
                    </m:acc>
                    <m:ctrlPr>
                      <w:rPr>
                        <w:rFonts w:hint="default" w:ascii="Cambria Math" w:hAnsi="Cambria Math" w:eastAsiaTheme="minorEastAsia" w:cstheme="minorEastAsia"/>
                        <w:sz w:val="24"/>
                        <w:szCs w:val="24"/>
                        <w:lang w:val="en-US" w:eastAsia="zh-CN"/>
                      </w:rPr>
                    </m:ctrlPr>
                  </m:e>
                </m:mr>
                <m:mr>
                  <m:e>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sub>
                    </m:sSub>
                    <m:ctrlPr>
                      <w:rPr>
                        <w:rFonts w:hint="default" w:ascii="Cambria Math" w:hAnsi="Cambria Math" w:eastAsiaTheme="minorEastAsia" w:cstheme="minorEastAsia"/>
                        <w:sz w:val="24"/>
                        <w:szCs w:val="24"/>
                        <w:lang w:val="en-US" w:eastAsia="zh-CN"/>
                      </w:rPr>
                    </m:ctrlPr>
                  </m:e>
                  <m:e>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sub>
                    </m:sSub>
                    <m:ctrlPr>
                      <w:rPr>
                        <w:rFonts w:hint="default" w:ascii="Cambria Math" w:hAnsi="Cambria Math" w:eastAsiaTheme="minorEastAsia" w:cstheme="minorEastAsia"/>
                        <w:sz w:val="24"/>
                        <w:szCs w:val="24"/>
                        <w:lang w:val="en-US" w:eastAsia="zh-CN"/>
                      </w:rPr>
                    </m:ctrlPr>
                  </m:e>
                  <m:e>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sub>
                    </m:sSub>
                    <m:ctrlPr>
                      <w:rPr>
                        <w:rFonts w:hint="default" w:ascii="Cambria Math" w:hAnsi="Cambria Math" w:eastAsiaTheme="minorEastAsia" w:cstheme="minorEastAsia"/>
                        <w:sz w:val="24"/>
                        <w:szCs w:val="24"/>
                        <w:lang w:val="en-US" w:eastAsia="zh-CN"/>
                      </w:rPr>
                    </m:ctrlPr>
                  </m:e>
                </m:mr>
                <m:mr>
                  <m:e>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sub>
                    </m:sSub>
                    <m:ctrlPr>
                      <w:rPr>
                        <w:rFonts w:hint="default" w:ascii="Cambria Math" w:hAnsi="Cambria Math" w:eastAsiaTheme="minorEastAsia" w:cstheme="minorEastAsia"/>
                        <w:sz w:val="24"/>
                        <w:szCs w:val="24"/>
                        <w:lang w:val="en-US" w:eastAsia="zh-CN"/>
                      </w:rPr>
                    </m:ctrlPr>
                  </m:e>
                  <m:e>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sub>
                    </m:sSub>
                    <m:ctrlPr>
                      <w:rPr>
                        <w:rFonts w:hint="default" w:ascii="Cambria Math" w:hAnsi="Cambria Math" w:eastAsiaTheme="minorEastAsia" w:cstheme="minorEastAsia"/>
                        <w:sz w:val="24"/>
                        <w:szCs w:val="24"/>
                        <w:lang w:val="en-US" w:eastAsia="zh-CN"/>
                      </w:rPr>
                    </m:ctrlPr>
                  </m:e>
                  <m:e>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sub>
                    </m:sSub>
                    <m:ctrlPr>
                      <w:rPr>
                        <w:rFonts w:hint="default" w:ascii="Cambria Math" w:hAnsi="Cambria Math" w:eastAsiaTheme="minorEastAsia" w:cstheme="minorEastAsia"/>
                        <w:sz w:val="24"/>
                        <w:szCs w:val="24"/>
                        <w:lang w:val="en-US" w:eastAsia="zh-CN"/>
                      </w:rPr>
                    </m:ctrlPr>
                  </m:e>
                </m:mr>
              </m:m>
              <m:ctrlPr>
                <w:rPr>
                  <w:rFonts w:hint="default" w:ascii="Cambria Math" w:hAnsi="Cambria Math" w:eastAsiaTheme="minorEastAsia" w:cstheme="minorEastAsia"/>
                  <w:sz w:val="24"/>
                  <w:szCs w:val="24"/>
                  <w:lang w:val="en-US" w:eastAsia="zh-CN"/>
                </w:rPr>
              </m:ctrlPr>
            </m:e>
          </m:d>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default"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default"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default"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default"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default"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default"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default"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default"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default"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default"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default"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default"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oMath>
      </m:oMathPara>
    </w:p>
    <w:p w14:paraId="793AD91E">
      <w:pPr>
        <w:ind w:firstLine="420" w:firstLineChars="0"/>
        <w:rPr>
          <w:rFonts w:hint="eastAsia" w:asciiTheme="minorEastAsia" w:hAnsiTheme="minorEastAsia" w:eastAsiaTheme="minorEastAsia" w:cstheme="minorEastAsia"/>
          <w:sz w:val="24"/>
          <w:szCs w:val="24"/>
          <w:lang w:val="en-US" w:eastAsia="zh-CN"/>
        </w:rPr>
      </w:pPr>
    </w:p>
    <w:p w14:paraId="284EABAC">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单位法向量</w:t>
      </w:r>
      <m:oMath>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n</m:t>
                </m:r>
                <m:ctrlPr>
                  <w:rPr>
                    <w:rFonts w:hint="eastAsia" w:ascii="Cambria Math" w:hAnsi="Cambria Math" w:eastAsiaTheme="minorEastAsia" w:cstheme="minorEastAsia"/>
                    <w:sz w:val="24"/>
                    <w:szCs w:val="24"/>
                    <w:lang w:val="en-US" w:eastAsia="zh-CN"/>
                  </w:rPr>
                </m:ctrlPr>
              </m:e>
            </m:acc>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default"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oMath>
      <w:r>
        <w:rPr>
          <w:rFonts w:hint="eastAsia" w:asciiTheme="minorEastAsia" w:hAnsiTheme="minorEastAsia" w:eastAsiaTheme="minorEastAsia" w:cstheme="minorEastAsia"/>
          <w:sz w:val="24"/>
          <w:szCs w:val="24"/>
          <w:lang w:val="en-US" w:eastAsia="zh-CN"/>
        </w:rPr>
        <w:t>为：</w:t>
      </w:r>
    </w:p>
    <w:p w14:paraId="7BF6D478">
      <w:pPr>
        <w:ind w:firstLine="420" w:firstLineChars="0"/>
        <w:rPr>
          <w:rFonts w:hint="eastAsia" w:asciiTheme="minorEastAsia" w:hAnsiTheme="minorEastAsia" w:eastAsiaTheme="minorEastAsia" w:cstheme="minorEastAsia"/>
          <w:sz w:val="24"/>
          <w:szCs w:val="24"/>
          <w:lang w:val="en-US" w:eastAsia="zh-CN"/>
        </w:rPr>
      </w:pPr>
      <m:oMathPara>
        <m:oMath>
          <m:sSub>
            <m:sSubPr>
              <m:ctrlPr>
                <w:rPr>
                  <w:rFonts w:hint="default" w:ascii="Cambria Math" w:hAnsi="Cambria Math" w:eastAsiaTheme="minorEastAsia" w:cstheme="minorEastAsia"/>
                  <w:sz w:val="24"/>
                  <w:szCs w:val="24"/>
                  <w:lang w:val="en-US" w:eastAsia="zh-CN"/>
                </w:rPr>
              </m:ctrlPr>
            </m:sSubPr>
            <m:e>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n</m:t>
                  </m:r>
                  <m:ctrlPr>
                    <w:rPr>
                      <w:rFonts w:hint="eastAsia" w:ascii="Cambria Math" w:hAnsi="Cambria Math" w:eastAsiaTheme="minorEastAsia" w:cstheme="minorEastAsia"/>
                      <w:sz w:val="24"/>
                      <w:szCs w:val="24"/>
                      <w:lang w:val="en-US" w:eastAsia="zh-CN"/>
                    </w:rPr>
                  </m:ctrlPr>
                </m:e>
              </m:acc>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default"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f>
            <m:fPr>
              <m:ctrlPr>
                <w:rPr>
                  <w:rFonts w:hint="default" w:ascii="Cambria Math" w:hAnsi="Cambria Math" w:eastAsiaTheme="minorEastAsia" w:cstheme="minorEastAsia"/>
                  <w:sz w:val="24"/>
                  <w:szCs w:val="24"/>
                  <w:lang w:val="en-US" w:eastAsia="zh-CN"/>
                </w:rPr>
              </m:ctrlPr>
            </m:fPr>
            <m:num>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n</m:t>
                  </m:r>
                  <m:ctrlPr>
                    <w:rPr>
                      <w:rFonts w:hint="eastAsia" w:ascii="Cambria Math" w:hAnsi="Cambria Math" w:eastAsiaTheme="minorEastAsia" w:cstheme="minorEastAsia"/>
                      <w:sz w:val="24"/>
                      <w:szCs w:val="24"/>
                      <w:lang w:val="en-US" w:eastAsia="zh-CN"/>
                    </w:rPr>
                  </m:ctrlPr>
                </m:e>
              </m:acc>
              <m:ctrlPr>
                <w:rPr>
                  <w:rFonts w:hint="default" w:ascii="Cambria Math" w:hAnsi="Cambria Math" w:eastAsiaTheme="minorEastAsia" w:cstheme="minorEastAsia"/>
                  <w:sz w:val="24"/>
                  <w:szCs w:val="24"/>
                  <w:lang w:val="en-US" w:eastAsia="zh-CN"/>
                </w:rPr>
              </m:ctrlPr>
            </m:num>
            <m:den>
              <m:r>
                <m:rPr>
                  <m:sty m:val="p"/>
                </m:rPr>
                <w:rPr>
                  <w:rFonts w:hint="default" w:ascii="Cambria Math" w:hAnsi="Cambria Math" w:eastAsiaTheme="minorEastAsia" w:cstheme="minorEastAsia"/>
                  <w:sz w:val="24"/>
                  <w:szCs w:val="24"/>
                  <w:lang w:val="en-US" w:eastAsia="zh-CN"/>
                </w:rPr>
                <m:t>|</m:t>
              </m:r>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n</m:t>
                  </m:r>
                  <m:ctrlPr>
                    <w:rPr>
                      <w:rFonts w:hint="eastAsia" w:ascii="Cambria Math" w:hAnsi="Cambria Math" w:eastAsiaTheme="minorEastAsia" w:cstheme="minorEastAsia"/>
                      <w:sz w:val="24"/>
                      <w:szCs w:val="24"/>
                      <w:lang w:val="en-US" w:eastAsia="zh-CN"/>
                    </w:rPr>
                  </m:ctrlPr>
                </m:e>
              </m:acc>
              <m:r>
                <m:rPr>
                  <m:sty m:val="p"/>
                </m:rPr>
                <w:rPr>
                  <w:rFonts w:hint="default" w:ascii="Cambria Math" w:hAnsi="Cambria Math" w:eastAsiaTheme="minorEastAsia" w:cstheme="minorEastAsia"/>
                  <w:sz w:val="24"/>
                  <w:szCs w:val="24"/>
                  <w:lang w:val="en-US" w:eastAsia="zh-CN"/>
                </w:rPr>
                <m:t>|</m:t>
              </m:r>
              <m:ctrlPr>
                <w:rPr>
                  <w:rFonts w:hint="default" w:ascii="Cambria Math" w:hAnsi="Cambria Math" w:eastAsiaTheme="minorEastAsia" w:cstheme="minorEastAsia"/>
                  <w:sz w:val="24"/>
                  <w:szCs w:val="24"/>
                  <w:lang w:val="en-US" w:eastAsia="zh-CN"/>
                </w:rPr>
              </m:ctrlPr>
            </m:den>
          </m:f>
          <m:r>
            <m:rPr>
              <m:sty m:val="p"/>
            </m:rPr>
            <w:rPr>
              <w:rFonts w:hint="default" w:ascii="Cambria Math" w:hAnsi="Cambria Math" w:eastAsiaTheme="minorEastAsia" w:cstheme="minorEastAsia"/>
              <w:sz w:val="24"/>
              <w:szCs w:val="24"/>
              <w:lang w:val="en-US" w:eastAsia="zh-CN"/>
            </w:rPr>
            <m:t>=</m:t>
          </m:r>
          <m:f>
            <m:fPr>
              <m:ctrlPr>
                <w:rPr>
                  <w:rFonts w:hint="default" w:ascii="Cambria Math" w:hAnsi="Cambria Math" w:eastAsiaTheme="minorEastAsia" w:cstheme="minorEastAsia"/>
                  <w:sz w:val="24"/>
                  <w:szCs w:val="24"/>
                  <w:lang w:val="en-US" w:eastAsia="zh-CN"/>
                </w:rPr>
              </m:ctrlPr>
            </m:fPr>
            <m:num>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ctrlPr>
                <w:rPr>
                  <w:rFonts w:hint="default" w:ascii="Cambria Math" w:hAnsi="Cambria Math" w:eastAsiaTheme="minorEastAsia" w:cstheme="minorEastAsia"/>
                  <w:sz w:val="24"/>
                  <w:szCs w:val="24"/>
                  <w:lang w:val="en-US" w:eastAsia="zh-CN"/>
                </w:rPr>
              </m:ctrlPr>
            </m:num>
            <m:den>
              <m:rad>
                <m:radPr>
                  <m:degHide m:val="1"/>
                  <m:ctrlPr>
                    <w:rPr>
                      <w:rFonts w:hint="default" w:ascii="Cambria Math" w:hAnsi="Cambria Math" w:eastAsiaTheme="minorEastAsia" w:cstheme="minorEastAsia"/>
                      <w:sz w:val="24"/>
                      <w:szCs w:val="24"/>
                      <w:lang w:val="en-US" w:eastAsia="zh-CN"/>
                    </w:rPr>
                  </m:ctrlPr>
                </m:radPr>
                <m:deg>
                  <m:ctrlPr>
                    <w:rPr>
                      <w:rFonts w:hint="eastAsia" w:ascii="Cambria Math" w:hAnsi="Cambria Math" w:eastAsiaTheme="minorEastAsia" w:cstheme="minorEastAsia"/>
                      <w:sz w:val="24"/>
                      <w:szCs w:val="24"/>
                      <w:lang w:val="en-US" w:eastAsia="zh-CN"/>
                    </w:rPr>
                  </m:ctrlPr>
                </m:deg>
                <m:e>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sub>
                  </m:sSub>
                  <m:sSup>
                    <m:sSupPr>
                      <m:ctrlPr>
                        <w:rPr>
                          <w:rFonts w:hint="default" w:ascii="Cambria Math" w:hAnsi="Cambria Math" w:eastAsiaTheme="minorEastAsia" w:cstheme="minorEastAsia"/>
                          <w:sz w:val="24"/>
                          <w:szCs w:val="24"/>
                          <w:lang w:val="en-US" w:eastAsia="zh-CN"/>
                        </w:rPr>
                      </m:ctrlPr>
                    </m:sSupPr>
                    <m:e>
                      <m:r>
                        <m:rPr>
                          <m:sty m:val="p"/>
                        </m:rPr>
                        <w:rPr>
                          <w:rFonts w:hint="default" w:ascii="Cambria Math" w:hAnsi="Cambria Math" w:eastAsiaTheme="minorEastAsia" w:cstheme="minorEastAsia"/>
                          <w:sz w:val="24"/>
                          <w:szCs w:val="24"/>
                          <w:lang w:val="en-US" w:eastAsia="zh-CN"/>
                        </w:rPr>
                        <m:t>)</m:t>
                      </m:r>
                      <m:ctrlPr>
                        <w:rPr>
                          <w:rFonts w:hint="eastAsia" w:ascii="Cambria Math" w:hAnsi="Cambria Math" w:eastAsiaTheme="minorEastAsia" w:cstheme="minorEastAsia"/>
                          <w:sz w:val="24"/>
                          <w:szCs w:val="24"/>
                          <w:lang w:val="en-US" w:eastAsia="zh-CN"/>
                        </w:rPr>
                      </m:ctrlPr>
                    </m:e>
                    <m:sup>
                      <m:r>
                        <m:rPr>
                          <m:sty m:val="p"/>
                        </m:rPr>
                        <w:rPr>
                          <w:rFonts w:hint="default" w:ascii="Cambria Math" w:hAnsi="Cambria Math" w:eastAsiaTheme="minorEastAsia" w:cstheme="minorEastAsia"/>
                          <w:sz w:val="24"/>
                          <w:szCs w:val="24"/>
                          <w:lang w:val="en-US" w:eastAsia="zh-CN"/>
                        </w:rPr>
                        <m:t>2</m:t>
                      </m:r>
                      <m:ctrlPr>
                        <w:rPr>
                          <w:rFonts w:hint="eastAsia" w:ascii="Cambria Math" w:hAnsi="Cambria Math" w:eastAsiaTheme="minorEastAsia" w:cstheme="minorEastAsia"/>
                          <w:sz w:val="24"/>
                          <w:szCs w:val="24"/>
                          <w:lang w:val="en-US" w:eastAsia="zh-CN"/>
                        </w:rPr>
                      </m:ctrlPr>
                    </m:sup>
                  </m:sSup>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sub>
                  </m:sSub>
                  <m:sSup>
                    <m:sSupPr>
                      <m:ctrlPr>
                        <w:rPr>
                          <w:rFonts w:hint="default" w:ascii="Cambria Math" w:hAnsi="Cambria Math" w:eastAsiaTheme="minorEastAsia" w:cstheme="minorEastAsia"/>
                          <w:sz w:val="24"/>
                          <w:szCs w:val="24"/>
                          <w:lang w:val="en-US" w:eastAsia="zh-CN"/>
                        </w:rPr>
                      </m:ctrlPr>
                    </m:sSupPr>
                    <m:e>
                      <m:r>
                        <m:rPr>
                          <m:sty m:val="p"/>
                        </m:rPr>
                        <w:rPr>
                          <w:rFonts w:hint="default" w:ascii="Cambria Math" w:hAnsi="Cambria Math" w:eastAsiaTheme="minorEastAsia" w:cstheme="minorEastAsia"/>
                          <w:sz w:val="24"/>
                          <w:szCs w:val="24"/>
                          <w:lang w:val="en-US" w:eastAsia="zh-CN"/>
                        </w:rPr>
                        <m:t>)</m:t>
                      </m:r>
                      <m:ctrlPr>
                        <w:rPr>
                          <w:rFonts w:hint="eastAsia" w:ascii="Cambria Math" w:hAnsi="Cambria Math" w:eastAsiaTheme="minorEastAsia" w:cstheme="minorEastAsia"/>
                          <w:sz w:val="24"/>
                          <w:szCs w:val="24"/>
                          <w:lang w:val="en-US" w:eastAsia="zh-CN"/>
                        </w:rPr>
                      </m:ctrlPr>
                    </m:e>
                    <m:sup>
                      <m:r>
                        <m:rPr>
                          <m:sty m:val="p"/>
                        </m:rPr>
                        <w:rPr>
                          <w:rFonts w:hint="default" w:ascii="Cambria Math" w:hAnsi="Cambria Math" w:eastAsiaTheme="minorEastAsia" w:cstheme="minorEastAsia"/>
                          <w:sz w:val="24"/>
                          <w:szCs w:val="24"/>
                          <w:lang w:val="en-US" w:eastAsia="zh-CN"/>
                        </w:rPr>
                        <m:t>2</m:t>
                      </m:r>
                      <m:ctrlPr>
                        <w:rPr>
                          <w:rFonts w:hint="eastAsia" w:ascii="Cambria Math" w:hAnsi="Cambria Math" w:eastAsiaTheme="minorEastAsia" w:cstheme="minorEastAsia"/>
                          <w:sz w:val="24"/>
                          <w:szCs w:val="24"/>
                          <w:lang w:val="en-US" w:eastAsia="zh-CN"/>
                        </w:rPr>
                      </m:ctrlPr>
                    </m:sup>
                  </m:sSup>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sub>
                  </m:sSub>
                  <m:sSup>
                    <m:sSupPr>
                      <m:ctrlPr>
                        <w:rPr>
                          <w:rFonts w:hint="default" w:ascii="Cambria Math" w:hAnsi="Cambria Math" w:eastAsiaTheme="minorEastAsia" w:cstheme="minorEastAsia"/>
                          <w:sz w:val="24"/>
                          <w:szCs w:val="24"/>
                          <w:lang w:val="en-US" w:eastAsia="zh-CN"/>
                        </w:rPr>
                      </m:ctrlPr>
                    </m:sSupPr>
                    <m:e>
                      <m:r>
                        <m:rPr>
                          <m:sty m:val="p"/>
                        </m:rPr>
                        <w:rPr>
                          <w:rFonts w:hint="default" w:ascii="Cambria Math" w:hAnsi="Cambria Math" w:eastAsiaTheme="minorEastAsia" w:cstheme="minorEastAsia"/>
                          <w:sz w:val="24"/>
                          <w:szCs w:val="24"/>
                          <w:lang w:val="en-US" w:eastAsia="zh-CN"/>
                        </w:rPr>
                        <m:t>)</m:t>
                      </m:r>
                      <m:ctrlPr>
                        <w:rPr>
                          <w:rFonts w:hint="eastAsia" w:ascii="Cambria Math" w:hAnsi="Cambria Math" w:eastAsiaTheme="minorEastAsia" w:cstheme="minorEastAsia"/>
                          <w:sz w:val="24"/>
                          <w:szCs w:val="24"/>
                          <w:lang w:val="en-US" w:eastAsia="zh-CN"/>
                        </w:rPr>
                      </m:ctrlPr>
                    </m:e>
                    <m:sup>
                      <m:r>
                        <m:rPr>
                          <m:sty m:val="p"/>
                        </m:rPr>
                        <w:rPr>
                          <w:rFonts w:hint="default" w:ascii="Cambria Math" w:hAnsi="Cambria Math" w:eastAsiaTheme="minorEastAsia" w:cstheme="minorEastAsia"/>
                          <w:sz w:val="24"/>
                          <w:szCs w:val="24"/>
                          <w:lang w:val="en-US" w:eastAsia="zh-CN"/>
                        </w:rPr>
                        <m:t>2</m:t>
                      </m:r>
                      <m:ctrlPr>
                        <w:rPr>
                          <w:rFonts w:hint="eastAsia" w:ascii="Cambria Math" w:hAnsi="Cambria Math" w:eastAsiaTheme="minorEastAsia" w:cstheme="minorEastAsia"/>
                          <w:sz w:val="24"/>
                          <w:szCs w:val="24"/>
                          <w:lang w:val="en-US" w:eastAsia="zh-CN"/>
                        </w:rPr>
                      </m:ctrlPr>
                    </m:sup>
                  </m:sSup>
                  <m:ctrlPr>
                    <w:rPr>
                      <w:rFonts w:hint="default" w:ascii="Cambria Math" w:hAnsi="Cambria Math" w:eastAsiaTheme="minorEastAsia" w:cstheme="minorEastAsia"/>
                      <w:sz w:val="24"/>
                      <w:szCs w:val="24"/>
                      <w:lang w:val="en-US" w:eastAsia="zh-CN"/>
                    </w:rPr>
                  </m:ctrlPr>
                </m:e>
              </m:rad>
              <m:ctrlPr>
                <w:rPr>
                  <w:rFonts w:hint="default" w:ascii="Cambria Math" w:hAnsi="Cambria Math" w:eastAsiaTheme="minorEastAsia" w:cstheme="minorEastAsia"/>
                  <w:sz w:val="24"/>
                  <w:szCs w:val="24"/>
                  <w:lang w:val="en-US" w:eastAsia="zh-CN"/>
                </w:rPr>
              </m:ctrlPr>
            </m:den>
          </m:f>
        </m:oMath>
      </m:oMathPara>
    </w:p>
    <w:p w14:paraId="54AD447F">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设平面上已知点</w:t>
      </w:r>
      <m:oMath>
        <m:r>
          <m:rPr>
            <m:sty m:val="p"/>
          </m:rPr>
          <w:rPr>
            <w:rFonts w:hint="default" w:ascii="Cambria Math" w:hAnsi="Cambria Math" w:eastAsiaTheme="minorEastAsia" w:cstheme="minorEastAsia"/>
            <w:sz w:val="24"/>
            <w:szCs w:val="24"/>
            <w:lang w:val="en-US" w:eastAsia="zh-CN"/>
          </w:rPr>
          <m:t>P0(x0,y0,z0)</m:t>
        </m:r>
      </m:oMath>
      <w:r>
        <w:rPr>
          <w:rFonts w:hint="eastAsia" w:asciiTheme="minorEastAsia" w:hAnsiTheme="minorEastAsia" w:eastAsiaTheme="minorEastAsia" w:cstheme="minorEastAsia"/>
          <w:sz w:val="24"/>
          <w:szCs w:val="24"/>
          <w:lang w:val="en-US" w:eastAsia="zh-CN"/>
        </w:rPr>
        <w:t>，代入单位法向量可得平面基本表达式：</w:t>
      </w:r>
    </w:p>
    <w:p w14:paraId="19E42FB2">
      <w:pPr>
        <w:ind w:firstLine="420" w:firstLineChars="0"/>
        <w:rPr>
          <w:rFonts w:hint="eastAsia" w:asciiTheme="minorEastAsia" w:hAnsiTheme="minorEastAsia" w:eastAsiaTheme="minorEastAsia" w:cstheme="minorEastAsia"/>
          <w:sz w:val="24"/>
          <w:szCs w:val="24"/>
          <w:lang w:val="en-US" w:eastAsia="zh-CN"/>
        </w:rPr>
      </w:pPr>
      <m:oMathPara>
        <m:oMath>
          <m:sSub>
            <m:sSubPr>
              <m:ctrlPr>
                <w:rPr>
                  <w:rFonts w:hint="default" w:ascii="Cambria Math" w:hAnsi="Cambria Math" w:eastAsiaTheme="minorEastAsia" w:cstheme="minorEastAsia"/>
                  <w:sz w:val="24"/>
                  <w:szCs w:val="24"/>
                  <w:lang w:val="en-US" w:eastAsia="zh-CN"/>
                </w:rPr>
              </m:ctrlPr>
            </m:sSubPr>
            <m:e>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n</m:t>
                  </m:r>
                  <m:ctrlPr>
                    <w:rPr>
                      <w:rFonts w:hint="eastAsia" w:ascii="Cambria Math" w:hAnsi="Cambria Math" w:eastAsiaTheme="minorEastAsia" w:cstheme="minorEastAsia"/>
                      <w:sz w:val="24"/>
                      <w:szCs w:val="24"/>
                      <w:lang w:val="en-US" w:eastAsia="zh-CN"/>
                    </w:rPr>
                  </m:ctrlPr>
                </m:e>
              </m:acc>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default"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⋅(x−</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x</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default"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,y−</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y</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default"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,z−</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z</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default"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)=0</m:t>
          </m:r>
        </m:oMath>
      </m:oMathPara>
    </w:p>
    <w:p w14:paraId="16E2262C">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展开后为平面一般式：</w:t>
      </w:r>
    </w:p>
    <w:p w14:paraId="41DF7936">
      <w:pPr>
        <w:ind w:firstLine="420" w:firstLineChars="0"/>
        <w:rPr>
          <w:rFonts w:hint="eastAsia" w:asciiTheme="minorEastAsia" w:hAnsiTheme="minorEastAsia" w:eastAsiaTheme="minorEastAsia" w:cstheme="minorEastAsia"/>
          <w:sz w:val="24"/>
          <w:szCs w:val="24"/>
          <w:lang w:val="en-US" w:eastAsia="zh-CN"/>
        </w:rPr>
      </w:pPr>
      <m:oMathPara>
        <m:oMath>
          <m:r>
            <m:rPr>
              <m:sty m:val="p"/>
            </m:rPr>
            <w:rPr>
              <w:rFonts w:hint="default" w:ascii="Cambria Math" w:hAnsi="Cambria Math" w:eastAsiaTheme="minorEastAsia" w:cstheme="minorEastAsia"/>
              <w:sz w:val="24"/>
              <w:szCs w:val="24"/>
              <w:lang w:val="en-US" w:eastAsia="zh-CN"/>
            </w:rPr>
            <m:t>Ax+By+Cz+D=0</m:t>
          </m:r>
        </m:oMath>
      </m:oMathPara>
    </w:p>
    <w:p w14:paraId="001DC046">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其中</w:t>
      </w:r>
      <m:oMath>
        <m:r>
          <m:rPr>
            <m:sty m:val="p"/>
          </m:rPr>
          <w:rPr>
            <w:rFonts w:hint="default" w:ascii="Cambria Math" w:hAnsi="Cambria Math" w:eastAsiaTheme="minorEastAsia" w:cstheme="minorEastAsia"/>
            <w:sz w:val="24"/>
            <w:szCs w:val="24"/>
            <w:lang w:val="en-US" w:eastAsia="zh-CN"/>
          </w:rPr>
          <m:t>((A,B,C)=</m:t>
        </m:r>
        <m:sSub>
          <m:sSubPr>
            <m:ctrlPr>
              <w:rPr>
                <w:rFonts w:hint="default" w:ascii="Cambria Math" w:hAnsi="Cambria Math" w:eastAsiaTheme="minorEastAsia" w:cstheme="minorEastAsia"/>
                <w:sz w:val="24"/>
                <w:szCs w:val="24"/>
                <w:lang w:val="en-US" w:eastAsia="zh-CN"/>
              </w:rPr>
            </m:ctrlPr>
          </m:sSubPr>
          <m:e>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n</m:t>
                </m:r>
                <m:ctrlPr>
                  <w:rPr>
                    <w:rFonts w:hint="eastAsia" w:ascii="Cambria Math" w:hAnsi="Cambria Math" w:eastAsiaTheme="minorEastAsia" w:cstheme="minorEastAsia"/>
                    <w:sz w:val="24"/>
                    <w:szCs w:val="24"/>
                    <w:lang w:val="en-US" w:eastAsia="zh-CN"/>
                  </w:rPr>
                </m:ctrlPr>
              </m:e>
            </m:acc>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default"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oMath>
      <w:r>
        <w:rPr>
          <w:rFonts w:hint="eastAsia" w:asciiTheme="minorEastAsia" w:hAnsiTheme="minorEastAsia" w:eastAsiaTheme="minorEastAsia" w:cstheme="minorEastAsia"/>
          <w:sz w:val="24"/>
          <w:szCs w:val="24"/>
          <w:lang w:val="en-US" w:eastAsia="zh-CN"/>
        </w:rPr>
        <w:t>，</w:t>
      </w:r>
      <m:oMath>
        <m:r>
          <m:rPr>
            <m:sty m:val="p"/>
          </m:rPr>
          <w:rPr>
            <w:rFonts w:hint="default" w:ascii="Cambria Math" w:hAnsi="Cambria Math" w:eastAsiaTheme="minorEastAsia" w:cstheme="minorEastAsia"/>
            <w:sz w:val="24"/>
            <w:szCs w:val="24"/>
            <w:lang w:val="en-US" w:eastAsia="zh-CN"/>
          </w:rPr>
          <m:t>(D=−(A</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+B</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+C</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oMath>
      <w:r>
        <w:rPr>
          <w:rFonts w:hint="eastAsia" w:asciiTheme="minorEastAsia" w:hAnsiTheme="minorEastAsia" w:eastAsiaTheme="minorEastAsia" w:cstheme="minorEastAsia"/>
          <w:sz w:val="24"/>
          <w:szCs w:val="24"/>
          <w:lang w:val="en-US" w:eastAsia="zh-CN"/>
        </w:rPr>
        <w:t>。</w:t>
      </w:r>
    </w:p>
    <w:p w14:paraId="774F2100">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光线与平面交点公式</w:t>
      </w:r>
    </w:p>
    <w:p w14:paraId="2D280458">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2.1 基础方程</w:t>
      </w:r>
    </w:p>
    <w:p w14:paraId="21EB87C4">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平面方程（一般式）：</w:t>
      </w:r>
      <m:oMath>
        <m:r>
          <m:rPr>
            <m:sty m:val="p"/>
          </m:rPr>
          <w:rPr>
            <w:rFonts w:hint="default" w:ascii="Cambria Math" w:hAnsi="Cambria Math" w:eastAsiaTheme="minorEastAsia" w:cstheme="minorEastAsia"/>
            <w:sz w:val="24"/>
            <w:szCs w:val="24"/>
            <w:lang w:val="en-US" w:eastAsia="zh-CN"/>
          </w:rPr>
          <m:t>Ax+By+Cz+D=0</m:t>
        </m:r>
      </m:oMath>
    </w:p>
    <w:p w14:paraId="2A11BFF2">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直线方程（参数式）：</w:t>
      </w:r>
      <m:oMath>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r</m:t>
            </m:r>
            <m:ctrlPr>
              <w:rPr>
                <w:rFonts w:hint="eastAsia" w:ascii="Cambria Math" w:hAnsi="Cambria Math" w:eastAsiaTheme="minorEastAsia" w:cstheme="minorEastAsia"/>
                <w:sz w:val="24"/>
                <w:szCs w:val="24"/>
                <w:lang w:val="en-US" w:eastAsia="zh-CN"/>
              </w:rPr>
            </m:ctrlPr>
          </m:e>
        </m:acc>
        <m:r>
          <m:rPr>
            <m:sty m:val="p"/>
          </m:rPr>
          <w:rPr>
            <w:rFonts w:hint="default" w:ascii="Cambria Math" w:hAnsi="Cambria Math" w:eastAsiaTheme="minorEastAsia" w:cstheme="minorEastAsia"/>
            <w:sz w:val="24"/>
            <w:szCs w:val="24"/>
            <w:lang w:val="en-US" w:eastAsia="zh-CN"/>
          </w:rPr>
          <m:t>(t)=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P</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+t</m:t>
        </m:r>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acc>
      </m:oMath>
    </w:p>
    <w:p w14:paraId="4C3C20FB">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分量形式：</w:t>
      </w:r>
      <m:oMath>
        <m:r>
          <m:rPr>
            <m:sty m:val="p"/>
          </m:rPr>
          <w:rPr>
            <w:rFonts w:hint="default" w:ascii="Cambria Math" w:hAnsi="Cambria Math" w:eastAsiaTheme="minorEastAsia" w:cstheme="minorEastAsia"/>
            <w:sz w:val="24"/>
            <w:szCs w:val="24"/>
            <w:lang w:val="en-US" w:eastAsia="zh-CN"/>
          </w:rPr>
          <m:t>x=</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,y=</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,z=</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sub>
        </m:sSub>
      </m:oMath>
    </w:p>
    <w:p w14:paraId="60BF754F">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式中：</w:t>
      </w:r>
      <m:oMath>
        <m:r>
          <m:rPr>
            <m:sty m:val="p"/>
          </m:rPr>
          <w:rPr>
            <w:rFonts w:hint="default" w:ascii="Cambria Math" w:hAnsi="Cambria Math" w:eastAsiaTheme="minorEastAsia" w:cstheme="minorEastAsia"/>
            <w:sz w:val="24"/>
            <w:szCs w:val="24"/>
            <w:lang w:val="en-US" w:eastAsia="zh-CN"/>
          </w:rPr>
          <m:t>P0(x0,y0,z0)</m:t>
        </m:r>
      </m:oMath>
      <w:r>
        <w:rPr>
          <w:rFonts w:hint="eastAsia" w:asciiTheme="minorEastAsia" w:hAnsiTheme="minorEastAsia" w:eastAsiaTheme="minorEastAsia" w:cstheme="minorEastAsia"/>
          <w:sz w:val="24"/>
          <w:szCs w:val="24"/>
          <w:lang w:val="en-US" w:eastAsia="zh-CN"/>
        </w:rPr>
        <w:t>为直线上一点，</w:t>
      </w:r>
      <m:oMath>
        <m:r>
          <m:rPr>
            <m:sty m:val="p"/>
          </m:rPr>
          <w:rPr>
            <w:rFonts w:hint="default" w:ascii="Cambria Math" w:hAnsi="Cambria Math" w:eastAsiaTheme="minorEastAsia" w:cstheme="minorEastAsia"/>
            <w:sz w:val="24"/>
            <w:szCs w:val="24"/>
            <w:lang w:val="en-US" w:eastAsia="zh-CN"/>
          </w:rPr>
          <m:t>(</m:t>
        </m:r>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acc>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oMath>
      <w:r>
        <w:rPr>
          <w:rFonts w:hint="eastAsia" w:asciiTheme="minorEastAsia" w:hAnsiTheme="minorEastAsia" w:eastAsiaTheme="minorEastAsia" w:cstheme="minorEastAsia"/>
          <w:sz w:val="24"/>
          <w:szCs w:val="24"/>
          <w:lang w:val="en-US" w:eastAsia="zh-CN"/>
        </w:rPr>
        <w:t>为直线方向向量，t∈R为参数</w:t>
      </w:r>
    </w:p>
    <w:p w14:paraId="12C945BB">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 交点求解</w:t>
      </w:r>
    </w:p>
    <w:p w14:paraId="193C077F">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将直线参数表达式代入平面方程：</w:t>
      </w:r>
    </w:p>
    <w:p w14:paraId="042C73A4">
      <w:pPr>
        <w:ind w:firstLine="420" w:firstLineChars="0"/>
        <w:rPr>
          <w:rFonts w:hint="eastAsia" w:asciiTheme="minorEastAsia" w:hAnsiTheme="minorEastAsia" w:eastAsiaTheme="minorEastAsia" w:cstheme="minorEastAsia"/>
          <w:sz w:val="24"/>
          <w:szCs w:val="24"/>
          <w:lang w:val="en-US" w:eastAsia="zh-CN"/>
        </w:rPr>
      </w:pPr>
      <m:oMathPara>
        <m:oMath>
          <m:r>
            <m:rPr>
              <m:sty m:val="p"/>
            </m:rPr>
            <w:rPr>
              <w:rFonts w:hint="default" w:ascii="Cambria Math" w:hAnsi="Cambria Math" w:eastAsiaTheme="minorEastAsia" w:cstheme="minorEastAsia"/>
              <w:sz w:val="24"/>
              <w:szCs w:val="24"/>
              <w:lang w:val="en-US" w:eastAsia="zh-CN"/>
            </w:rPr>
            <m:t>A(</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)+B(</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)+C(</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)+D=0</m:t>
          </m:r>
        </m:oMath>
      </m:oMathPara>
    </w:p>
    <w:p w14:paraId="5810E117">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整理定义：</w:t>
      </w:r>
    </w:p>
    <w:p w14:paraId="24BE1260">
      <w:pPr>
        <w:ind w:firstLine="420" w:firstLineChars="0"/>
        <w:rPr>
          <w:rFonts w:hint="eastAsia" w:asciiTheme="minorEastAsia" w:hAnsiTheme="minorEastAsia" w:eastAsiaTheme="minorEastAsia" w:cstheme="minorEastAsia"/>
          <w:sz w:val="24"/>
          <w:szCs w:val="24"/>
          <w:lang w:val="en-US" w:eastAsia="zh-CN"/>
        </w:rPr>
      </w:pPr>
      <m:oMath>
        <m:r>
          <m:rPr>
            <m:sty m:val="p"/>
          </m:rPr>
          <w:rPr>
            <w:rFonts w:hint="default" w:ascii="Cambria Math" w:hAnsi="Cambria Math" w:eastAsiaTheme="minorEastAsia" w:cstheme="minorEastAsia"/>
            <w:sz w:val="24"/>
            <w:szCs w:val="24"/>
            <w:lang w:val="en-US" w:eastAsia="zh-CN"/>
          </w:rPr>
          <m:t>(N=A</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+B</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+C</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n</m:t>
            </m:r>
            <m:ctrlPr>
              <w:rPr>
                <w:rFonts w:hint="eastAsia" w:ascii="Cambria Math" w:hAnsi="Cambria Math" w:eastAsiaTheme="minorEastAsia" w:cstheme="minorEastAsia"/>
                <w:sz w:val="24"/>
                <w:szCs w:val="24"/>
                <w:lang w:val="en-US" w:eastAsia="zh-CN"/>
              </w:rPr>
            </m:ctrlPr>
          </m:e>
        </m:acc>
        <m:r>
          <m:rPr>
            <m:sty m:val="p"/>
          </m:rPr>
          <w:rPr>
            <w:rFonts w:hint="default" w:ascii="Cambria Math" w:hAnsi="Cambria Math" w:eastAsiaTheme="minorEastAsia" w:cstheme="minorEastAsia"/>
            <w:sz w:val="24"/>
            <w:szCs w:val="24"/>
            <w:lang w:val="en-US" w:eastAsia="zh-CN"/>
          </w:rPr>
          <m:t>⋅</m:t>
        </m:r>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acc>
        <m:r>
          <m:rPr>
            <m:sty m:val="p"/>
          </m:rPr>
          <w:rPr>
            <w:rFonts w:hint="default" w:ascii="Cambria Math" w:hAnsi="Cambria Math" w:eastAsiaTheme="minorEastAsia" w:cstheme="minorEastAsia"/>
            <w:sz w:val="24"/>
            <w:szCs w:val="24"/>
            <w:lang w:val="en-US" w:eastAsia="zh-CN"/>
          </w:rPr>
          <m:t>)</m:t>
        </m:r>
      </m:oMath>
      <w:r>
        <w:rPr>
          <w:rFonts w:hint="eastAsia" w:asciiTheme="minorEastAsia" w:hAnsiTheme="minorEastAsia" w:eastAsiaTheme="minorEastAsia" w:cstheme="minorEastAsia"/>
          <w:sz w:val="24"/>
          <w:szCs w:val="24"/>
          <w:lang w:val="en-US" w:eastAsia="zh-CN"/>
        </w:rPr>
        <w:t>（法向量与方向向量的点积）</w:t>
      </w:r>
    </w:p>
    <w:p w14:paraId="43EAAB03">
      <w:pPr>
        <w:ind w:firstLine="420" w:firstLineChars="0"/>
        <w:rPr>
          <w:rFonts w:hint="eastAsia" w:asciiTheme="minorEastAsia" w:hAnsiTheme="minorEastAsia" w:eastAsiaTheme="minorEastAsia" w:cstheme="minorEastAsia"/>
          <w:sz w:val="24"/>
          <w:szCs w:val="24"/>
          <w:lang w:val="en-US" w:eastAsia="zh-CN"/>
        </w:rPr>
      </w:pPr>
      <m:oMath>
        <m:r>
          <m:rPr>
            <m:sty m:val="p"/>
          </m:rPr>
          <w:rPr>
            <w:rFonts w:hint="default" w:ascii="Cambria Math" w:hAnsi="Cambria Math" w:eastAsiaTheme="minorEastAsia" w:cstheme="minorEastAsia"/>
            <w:sz w:val="24"/>
            <w:szCs w:val="24"/>
            <w:lang w:val="en-US" w:eastAsia="zh-CN"/>
          </w:rPr>
          <m:t>(M=A</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+B</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+C</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+D)</m:t>
        </m:r>
      </m:oMath>
      <w:r>
        <w:rPr>
          <w:rFonts w:hint="eastAsia" w:asciiTheme="minorEastAsia" w:hAnsiTheme="minorEastAsia" w:eastAsiaTheme="minorEastAsia" w:cstheme="minorEastAsia"/>
          <w:sz w:val="24"/>
          <w:szCs w:val="24"/>
          <w:lang w:val="en-US" w:eastAsia="zh-CN"/>
        </w:rPr>
        <w:t>（点P0代入平面方程的值）</w:t>
      </w:r>
    </w:p>
    <w:p w14:paraId="1A83FFD8">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可得：</w:t>
      </w:r>
      <m:oMath>
        <m:r>
          <m:rPr>
            <m:sty m:val="p"/>
          </m:rPr>
          <w:rPr>
            <w:rFonts w:hint="default" w:ascii="Cambria Math" w:hAnsi="Cambria Math" w:eastAsiaTheme="minorEastAsia" w:cstheme="minorEastAsia"/>
            <w:sz w:val="24"/>
            <w:szCs w:val="24"/>
            <w:lang w:val="en-US" w:eastAsia="zh-CN"/>
          </w:rPr>
          <m:t>M+Nt=0⇒t=−</m:t>
        </m:r>
        <m:f>
          <m:fPr>
            <m:ctrlPr>
              <w:rPr>
                <w:rFonts w:hint="default" w:ascii="Cambria Math" w:hAnsi="Cambria Math" w:eastAsiaTheme="minorEastAsia" w:cstheme="minorEastAsia"/>
                <w:sz w:val="24"/>
                <w:szCs w:val="24"/>
                <w:lang w:val="en-US" w:eastAsia="zh-CN"/>
              </w:rPr>
            </m:ctrlPr>
          </m:fPr>
          <m:num>
            <m:r>
              <m:rPr>
                <m:sty m:val="p"/>
              </m:rPr>
              <w:rPr>
                <w:rFonts w:hint="default" w:ascii="Cambria Math" w:hAnsi="Cambria Math" w:eastAsiaTheme="minorEastAsia" w:cstheme="minorEastAsia"/>
                <w:sz w:val="24"/>
                <w:szCs w:val="24"/>
                <w:lang w:val="en-US" w:eastAsia="zh-CN"/>
              </w:rPr>
              <m:t>M</m:t>
            </m:r>
            <m:ctrlPr>
              <w:rPr>
                <w:rFonts w:hint="eastAsia" w:ascii="Cambria Math" w:hAnsi="Cambria Math" w:eastAsiaTheme="minorEastAsia" w:cstheme="minorEastAsia"/>
                <w:sz w:val="24"/>
                <w:szCs w:val="24"/>
                <w:lang w:val="en-US" w:eastAsia="zh-CN"/>
              </w:rPr>
            </m:ctrlPr>
          </m:num>
          <m:den>
            <m:r>
              <m:rPr>
                <m:sty m:val="p"/>
              </m:rPr>
              <w:rPr>
                <w:rFonts w:hint="default" w:ascii="Cambria Math" w:hAnsi="Cambria Math" w:eastAsiaTheme="minorEastAsia" w:cstheme="minorEastAsia"/>
                <w:sz w:val="24"/>
                <w:szCs w:val="24"/>
                <w:lang w:val="en-US" w:eastAsia="zh-CN"/>
              </w:rPr>
              <m:t>N</m:t>
            </m:r>
            <m:ctrlPr>
              <w:rPr>
                <w:rFonts w:hint="eastAsia" w:ascii="Cambria Math" w:hAnsi="Cambria Math" w:eastAsiaTheme="minorEastAsia" w:cstheme="minorEastAsia"/>
                <w:sz w:val="24"/>
                <w:szCs w:val="24"/>
                <w:lang w:val="en-US" w:eastAsia="zh-CN"/>
              </w:rPr>
            </m:ctrlPr>
          </m:den>
        </m:f>
        <m:r>
          <m:rPr>
            <m:sty m:val="p"/>
          </m:rPr>
          <w:rPr>
            <w:rFonts w:hint="default" w:ascii="Cambria Math" w:hAnsi="Cambria Math" w:eastAsiaTheme="minorEastAsia" w:cstheme="minorEastAsia"/>
            <w:sz w:val="24"/>
            <w:szCs w:val="24"/>
            <w:lang w:val="en-US" w:eastAsia="zh-CN"/>
          </w:rPr>
          <m:t> (N≠0)</m:t>
        </m:r>
      </m:oMath>
    </w:p>
    <w:p w14:paraId="704BC75C">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 交点存在性分析</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7"/>
        <w:gridCol w:w="3046"/>
      </w:tblGrid>
      <w:tr w14:paraId="03D4C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7" w:type="dxa"/>
          </w:tcPr>
          <w:p w14:paraId="15B8B3A6">
            <w:pPr>
              <w:widowControl w:val="0"/>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条件</w:t>
            </w:r>
          </w:p>
        </w:tc>
        <w:tc>
          <w:tcPr>
            <w:tcW w:w="3046" w:type="dxa"/>
          </w:tcPr>
          <w:p w14:paraId="40797F0C">
            <w:pPr>
              <w:widowControl w:val="0"/>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说明</w:t>
            </w:r>
          </w:p>
        </w:tc>
      </w:tr>
      <w:tr w14:paraId="16C3B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7" w:type="dxa"/>
          </w:tcPr>
          <w:p w14:paraId="7B5CBB50">
            <w:pPr>
              <w:widowControl w:val="0"/>
              <w:ind w:firstLine="420" w:firstLineChars="0"/>
              <w:rPr>
                <w:rFonts w:hint="eastAsia" w:asciiTheme="minorEastAsia" w:hAnsiTheme="minorEastAsia" w:eastAsiaTheme="minorEastAsia" w:cstheme="minorEastAsia"/>
                <w:sz w:val="24"/>
                <w:szCs w:val="24"/>
                <w:lang w:val="en-US" w:eastAsia="zh-CN"/>
              </w:rPr>
            </w:pPr>
            <m:oMath>
              <m:r>
                <m:rPr>
                  <m:sty m:val="p"/>
                </m:rPr>
                <w:rPr>
                  <w:rFonts w:hint="default" w:ascii="Cambria Math" w:hAnsi="Cambria Math" w:eastAsiaTheme="minorEastAsia" w:cstheme="minorEastAsia"/>
                  <w:sz w:val="24"/>
                  <w:szCs w:val="24"/>
                  <w:lang w:val="en-US" w:eastAsia="zh-CN"/>
                </w:rPr>
                <m:t>(N=</m:t>
              </m:r>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n</m:t>
                  </m:r>
                  <m:ctrlPr>
                    <w:rPr>
                      <w:rFonts w:hint="eastAsia" w:ascii="Cambria Math" w:hAnsi="Cambria Math" w:eastAsiaTheme="minorEastAsia" w:cstheme="minorEastAsia"/>
                      <w:sz w:val="24"/>
                      <w:szCs w:val="24"/>
                      <w:lang w:val="en-US" w:eastAsia="zh-CN"/>
                    </w:rPr>
                  </m:ctrlPr>
                </m:e>
              </m:acc>
              <m:r>
                <m:rPr>
                  <m:sty m:val="p"/>
                </m:rPr>
                <w:rPr>
                  <w:rFonts w:hint="default" w:ascii="Cambria Math" w:hAnsi="Cambria Math" w:eastAsiaTheme="minorEastAsia" w:cstheme="minorEastAsia"/>
                  <w:sz w:val="24"/>
                  <w:szCs w:val="24"/>
                  <w:lang w:val="en-US" w:eastAsia="zh-CN"/>
                </w:rPr>
                <m:t>⋅</m:t>
              </m:r>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acc>
              <m:r>
                <m:rPr>
                  <m:sty m:val="p"/>
                </m:rPr>
                <w:rPr>
                  <w:rFonts w:hint="default" w:ascii="Cambria Math" w:hAnsi="Cambria Math" w:eastAsiaTheme="minorEastAsia" w:cstheme="minorEastAsia"/>
                  <w:sz w:val="24"/>
                  <w:szCs w:val="24"/>
                  <w:lang w:val="en-US" w:eastAsia="zh-CN"/>
                </w:rPr>
                <m:t>≠0</m:t>
              </m:r>
            </m:oMath>
            <w:r>
              <w:rPr>
                <w:rFonts w:hint="eastAsia" w:asciiTheme="minorEastAsia" w:hAnsiTheme="minorEastAsia" w:eastAsiaTheme="minorEastAsia" w:cstheme="minorEastAsia"/>
                <w:sz w:val="24"/>
                <w:szCs w:val="24"/>
                <w:lang w:val="en-US" w:eastAsia="zh-CN"/>
              </w:rPr>
              <w:t>）</w:t>
            </w:r>
          </w:p>
        </w:tc>
        <w:tc>
          <w:tcPr>
            <w:tcW w:w="3046" w:type="dxa"/>
          </w:tcPr>
          <w:p w14:paraId="40250B54">
            <w:pPr>
              <w:widowControl w:val="0"/>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有唯一交点（直线不平行于平面）</w:t>
            </w:r>
          </w:p>
        </w:tc>
      </w:tr>
      <w:tr w14:paraId="6AB4D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7" w:type="dxa"/>
          </w:tcPr>
          <w:p w14:paraId="6B230241">
            <w:pPr>
              <w:widowControl w:val="0"/>
              <w:ind w:firstLine="420" w:firstLineChars="0"/>
              <w:rPr>
                <w:rFonts w:hint="eastAsia" w:asciiTheme="minorEastAsia" w:hAnsiTheme="minorEastAsia" w:eastAsiaTheme="minorEastAsia" w:cstheme="minorEastAsia"/>
                <w:sz w:val="24"/>
                <w:szCs w:val="24"/>
                <w:lang w:val="en-US" w:eastAsia="zh-CN"/>
              </w:rPr>
            </w:pPr>
            <m:oMath>
              <m:r>
                <m:rPr>
                  <m:sty m:val="p"/>
                </m:rPr>
                <w:rPr>
                  <w:rFonts w:hint="default" w:ascii="Cambria Math" w:hAnsi="Cambria Math" w:eastAsiaTheme="minorEastAsia" w:cstheme="minorEastAsia"/>
                  <w:sz w:val="24"/>
                  <w:szCs w:val="24"/>
                  <w:lang w:val="en-US" w:eastAsia="zh-CN"/>
                </w:rPr>
                <m:t>(N=0)且(M≠0</m:t>
              </m:r>
            </m:oMath>
            <w:r>
              <w:rPr>
                <w:rFonts w:hint="eastAsia" w:asciiTheme="minorEastAsia" w:hAnsiTheme="minorEastAsia" w:eastAsiaTheme="minorEastAsia" w:cstheme="minorEastAsia"/>
                <w:sz w:val="24"/>
                <w:szCs w:val="24"/>
                <w:lang w:val="en-US" w:eastAsia="zh-CN"/>
              </w:rPr>
              <w:t>）</w:t>
            </w:r>
          </w:p>
        </w:tc>
        <w:tc>
          <w:tcPr>
            <w:tcW w:w="3046" w:type="dxa"/>
          </w:tcPr>
          <w:p w14:paraId="7CAD345D">
            <w:pPr>
              <w:widowControl w:val="0"/>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有唯一交点（直线不平行于平面）</w:t>
            </w:r>
          </w:p>
        </w:tc>
      </w:tr>
      <w:tr w14:paraId="7DBFD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7" w:type="dxa"/>
          </w:tcPr>
          <w:p w14:paraId="40B2FE0C">
            <w:pPr>
              <w:widowControl w:val="0"/>
              <w:ind w:firstLine="420" w:firstLineChars="0"/>
              <w:rPr>
                <w:rFonts w:hint="eastAsia" w:asciiTheme="minorEastAsia" w:hAnsiTheme="minorEastAsia" w:eastAsiaTheme="minorEastAsia" w:cstheme="minorEastAsia"/>
                <w:sz w:val="24"/>
                <w:szCs w:val="24"/>
                <w:lang w:val="en-US" w:eastAsia="zh-CN"/>
              </w:rPr>
            </w:pPr>
            <m:oMath>
              <m:r>
                <m:rPr>
                  <m:sty m:val="p"/>
                </m:rPr>
                <w:rPr>
                  <w:rFonts w:hint="default" w:ascii="Cambria Math" w:hAnsi="Cambria Math" w:eastAsiaTheme="minorEastAsia" w:cstheme="minorEastAsia"/>
                  <w:sz w:val="24"/>
                  <w:szCs w:val="24"/>
                  <w:lang w:val="en-US" w:eastAsia="zh-CN"/>
                </w:rPr>
                <m:t>(N=0)且(M=0</m:t>
              </m:r>
            </m:oMath>
            <w:r>
              <w:rPr>
                <w:rFonts w:hint="eastAsia" w:asciiTheme="minorEastAsia" w:hAnsiTheme="minorEastAsia" w:eastAsiaTheme="minorEastAsia" w:cstheme="minorEastAsia"/>
                <w:sz w:val="24"/>
                <w:szCs w:val="24"/>
                <w:lang w:val="en-US" w:eastAsia="zh-CN"/>
              </w:rPr>
              <w:t>）</w:t>
            </w:r>
          </w:p>
        </w:tc>
        <w:tc>
          <w:tcPr>
            <w:tcW w:w="3046" w:type="dxa"/>
          </w:tcPr>
          <w:p w14:paraId="6E0D3CAA">
            <w:pPr>
              <w:widowControl w:val="0"/>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无穷多交点（直线在平面上）</w:t>
            </w:r>
          </w:p>
        </w:tc>
      </w:tr>
    </w:tbl>
    <w:p w14:paraId="40253A10">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2.4 交点坐标公式（N不等于0时）</w:t>
      </w:r>
    </w:p>
    <w:p w14:paraId="5672101B">
      <w:pPr>
        <w:ind w:firstLine="420" w:firstLineChars="0"/>
        <w:rPr>
          <w:rFonts w:hint="eastAsia" w:asciiTheme="minorEastAsia" w:hAnsiTheme="minorEastAsia" w:eastAsiaTheme="minorEastAsia" w:cstheme="minorEastAsia"/>
          <w:sz w:val="24"/>
          <w:szCs w:val="24"/>
          <w:lang w:val="en-US" w:eastAsia="zh-CN"/>
        </w:rPr>
      </w:pPr>
      <m:oMathPara>
        <m:oMath>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P</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交</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d>
            <m:dPr>
              <m:ctrlPr>
                <w:rPr>
                  <w:rFonts w:hint="default" w:ascii="Cambria Math" w:hAnsi="Cambria Math" w:eastAsiaTheme="minorEastAsia" w:cstheme="minorEastAsia"/>
                  <w:sz w:val="24"/>
                  <w:szCs w:val="24"/>
                  <w:lang w:val="en-US" w:eastAsia="zh-CN"/>
                </w:rPr>
              </m:ctrlPr>
            </m:dPr>
            <m:e>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f>
                <m:fPr>
                  <m:ctrlPr>
                    <w:rPr>
                      <w:rFonts w:hint="default" w:ascii="Cambria Math" w:hAnsi="Cambria Math" w:eastAsiaTheme="minorEastAsia" w:cstheme="minorEastAsia"/>
                      <w:sz w:val="24"/>
                      <w:szCs w:val="24"/>
                      <w:lang w:val="en-US" w:eastAsia="zh-CN"/>
                    </w:rPr>
                  </m:ctrlPr>
                </m:fPr>
                <m:num>
                  <m:r>
                    <m:rPr>
                      <m:sty m:val="p"/>
                    </m:rPr>
                    <w:rPr>
                      <w:rFonts w:hint="default" w:ascii="Cambria Math" w:hAnsi="Cambria Math" w:eastAsiaTheme="minorEastAsia" w:cstheme="minorEastAsia"/>
                      <w:sz w:val="24"/>
                      <w:szCs w:val="24"/>
                      <w:lang w:val="en-US" w:eastAsia="zh-CN"/>
                    </w:rPr>
                    <m:t>M</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sub>
                  </m:sSub>
                  <m:ctrlPr>
                    <w:rPr>
                      <w:rFonts w:hint="default" w:ascii="Cambria Math" w:hAnsi="Cambria Math" w:eastAsiaTheme="minorEastAsia" w:cstheme="minorEastAsia"/>
                      <w:sz w:val="24"/>
                      <w:szCs w:val="24"/>
                      <w:lang w:val="en-US" w:eastAsia="zh-CN"/>
                    </w:rPr>
                  </m:ctrlPr>
                </m:num>
                <m:den>
                  <m:r>
                    <m:rPr>
                      <m:sty m:val="p"/>
                    </m:rPr>
                    <w:rPr>
                      <w:rFonts w:hint="default" w:ascii="Cambria Math" w:hAnsi="Cambria Math" w:eastAsiaTheme="minorEastAsia" w:cstheme="minorEastAsia"/>
                      <w:sz w:val="24"/>
                      <w:szCs w:val="24"/>
                      <w:lang w:val="en-US" w:eastAsia="zh-CN"/>
                    </w:rPr>
                    <m:t>N</m:t>
                  </m:r>
                  <m:ctrlPr>
                    <w:rPr>
                      <w:rFonts w:hint="default" w:ascii="Cambria Math" w:hAnsi="Cambria Math" w:eastAsiaTheme="minorEastAsia" w:cstheme="minorEastAsia"/>
                      <w:sz w:val="24"/>
                      <w:szCs w:val="24"/>
                      <w:lang w:val="en-US" w:eastAsia="zh-CN"/>
                    </w:rPr>
                  </m:ctrlPr>
                </m:den>
              </m:f>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y</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default"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f>
                <m:fPr>
                  <m:ctrlPr>
                    <w:rPr>
                      <w:rFonts w:hint="default" w:ascii="Cambria Math" w:hAnsi="Cambria Math" w:eastAsiaTheme="minorEastAsia" w:cstheme="minorEastAsia"/>
                      <w:sz w:val="24"/>
                      <w:szCs w:val="24"/>
                      <w:lang w:val="en-US" w:eastAsia="zh-CN"/>
                    </w:rPr>
                  </m:ctrlPr>
                </m:fPr>
                <m:num>
                  <m:r>
                    <m:rPr>
                      <m:sty m:val="p"/>
                    </m:rPr>
                    <w:rPr>
                      <w:rFonts w:hint="default" w:ascii="Cambria Math" w:hAnsi="Cambria Math" w:eastAsiaTheme="minorEastAsia" w:cstheme="minorEastAsia"/>
                      <w:sz w:val="24"/>
                      <w:szCs w:val="24"/>
                      <w:lang w:val="en-US" w:eastAsia="zh-CN"/>
                    </w:rPr>
                    <m:t>M</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sub>
                  </m:sSub>
                  <m:ctrlPr>
                    <w:rPr>
                      <w:rFonts w:hint="default" w:ascii="Cambria Math" w:hAnsi="Cambria Math" w:eastAsiaTheme="minorEastAsia" w:cstheme="minorEastAsia"/>
                      <w:sz w:val="24"/>
                      <w:szCs w:val="24"/>
                      <w:lang w:val="en-US" w:eastAsia="zh-CN"/>
                    </w:rPr>
                  </m:ctrlPr>
                </m:num>
                <m:den>
                  <m:r>
                    <m:rPr>
                      <m:sty m:val="p"/>
                    </m:rPr>
                    <w:rPr>
                      <w:rFonts w:hint="default" w:ascii="Cambria Math" w:hAnsi="Cambria Math" w:eastAsiaTheme="minorEastAsia" w:cstheme="minorEastAsia"/>
                      <w:sz w:val="24"/>
                      <w:szCs w:val="24"/>
                      <w:lang w:val="en-US" w:eastAsia="zh-CN"/>
                    </w:rPr>
                    <m:t>N</m:t>
                  </m:r>
                  <m:ctrlPr>
                    <w:rPr>
                      <w:rFonts w:hint="default" w:ascii="Cambria Math" w:hAnsi="Cambria Math" w:eastAsiaTheme="minorEastAsia" w:cstheme="minorEastAsia"/>
                      <w:sz w:val="24"/>
                      <w:szCs w:val="24"/>
                      <w:lang w:val="en-US" w:eastAsia="zh-CN"/>
                    </w:rPr>
                  </m:ctrlPr>
                </m:den>
              </m:f>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z</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default"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f>
                <m:fPr>
                  <m:ctrlPr>
                    <w:rPr>
                      <w:rFonts w:hint="default" w:ascii="Cambria Math" w:hAnsi="Cambria Math" w:eastAsiaTheme="minorEastAsia" w:cstheme="minorEastAsia"/>
                      <w:sz w:val="24"/>
                      <w:szCs w:val="24"/>
                      <w:lang w:val="en-US" w:eastAsia="zh-CN"/>
                    </w:rPr>
                  </m:ctrlPr>
                </m:fPr>
                <m:num>
                  <m:r>
                    <m:rPr>
                      <m:sty m:val="p"/>
                    </m:rPr>
                    <w:rPr>
                      <w:rFonts w:hint="default" w:ascii="Cambria Math" w:hAnsi="Cambria Math" w:eastAsiaTheme="minorEastAsia" w:cstheme="minorEastAsia"/>
                      <w:sz w:val="24"/>
                      <w:szCs w:val="24"/>
                      <w:lang w:val="en-US" w:eastAsia="zh-CN"/>
                    </w:rPr>
                    <m:t>M</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sub>
                  </m:sSub>
                  <m:ctrlPr>
                    <w:rPr>
                      <w:rFonts w:hint="default" w:ascii="Cambria Math" w:hAnsi="Cambria Math" w:eastAsiaTheme="minorEastAsia" w:cstheme="minorEastAsia"/>
                      <w:sz w:val="24"/>
                      <w:szCs w:val="24"/>
                      <w:lang w:val="en-US" w:eastAsia="zh-CN"/>
                    </w:rPr>
                  </m:ctrlPr>
                </m:num>
                <m:den>
                  <m:r>
                    <m:rPr>
                      <m:sty m:val="p"/>
                    </m:rPr>
                    <w:rPr>
                      <w:rFonts w:hint="default" w:ascii="Cambria Math" w:hAnsi="Cambria Math" w:eastAsiaTheme="minorEastAsia" w:cstheme="minorEastAsia"/>
                      <w:sz w:val="24"/>
                      <w:szCs w:val="24"/>
                      <w:lang w:val="en-US" w:eastAsia="zh-CN"/>
                    </w:rPr>
                    <m:t>N</m:t>
                  </m:r>
                  <m:ctrlPr>
                    <w:rPr>
                      <w:rFonts w:hint="default" w:ascii="Cambria Math" w:hAnsi="Cambria Math" w:eastAsiaTheme="minorEastAsia" w:cstheme="minorEastAsia"/>
                      <w:sz w:val="24"/>
                      <w:szCs w:val="24"/>
                      <w:lang w:val="en-US" w:eastAsia="zh-CN"/>
                    </w:rPr>
                  </m:ctrlPr>
                </m:den>
              </m:f>
              <m:ctrlPr>
                <w:rPr>
                  <w:rFonts w:hint="default" w:ascii="Cambria Math" w:hAnsi="Cambria Math" w:eastAsiaTheme="minorEastAsia" w:cstheme="minorEastAsia"/>
                  <w:sz w:val="24"/>
                  <w:szCs w:val="24"/>
                  <w:lang w:val="en-US" w:eastAsia="zh-CN"/>
                </w:rPr>
              </m:ctrlPr>
            </m:e>
          </m:d>
        </m:oMath>
      </m:oMathPara>
    </w:p>
    <w:p w14:paraId="022E7F00">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 多边形面积计算（点集构成图形）</w:t>
      </w:r>
    </w:p>
    <w:p w14:paraId="35EA2878">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3.1 中心坐标计算</w:t>
      </w:r>
    </w:p>
    <w:p w14:paraId="751AE495">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设多边形顶点为</w:t>
      </w:r>
      <m:oMath>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P</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i</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i</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i</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))（(i=1,2,...,n)）</m:t>
        </m:r>
      </m:oMath>
      <w:r>
        <w:rPr>
          <w:rFonts w:hint="eastAsia" w:asciiTheme="minorEastAsia" w:hAnsiTheme="minorEastAsia" w:eastAsiaTheme="minorEastAsia" w:cstheme="minorEastAsia"/>
          <w:sz w:val="24"/>
          <w:szCs w:val="24"/>
          <w:lang w:val="en-US" w:eastAsia="zh-CN"/>
        </w:rPr>
        <w:t>，取中心顶点</w:t>
      </w:r>
      <m:oMath>
        <m:r>
          <m:rPr>
            <m:sty m:val="p"/>
          </m:rPr>
          <w:rPr>
            <w:rFonts w:hint="default" w:ascii="Cambria Math" w:hAnsi="Cambria Math" w:eastAsiaTheme="minorEastAsia" w:cstheme="minorEastAsia"/>
            <w:sz w:val="24"/>
            <w:szCs w:val="24"/>
            <w:lang w:val="en-US" w:eastAsia="zh-CN"/>
          </w:rPr>
          <m:t>Pc(xc,yc)</m:t>
        </m:r>
      </m:oMath>
      <w:r>
        <w:rPr>
          <w:rFonts w:hint="eastAsia" w:asciiTheme="minorEastAsia" w:hAnsiTheme="minorEastAsia" w:eastAsiaTheme="minorEastAsia" w:cstheme="minorEastAsia"/>
          <w:sz w:val="24"/>
          <w:szCs w:val="24"/>
          <w:lang w:val="en-US" w:eastAsia="zh-CN"/>
        </w:rPr>
        <w:t>：</w:t>
      </w:r>
    </w:p>
    <w:p w14:paraId="2A2DA955">
      <w:pPr>
        <w:ind w:firstLine="420" w:firstLineChars="0"/>
        <w:rPr>
          <w:rFonts w:hint="eastAsia" w:asciiTheme="minorEastAsia" w:hAnsiTheme="minorEastAsia" w:eastAsiaTheme="minorEastAsia" w:cstheme="minorEastAsia"/>
          <w:sz w:val="24"/>
          <w:szCs w:val="24"/>
          <w:lang w:val="en-US" w:eastAsia="zh-CN"/>
        </w:rPr>
      </w:pPr>
      <m:oMathPara>
        <m:oMath>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c</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f>
            <m:fPr>
              <m:ctrlPr>
                <w:rPr>
                  <w:rFonts w:hint="default" w:ascii="Cambria Math" w:hAnsi="Cambria Math" w:eastAsiaTheme="minorEastAsia" w:cstheme="minorEastAsia"/>
                  <w:sz w:val="24"/>
                  <w:szCs w:val="24"/>
                  <w:lang w:val="en-US" w:eastAsia="zh-CN"/>
                </w:rPr>
              </m:ctrlPr>
            </m:fPr>
            <m:num>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1</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2</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n</m:t>
                  </m:r>
                  <m:ctrlPr>
                    <w:rPr>
                      <w:rFonts w:hint="eastAsia" w:ascii="Cambria Math" w:hAnsi="Cambria Math" w:eastAsiaTheme="minorEastAsia" w:cstheme="minorEastAsia"/>
                      <w:sz w:val="24"/>
                      <w:szCs w:val="24"/>
                      <w:lang w:val="en-US" w:eastAsia="zh-CN"/>
                    </w:rPr>
                  </m:ctrlPr>
                </m:sub>
              </m:sSub>
              <m:ctrlPr>
                <w:rPr>
                  <w:rFonts w:hint="default" w:ascii="Cambria Math" w:hAnsi="Cambria Math" w:eastAsiaTheme="minorEastAsia" w:cstheme="minorEastAsia"/>
                  <w:sz w:val="24"/>
                  <w:szCs w:val="24"/>
                  <w:lang w:val="en-US" w:eastAsia="zh-CN"/>
                </w:rPr>
              </m:ctrlPr>
            </m:num>
            <m:den>
              <m:r>
                <m:rPr>
                  <m:sty m:val="p"/>
                </m:rPr>
                <w:rPr>
                  <w:rFonts w:hint="default" w:ascii="Cambria Math" w:hAnsi="Cambria Math" w:eastAsiaTheme="minorEastAsia" w:cstheme="minorEastAsia"/>
                  <w:sz w:val="24"/>
                  <w:szCs w:val="24"/>
                  <w:lang w:val="en-US" w:eastAsia="zh-CN"/>
                </w:rPr>
                <m:t>n</m:t>
              </m:r>
              <m:ctrlPr>
                <w:rPr>
                  <w:rFonts w:hint="default" w:ascii="Cambria Math" w:hAnsi="Cambria Math" w:eastAsiaTheme="minorEastAsia" w:cstheme="minorEastAsia"/>
                  <w:sz w:val="24"/>
                  <w:szCs w:val="24"/>
                  <w:lang w:val="en-US" w:eastAsia="zh-CN"/>
                </w:rPr>
              </m:ctrlPr>
            </m:den>
          </m:f>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y</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c</m:t>
              </m:r>
              <m:ctrlPr>
                <w:rPr>
                  <w:rFonts w:hint="default"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f>
            <m:fPr>
              <m:ctrlPr>
                <w:rPr>
                  <w:rFonts w:hint="default" w:ascii="Cambria Math" w:hAnsi="Cambria Math" w:eastAsiaTheme="minorEastAsia" w:cstheme="minorEastAsia"/>
                  <w:sz w:val="24"/>
                  <w:szCs w:val="24"/>
                  <w:lang w:val="en-US" w:eastAsia="zh-CN"/>
                </w:rPr>
              </m:ctrlPr>
            </m:fPr>
            <m:num>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1</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2</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n</m:t>
                  </m:r>
                  <m:ctrlPr>
                    <w:rPr>
                      <w:rFonts w:hint="eastAsia" w:ascii="Cambria Math" w:hAnsi="Cambria Math" w:eastAsiaTheme="minorEastAsia" w:cstheme="minorEastAsia"/>
                      <w:sz w:val="24"/>
                      <w:szCs w:val="24"/>
                      <w:lang w:val="en-US" w:eastAsia="zh-CN"/>
                    </w:rPr>
                  </m:ctrlPr>
                </m:sub>
              </m:sSub>
              <m:ctrlPr>
                <w:rPr>
                  <w:rFonts w:hint="default" w:ascii="Cambria Math" w:hAnsi="Cambria Math" w:eastAsiaTheme="minorEastAsia" w:cstheme="minorEastAsia"/>
                  <w:sz w:val="24"/>
                  <w:szCs w:val="24"/>
                  <w:lang w:val="en-US" w:eastAsia="zh-CN"/>
                </w:rPr>
              </m:ctrlPr>
            </m:num>
            <m:den>
              <m:r>
                <m:rPr>
                  <m:sty m:val="p"/>
                </m:rPr>
                <w:rPr>
                  <w:rFonts w:hint="default" w:ascii="Cambria Math" w:hAnsi="Cambria Math" w:eastAsiaTheme="minorEastAsia" w:cstheme="minorEastAsia"/>
                  <w:sz w:val="24"/>
                  <w:szCs w:val="24"/>
                  <w:lang w:val="en-US" w:eastAsia="zh-CN"/>
                </w:rPr>
                <m:t>n</m:t>
              </m:r>
              <m:ctrlPr>
                <w:rPr>
                  <w:rFonts w:hint="default" w:ascii="Cambria Math" w:hAnsi="Cambria Math" w:eastAsiaTheme="minorEastAsia" w:cstheme="minorEastAsia"/>
                  <w:sz w:val="24"/>
                  <w:szCs w:val="24"/>
                  <w:lang w:val="en-US" w:eastAsia="zh-CN"/>
                </w:rPr>
              </m:ctrlPr>
            </m:den>
          </m:f>
        </m:oMath>
      </m:oMathPara>
    </w:p>
    <w:p w14:paraId="58C3DB7F">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3.2 极角计算与排序</w:t>
      </w:r>
    </w:p>
    <w:p w14:paraId="1FD6AF32">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每个顶点相对于中心的极角</w:t>
      </w:r>
      <m:oMath>
        <m:r>
          <m:rPr>
            <m:sty m:val="p"/>
          </m:rPr>
          <w:rPr>
            <w:rFonts w:hint="default" w:ascii="Cambria Math" w:hAnsi="Cambria Math" w:eastAsiaTheme="minorEastAsia" w:cstheme="minorEastAsia"/>
            <w:sz w:val="24"/>
            <w:szCs w:val="24"/>
            <w:lang w:val="en-US" w:eastAsia="zh-CN"/>
          </w:rPr>
          <m:t>θi</m:t>
        </m:r>
      </m:oMath>
      <w:r>
        <w:rPr>
          <w:rFonts w:hint="eastAsia" w:asciiTheme="minorEastAsia" w:hAnsiTheme="minorEastAsia" w:eastAsiaTheme="minorEastAsia" w:cstheme="minorEastAsia"/>
          <w:sz w:val="24"/>
          <w:szCs w:val="24"/>
          <w:lang w:val="en-US" w:eastAsia="zh-CN"/>
        </w:rPr>
        <w:t>：</w:t>
      </w:r>
    </w:p>
    <w:p w14:paraId="0C6E1DDF">
      <w:pPr>
        <w:ind w:firstLine="420" w:firstLineChars="0"/>
        <w:rPr>
          <w:rFonts w:hint="eastAsia" w:asciiTheme="minorEastAsia" w:hAnsiTheme="minorEastAsia" w:eastAsiaTheme="minorEastAsia" w:cstheme="minorEastAsia"/>
          <w:sz w:val="24"/>
          <w:szCs w:val="24"/>
          <w:lang w:val="en-US" w:eastAsia="zh-CN"/>
        </w:rPr>
      </w:pPr>
      <m:oMathPara>
        <m:oMath>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θ</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i</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func>
            <m:funcPr>
              <m:ctrlPr>
                <w:rPr>
                  <w:rFonts w:hint="default" w:ascii="Cambria Math" w:hAnsi="Cambria Math" w:eastAsiaTheme="minorEastAsia" w:cstheme="minorEastAsia"/>
                  <w:sz w:val="24"/>
                  <w:szCs w:val="24"/>
                  <w:lang w:val="en-US" w:eastAsia="zh-CN"/>
                </w:rPr>
              </m:ctrlPr>
            </m:funcPr>
            <m:fName>
              <m:r>
                <m:rPr>
                  <m:sty m:val="p"/>
                </m:rPr>
                <w:rPr>
                  <w:rFonts w:hint="default" w:ascii="Cambria Math" w:hAnsi="Cambria Math" w:eastAsiaTheme="minorEastAsia" w:cstheme="minorEastAsia"/>
                  <w:sz w:val="24"/>
                  <w:szCs w:val="24"/>
                  <w:lang w:val="en-US" w:eastAsia="zh-CN"/>
                </w:rPr>
                <m:t>arctan</m:t>
              </m:r>
              <m:ctrlPr>
                <w:rPr>
                  <w:rFonts w:hint="eastAsia" w:ascii="Cambria Math" w:hAnsi="Cambria Math" w:eastAsiaTheme="minorEastAsia" w:cstheme="minorEastAsia"/>
                  <w:sz w:val="24"/>
                  <w:szCs w:val="24"/>
                  <w:lang w:val="en-US" w:eastAsia="zh-CN"/>
                </w:rPr>
              </m:ctrlPr>
            </m:fName>
            <m:e>
              <m:r>
                <m:rPr>
                  <m:sty m:val="p"/>
                </m:rPr>
                <w:rPr>
                  <w:rFonts w:hint="default" w:ascii="Cambria Math" w:hAnsi="Cambria Math" w:eastAsiaTheme="minorEastAsia" w:cstheme="minorEastAsia"/>
                  <w:sz w:val="24"/>
                  <w:szCs w:val="24"/>
                  <w:lang w:val="en-US" w:eastAsia="zh-CN"/>
                </w:rPr>
                <m:t>2</m:t>
              </m:r>
              <m:ctrlPr>
                <w:rPr>
                  <w:rFonts w:hint="eastAsia" w:ascii="Cambria Math" w:hAnsi="Cambria Math" w:eastAsiaTheme="minorEastAsia" w:cstheme="minorEastAsia"/>
                  <w:sz w:val="24"/>
                  <w:szCs w:val="24"/>
                  <w:lang w:val="en-US" w:eastAsia="zh-CN"/>
                </w:rPr>
              </m:ctrlPr>
            </m:e>
          </m:func>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i</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c</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i</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c</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oMath>
      </m:oMathPara>
    </w:p>
    <w:p w14:paraId="5F38B44F">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按极角</w:t>
      </w:r>
      <m:oMath>
        <m:r>
          <m:rPr>
            <m:sty m:val="p"/>
          </m:rPr>
          <w:rPr>
            <w:rFonts w:hint="default" w:ascii="Cambria Math" w:hAnsi="Cambria Math" w:eastAsiaTheme="minorEastAsia" w:cstheme="minorEastAsia"/>
            <w:sz w:val="24"/>
            <w:szCs w:val="24"/>
            <w:lang w:val="en-US" w:eastAsia="zh-CN"/>
          </w:rPr>
          <m:t>θi</m:t>
        </m:r>
      </m:oMath>
      <w:r>
        <w:rPr>
          <w:rFonts w:hint="eastAsia" w:asciiTheme="minorEastAsia" w:hAnsiTheme="minorEastAsia" w:eastAsiaTheme="minorEastAsia" w:cstheme="minorEastAsia"/>
          <w:sz w:val="24"/>
          <w:szCs w:val="24"/>
          <w:lang w:val="en-US" w:eastAsia="zh-CN"/>
        </w:rPr>
        <w:t>从小到大排序，得到有序顶点序列</w:t>
      </w:r>
      <m:oMath>
        <m:r>
          <m:rPr>
            <m:nor/>
            <m:sty m:val="p"/>
          </m:rPr>
          <w:rPr>
            <w:rFonts w:hint="default" w:ascii="Cambria Math" w:hAnsi="Cambria Math" w:eastAsiaTheme="minorEastAsia" w:cstheme="minorEastAsia"/>
            <w:b w:val="0"/>
            <w:i w:val="0"/>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nor/>
                <m:sty m:val="p"/>
              </m:rPr>
              <w:rPr>
                <w:rFonts w:hint="default" w:ascii="Cambria Math" w:hAnsi="Cambria Math" w:eastAsiaTheme="minorEastAsia" w:cstheme="minorEastAsia"/>
                <w:b w:val="0"/>
                <w:i w:val="0"/>
                <w:sz w:val="24"/>
                <w:szCs w:val="24"/>
                <w:lang w:val="en-US" w:eastAsia="zh-CN"/>
              </w:rPr>
              <m:t>P</m:t>
            </m:r>
            <m:ctrlPr>
              <w:rPr>
                <w:rFonts w:hint="default" w:ascii="Cambria Math" w:hAnsi="Cambria Math" w:eastAsiaTheme="minorEastAsia" w:cstheme="minorEastAsia"/>
                <w:sz w:val="24"/>
                <w:szCs w:val="24"/>
                <w:lang w:val="en-US" w:eastAsia="zh-CN"/>
              </w:rPr>
            </m:ctrlPr>
          </m:e>
          <m:sub>
            <m:r>
              <m:rPr>
                <m:nor/>
                <m:sty m:val="p"/>
              </m:rPr>
              <w:rPr>
                <w:rFonts w:hint="default" w:ascii="Cambria Math" w:hAnsi="Cambria Math" w:eastAsiaTheme="minorEastAsia" w:cstheme="minorEastAsia"/>
                <w:b w:val="0"/>
                <w:i w:val="0"/>
                <w:sz w:val="24"/>
                <w:szCs w:val="24"/>
                <w:lang w:val="en-US" w:eastAsia="zh-CN"/>
              </w:rPr>
              <m:t>i1</m:t>
            </m:r>
            <m:ctrlPr>
              <w:rPr>
                <w:rFonts w:hint="default" w:ascii="Cambria Math" w:hAnsi="Cambria Math" w:eastAsiaTheme="minorEastAsia" w:cstheme="minorEastAsia"/>
                <w:sz w:val="24"/>
                <w:szCs w:val="24"/>
                <w:lang w:val="en-US" w:eastAsia="zh-CN"/>
              </w:rPr>
            </m:ctrlPr>
          </m:sub>
        </m:sSub>
        <m:r>
          <m:rPr>
            <m:nor/>
            <m:sty m:val="p"/>
          </m:rPr>
          <w:rPr>
            <w:rFonts w:hint="default" w:ascii="Cambria Math" w:hAnsi="Cambria Math" w:eastAsiaTheme="minorEastAsia" w:cstheme="minorEastAsia"/>
            <w:b w:val="0"/>
            <w:i w:val="0"/>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nor/>
                <m:sty m:val="p"/>
              </m:rPr>
              <w:rPr>
                <w:rFonts w:hint="default" w:ascii="Cambria Math" w:hAnsi="Cambria Math" w:eastAsiaTheme="minorEastAsia" w:cstheme="minorEastAsia"/>
                <w:b w:val="0"/>
                <w:i w:val="0"/>
                <w:sz w:val="24"/>
                <w:szCs w:val="24"/>
                <w:lang w:val="en-US" w:eastAsia="zh-CN"/>
              </w:rPr>
              <m:t>P</m:t>
            </m:r>
            <m:ctrlPr>
              <w:rPr>
                <w:rFonts w:hint="default" w:ascii="Cambria Math" w:hAnsi="Cambria Math" w:eastAsiaTheme="minorEastAsia" w:cstheme="minorEastAsia"/>
                <w:sz w:val="24"/>
                <w:szCs w:val="24"/>
                <w:lang w:val="en-US" w:eastAsia="zh-CN"/>
              </w:rPr>
            </m:ctrlPr>
          </m:e>
          <m:sub>
            <m:r>
              <m:rPr>
                <m:nor/>
                <m:sty m:val="p"/>
              </m:rPr>
              <w:rPr>
                <w:rFonts w:hint="default" w:ascii="Cambria Math" w:hAnsi="Cambria Math" w:eastAsiaTheme="minorEastAsia" w:cstheme="minorEastAsia"/>
                <w:b w:val="0"/>
                <w:i w:val="0"/>
                <w:sz w:val="24"/>
                <w:szCs w:val="24"/>
                <w:lang w:val="en-US" w:eastAsia="zh-CN"/>
              </w:rPr>
              <m:t>i2</m:t>
            </m:r>
            <m:ctrlPr>
              <w:rPr>
                <w:rFonts w:hint="default" w:ascii="Cambria Math" w:hAnsi="Cambria Math" w:eastAsiaTheme="minorEastAsia" w:cstheme="minorEastAsia"/>
                <w:sz w:val="24"/>
                <w:szCs w:val="24"/>
                <w:lang w:val="en-US" w:eastAsia="zh-CN"/>
              </w:rPr>
            </m:ctrlPr>
          </m:sub>
        </m:sSub>
        <m:r>
          <m:rPr>
            <m:nor/>
            <m:sty m:val="p"/>
          </m:rPr>
          <w:rPr>
            <w:rFonts w:hint="default" w:ascii="Cambria Math" w:hAnsi="Cambria Math" w:eastAsiaTheme="minorEastAsia" w:cstheme="minorEastAsia"/>
            <w:b w:val="0"/>
            <w:i w:val="0"/>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nor/>
                <m:sty m:val="p"/>
              </m:rPr>
              <w:rPr>
                <w:rFonts w:hint="default" w:ascii="Cambria Math" w:hAnsi="Cambria Math" w:eastAsiaTheme="minorEastAsia" w:cstheme="minorEastAsia"/>
                <w:b w:val="0"/>
                <w:i w:val="0"/>
                <w:sz w:val="24"/>
                <w:szCs w:val="24"/>
                <w:lang w:val="en-US" w:eastAsia="zh-CN"/>
              </w:rPr>
              <m:t>P</m:t>
            </m:r>
            <m:ctrlPr>
              <w:rPr>
                <w:rFonts w:hint="default" w:ascii="Cambria Math" w:hAnsi="Cambria Math" w:eastAsiaTheme="minorEastAsia" w:cstheme="minorEastAsia"/>
                <w:sz w:val="24"/>
                <w:szCs w:val="24"/>
                <w:lang w:val="en-US" w:eastAsia="zh-CN"/>
              </w:rPr>
            </m:ctrlPr>
          </m:e>
          <m:sub>
            <m:r>
              <m:rPr>
                <m:nor/>
                <m:sty m:val="p"/>
              </m:rPr>
              <w:rPr>
                <w:rFonts w:hint="default" w:ascii="Cambria Math" w:hAnsi="Cambria Math" w:eastAsiaTheme="minorEastAsia" w:cstheme="minorEastAsia"/>
                <w:b w:val="0"/>
                <w:i w:val="0"/>
                <w:sz w:val="24"/>
                <w:szCs w:val="24"/>
                <w:lang w:val="en-US" w:eastAsia="zh-CN"/>
              </w:rPr>
              <m:t>in</m:t>
            </m:r>
            <m:ctrlPr>
              <w:rPr>
                <w:rFonts w:hint="default" w:ascii="Cambria Math" w:hAnsi="Cambria Math" w:eastAsiaTheme="minorEastAsia" w:cstheme="minorEastAsia"/>
                <w:sz w:val="24"/>
                <w:szCs w:val="24"/>
                <w:lang w:val="en-US" w:eastAsia="zh-CN"/>
              </w:rPr>
            </m:ctrlPr>
          </m:sub>
        </m:sSub>
        <m:r>
          <m:rPr>
            <m:nor/>
            <m:sty m:val="p"/>
          </m:rPr>
          <w:rPr>
            <w:rFonts w:hint="default" w:ascii="Cambria Math" w:hAnsi="Cambria Math" w:eastAsiaTheme="minorEastAsia" w:cstheme="minorEastAsia"/>
            <w:b w:val="0"/>
            <w:i w:val="0"/>
            <w:sz w:val="24"/>
            <w:szCs w:val="24"/>
            <w:lang w:val="en-US" w:eastAsia="zh-CN"/>
          </w:rPr>
          <m:t>)</m:t>
        </m:r>
      </m:oMath>
      <w:r>
        <w:rPr>
          <w:rFonts w:hint="eastAsia" w:asciiTheme="minorEastAsia" w:hAnsiTheme="minorEastAsia" w:eastAsiaTheme="minorEastAsia" w:cstheme="minorEastAsia"/>
          <w:sz w:val="24"/>
          <w:szCs w:val="24"/>
          <w:lang w:val="en-US" w:eastAsia="zh-CN"/>
        </w:rPr>
        <w:t>。</w:t>
      </w:r>
    </w:p>
    <w:p w14:paraId="51531AB9">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3.3 面积求和（三角形分解法）</w:t>
      </w:r>
    </w:p>
    <w:p w14:paraId="499AF8F1">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将多边形分解为以Pc为公共顶点的n个三角形，每个三角形面积Sk通过向量点乘计算：</w:t>
      </w:r>
    </w:p>
    <w:p w14:paraId="0C0D0972">
      <w:pPr>
        <w:ind w:firstLine="420" w:firstLineChars="0"/>
        <w:rPr>
          <w:rFonts w:hint="eastAsia" w:asciiTheme="minorEastAsia" w:hAnsiTheme="minorEastAsia" w:eastAsiaTheme="minorEastAsia" w:cstheme="minorEastAsia"/>
          <w:sz w:val="24"/>
          <w:szCs w:val="24"/>
          <w:lang w:val="en-US" w:eastAsia="zh-CN"/>
        </w:rPr>
      </w:pPr>
      <m:oMathPara>
        <m:oMath>
          <m:r>
            <m:rPr>
              <m:sty m:val="p"/>
            </m:rPr>
            <w:rPr>
              <w:rFonts w:hint="default" w:ascii="Cambria Math" w:hAnsi="Cambria Math" w:eastAsiaTheme="minorEastAsia" w:cstheme="minorEastAsia"/>
              <w:sz w:val="24"/>
              <w:szCs w:val="24"/>
              <w:lang w:val="en-US" w:eastAsia="zh-CN"/>
            </w:rPr>
            <m:t>Sk=0.5∣PcPik⋅PcPi(k+1)∣</m:t>
          </m:r>
        </m:oMath>
      </m:oMathPara>
    </w:p>
    <w:p w14:paraId="5A33F81F">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其中</w:t>
      </w:r>
      <m:oMath>
        <m:r>
          <m:rPr>
            <m:sty m:val="p"/>
          </m:rPr>
          <w:rPr>
            <w:rFonts w:hint="default" w:ascii="Cambria Math" w:hAnsi="Cambria Math" w:eastAsiaTheme="minorEastAsia" w:cstheme="minorEastAsia"/>
            <w:sz w:val="24"/>
            <w:szCs w:val="24"/>
            <w:lang w:val="en-US" w:eastAsia="zh-CN"/>
          </w:rPr>
          <m:t>PcPik=(xik−xc, yik−yc)，PcPi(k+1)=(xi(k+1)−xc, yi(k+1)−yc)</m:t>
        </m:r>
        <m:r>
          <m:rPr>
            <m:sty m:val="p"/>
          </m:rPr>
          <w:rPr>
            <w:rFonts w:hint="eastAsia" w:ascii="Cambria Math" w:hAnsi="Cambria Math" w:eastAsiaTheme="minorEastAsia" w:cstheme="minorEastAsia"/>
            <w:sz w:val="24"/>
            <w:szCs w:val="24"/>
            <w:lang w:val="en-US" w:eastAsia="zh-CN"/>
          </w:rPr>
          <m:t>，</m:t>
        </m:r>
        <m:r>
          <m:rPr>
            <m:sty m:val="p"/>
          </m:rPr>
          <w:rPr>
            <w:rFonts w:hint="default" w:ascii="Cambria Math" w:hAnsi="Cambria Math" w:eastAsiaTheme="minorEastAsia" w:cstheme="minorEastAsia"/>
            <w:sz w:val="24"/>
            <w:szCs w:val="24"/>
            <w:lang w:val="en-US" w:eastAsia="zh-CN"/>
          </w:rPr>
          <m:t>Pi(n+1)=Pi1</m:t>
        </m:r>
      </m:oMath>
      <w:r>
        <w:rPr>
          <w:rFonts w:hint="eastAsia" w:asciiTheme="minorEastAsia" w:hAnsiTheme="minorEastAsia" w:eastAsiaTheme="minorEastAsia" w:cstheme="minorEastAsia"/>
          <w:sz w:val="24"/>
          <w:szCs w:val="24"/>
          <w:lang w:val="en-US" w:eastAsia="zh-CN"/>
        </w:rPr>
        <w:t>。</w:t>
      </w:r>
    </w:p>
    <w:p w14:paraId="4F2A744D">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多边形总面积S：</w:t>
      </w:r>
    </w:p>
    <w:p w14:paraId="0D390485">
      <w:pPr>
        <w:ind w:firstLine="420" w:firstLineChars="0"/>
        <w:rPr>
          <w:rFonts w:hint="eastAsia" w:asciiTheme="minorEastAsia" w:hAnsiTheme="minorEastAsia" w:eastAsiaTheme="minorEastAsia" w:cstheme="minorEastAsia"/>
          <w:sz w:val="24"/>
          <w:szCs w:val="24"/>
          <w:lang w:val="en-US" w:eastAsia="zh-CN"/>
        </w:rPr>
      </w:pPr>
      <m:oMathPara>
        <m:oMath>
          <m:r>
            <m:rPr>
              <m:sty m:val="p"/>
            </m:rPr>
            <w:rPr>
              <w:rFonts w:hint="default" w:ascii="Cambria Math" w:hAnsi="Cambria Math" w:eastAsiaTheme="minorEastAsia" w:cstheme="minorEastAsia"/>
              <w:sz w:val="24"/>
              <w:szCs w:val="24"/>
              <w:lang w:val="en-US" w:eastAsia="zh-CN"/>
            </w:rPr>
            <m:t>S=</m:t>
          </m:r>
          <m:f>
            <m:fPr>
              <m:ctrlPr>
                <w:rPr>
                  <w:rFonts w:hint="default" w:ascii="Cambria Math" w:hAnsi="Cambria Math" w:eastAsiaTheme="minorEastAsia" w:cstheme="minorEastAsia"/>
                  <w:sz w:val="24"/>
                  <w:szCs w:val="24"/>
                  <w:lang w:val="en-US" w:eastAsia="zh-CN"/>
                </w:rPr>
              </m:ctrlPr>
            </m:fPr>
            <m:num>
              <m:r>
                <m:rPr>
                  <m:sty m:val="p"/>
                </m:rPr>
                <w:rPr>
                  <w:rFonts w:hint="default" w:ascii="Cambria Math" w:hAnsi="Cambria Math" w:eastAsiaTheme="minorEastAsia" w:cstheme="minorEastAsia"/>
                  <w:sz w:val="24"/>
                  <w:szCs w:val="24"/>
                  <w:lang w:val="en-US" w:eastAsia="zh-CN"/>
                </w:rPr>
                <m:t>1</m:t>
              </m:r>
              <m:ctrlPr>
                <w:rPr>
                  <w:rFonts w:hint="eastAsia" w:ascii="Cambria Math" w:hAnsi="Cambria Math" w:eastAsiaTheme="minorEastAsia" w:cstheme="minorEastAsia"/>
                  <w:sz w:val="24"/>
                  <w:szCs w:val="24"/>
                  <w:lang w:val="en-US" w:eastAsia="zh-CN"/>
                </w:rPr>
              </m:ctrlPr>
            </m:num>
            <m:den>
              <m:r>
                <m:rPr>
                  <m:sty m:val="p"/>
                </m:rPr>
                <w:rPr>
                  <w:rFonts w:hint="default" w:ascii="Cambria Math" w:hAnsi="Cambria Math" w:eastAsiaTheme="minorEastAsia" w:cstheme="minorEastAsia"/>
                  <w:sz w:val="24"/>
                  <w:szCs w:val="24"/>
                  <w:lang w:val="en-US" w:eastAsia="zh-CN"/>
                </w:rPr>
                <m:t>2</m:t>
              </m:r>
              <m:ctrlPr>
                <w:rPr>
                  <w:rFonts w:hint="eastAsia" w:ascii="Cambria Math" w:hAnsi="Cambria Math" w:eastAsiaTheme="minorEastAsia" w:cstheme="minorEastAsia"/>
                  <w:sz w:val="24"/>
                  <w:szCs w:val="24"/>
                  <w:lang w:val="en-US" w:eastAsia="zh-CN"/>
                </w:rPr>
              </m:ctrlPr>
            </m:den>
          </m:f>
          <m:nary>
            <m:naryPr>
              <m:chr m:val="∑"/>
              <m:limLoc m:val="undOvr"/>
              <m:ctrlPr>
                <w:rPr>
                  <w:rFonts w:hint="default" w:ascii="Cambria Math" w:hAnsi="Cambria Math" w:eastAsiaTheme="minorEastAsia" w:cstheme="minorEastAsia"/>
                  <w:sz w:val="24"/>
                  <w:szCs w:val="24"/>
                  <w:lang w:val="en-US" w:eastAsia="zh-CN"/>
                </w:rPr>
              </m:ctrlPr>
            </m:naryPr>
            <m:sub>
              <m:r>
                <m:rPr>
                  <m:sty m:val="p"/>
                </m:rPr>
                <w:rPr>
                  <w:rFonts w:hint="default" w:ascii="Cambria Math" w:hAnsi="Cambria Math" w:eastAsiaTheme="minorEastAsia" w:cstheme="minorEastAsia"/>
                  <w:sz w:val="24"/>
                  <w:szCs w:val="24"/>
                  <w:lang w:val="en-US" w:eastAsia="zh-CN"/>
                </w:rPr>
                <m:t>k=1</m:t>
              </m:r>
              <m:ctrlPr>
                <w:rPr>
                  <w:rFonts w:hint="eastAsia" w:ascii="Cambria Math" w:hAnsi="Cambria Math" w:eastAsiaTheme="minorEastAsia" w:cstheme="minorEastAsia"/>
                  <w:sz w:val="24"/>
                  <w:szCs w:val="24"/>
                  <w:lang w:val="en-US" w:eastAsia="zh-CN"/>
                </w:rPr>
              </m:ctrlPr>
            </m:sub>
            <m:sup>
              <m:r>
                <m:rPr>
                  <m:sty m:val="p"/>
                </m:rPr>
                <w:rPr>
                  <w:rFonts w:hint="default" w:ascii="Cambria Math" w:hAnsi="Cambria Math" w:eastAsiaTheme="minorEastAsia" w:cstheme="minorEastAsia"/>
                  <w:sz w:val="24"/>
                  <w:szCs w:val="24"/>
                  <w:lang w:val="en-US" w:eastAsia="zh-CN"/>
                </w:rPr>
                <m:t>n</m:t>
              </m:r>
              <m:ctrlPr>
                <w:rPr>
                  <w:rFonts w:hint="eastAsia" w:ascii="Cambria Math" w:hAnsi="Cambria Math" w:eastAsiaTheme="minorEastAsia" w:cstheme="minorEastAsia"/>
                  <w:sz w:val="24"/>
                  <w:szCs w:val="24"/>
                  <w:lang w:val="en-US" w:eastAsia="zh-CN"/>
                </w:rPr>
              </m:ctrlPr>
            </m:sup>
            <m:e>
              <m:d>
                <m:dPr>
                  <m:begChr m:val="|"/>
                  <m:endChr m:val="|"/>
                  <m:ctrlPr>
                    <w:rPr>
                      <w:rFonts w:hint="default" w:ascii="Cambria Math" w:hAnsi="Cambria Math" w:eastAsiaTheme="minorEastAsia" w:cstheme="minorEastAsia"/>
                      <w:sz w:val="24"/>
                      <w:szCs w:val="24"/>
                      <w:lang w:val="en-US" w:eastAsia="zh-CN"/>
                    </w:rPr>
                  </m:ctrlPr>
                </m:dPr>
                <m:e>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ik</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c</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i(k+1)</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c</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i(k+1)</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c</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ik</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c</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ctrlPr>
                    <w:rPr>
                      <w:rFonts w:hint="default" w:ascii="Cambria Math" w:hAnsi="Cambria Math" w:eastAsiaTheme="minorEastAsia" w:cstheme="minorEastAsia"/>
                      <w:sz w:val="24"/>
                      <w:szCs w:val="24"/>
                      <w:lang w:val="en-US" w:eastAsia="zh-CN"/>
                    </w:rPr>
                  </m:ctrlPr>
                </m:e>
              </m:d>
              <m:ctrlPr>
                <w:rPr>
                  <w:rFonts w:hint="default" w:ascii="Cambria Math" w:hAnsi="Cambria Math" w:eastAsiaTheme="minorEastAsia" w:cstheme="minorEastAsia"/>
                  <w:sz w:val="24"/>
                  <w:szCs w:val="24"/>
                  <w:lang w:val="en-US" w:eastAsia="zh-CN"/>
                </w:rPr>
              </m:ctrlPr>
            </m:e>
          </m:nary>
        </m:oMath>
      </m:oMathPara>
    </w:p>
    <w:p w14:paraId="718515E1">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 并集面积计算（去重复阴影）</w:t>
      </w:r>
    </w:p>
    <w:p w14:paraId="572BCAAE">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将区域划分为边长为</w:t>
      </w:r>
      <m:oMath>
        <m:r>
          <m:rPr>
            <m:sty m:val="p"/>
          </m:rPr>
          <w:rPr>
            <w:rFonts w:hint="eastAsia" w:ascii="Cambria Math" w:hAnsi="Cambria Math" w:eastAsiaTheme="minorEastAsia" w:cstheme="minorEastAsia"/>
            <w:sz w:val="24"/>
            <w:szCs w:val="24"/>
            <w:lang w:val="en-US" w:eastAsia="zh-CN"/>
          </w:rPr>
          <m:t xml:space="preserve"> </m:t>
        </m:r>
        <m:r>
          <m:rPr>
            <m:sty m:val="p"/>
          </m:rPr>
          <w:rPr>
            <w:rFonts w:hint="default" w:ascii="Cambria Math" w:hAnsi="Cambria Math" w:eastAsiaTheme="minorEastAsia" w:cstheme="minorEastAsia"/>
            <w:sz w:val="24"/>
            <w:szCs w:val="24"/>
            <w:lang w:val="en-US" w:eastAsia="zh-CN"/>
          </w:rPr>
          <m:t>Δ</m:t>
        </m:r>
        <m:r>
          <m:rPr>
            <m:sty m:val="p"/>
          </m:rPr>
          <w:rPr>
            <w:rFonts w:hint="eastAsia" w:ascii="Cambria Math" w:hAnsi="Cambria Math" w:eastAsiaTheme="minorEastAsia" w:cstheme="minorEastAsia"/>
            <w:sz w:val="24"/>
            <w:szCs w:val="24"/>
            <w:lang w:val="en-US" w:eastAsia="zh-CN"/>
          </w:rPr>
          <m:t>l</m:t>
        </m:r>
      </m:oMath>
      <w:r>
        <w:rPr>
          <w:rFonts w:hint="eastAsia" w:asciiTheme="minorEastAsia" w:hAnsiTheme="minorEastAsia" w:eastAsiaTheme="minorEastAsia" w:cstheme="minorEastAsia"/>
          <w:sz w:val="24"/>
          <w:szCs w:val="24"/>
          <w:lang w:val="en-US" w:eastAsia="zh-CN"/>
        </w:rPr>
        <w:t>的小网格单元，每个网格单元面积</w:t>
      </w:r>
      <m:oMath>
        <m:r>
          <m:rPr>
            <m:sty m:val="p"/>
          </m:rPr>
          <w:rPr>
            <w:rFonts w:hint="default" w:ascii="Cambria Math" w:hAnsi="Cambria Math" w:eastAsiaTheme="minorEastAsia" w:cstheme="minorEastAsia"/>
            <w:sz w:val="24"/>
            <w:szCs w:val="24"/>
            <w:lang w:val="en-US" w:eastAsia="zh-CN"/>
          </w:rPr>
          <m:t>s=(Δl)2</m:t>
        </m:r>
      </m:oMath>
      <w:r>
        <w:rPr>
          <w:rFonts w:hint="eastAsia" w:asciiTheme="minorEastAsia" w:hAnsiTheme="minorEastAsia" w:eastAsiaTheme="minorEastAsia" w:cstheme="minorEastAsia"/>
          <w:sz w:val="24"/>
          <w:szCs w:val="24"/>
          <w:lang w:val="en-US" w:eastAsia="zh-CN"/>
        </w:rPr>
        <w:t>。</w:t>
      </w:r>
    </w:p>
    <w:p w14:paraId="521E74AD">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定义指示函数Iij（i,j为网格单元坐标索引）：</w:t>
      </w:r>
    </w:p>
    <w:p w14:paraId="617ACEEC">
      <w:pPr>
        <w:ind w:firstLine="420" w:firstLineChars="0"/>
        <w:rPr>
          <w:rFonts w:hint="eastAsia" w:asciiTheme="minorEastAsia" w:hAnsiTheme="minorEastAsia" w:eastAsiaTheme="minorEastAsia" w:cstheme="minorEastAsia"/>
          <w:sz w:val="24"/>
          <w:szCs w:val="24"/>
          <w:lang w:val="en-US" w:eastAsia="zh-CN"/>
        </w:rPr>
      </w:pPr>
      <m:oMathPara>
        <m:oMath>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I</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ij</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d>
            <m:dPr>
              <m:begChr m:val="{"/>
              <m:endChr m:val=""/>
              <m:ctrlPr>
                <w:rPr>
                  <w:rFonts w:hint="default" w:ascii="Cambria Math" w:hAnsi="Cambria Math" w:eastAsiaTheme="minorEastAsia" w:cstheme="minorEastAsia"/>
                  <w:sz w:val="24"/>
                  <w:szCs w:val="24"/>
                  <w:lang w:val="en-US" w:eastAsia="zh-CN"/>
                </w:rPr>
              </m:ctrlPr>
            </m:dPr>
            <m:e>
              <m:m>
                <m:mPr>
                  <m:mcs>
                    <m:mc>
                      <m:mcPr>
                        <m:count m:val="2"/>
                        <m:mcJc m:val="left"/>
                      </m:mcPr>
                    </m:mc>
                  </m:mcs>
                  <m:plcHide m:val="1"/>
                  <m:ctrlPr>
                    <w:rPr>
                      <w:rFonts w:hint="default" w:ascii="Cambria Math" w:hAnsi="Cambria Math" w:eastAsiaTheme="minorEastAsia" w:cstheme="minorEastAsia"/>
                      <w:sz w:val="24"/>
                      <w:szCs w:val="24"/>
                      <w:lang w:val="en-US" w:eastAsia="zh-CN"/>
                    </w:rPr>
                  </m:ctrlPr>
                </m:mPr>
                <m:mr>
                  <m:e>
                    <m:r>
                      <m:rPr>
                        <m:sty m:val="p"/>
                      </m:rPr>
                      <w:rPr>
                        <w:rFonts w:hint="default" w:ascii="Cambria Math" w:hAnsi="Cambria Math" w:eastAsiaTheme="minorEastAsia" w:cstheme="minorEastAsia"/>
                        <w:sz w:val="24"/>
                        <w:szCs w:val="24"/>
                        <w:lang w:val="en-US" w:eastAsia="zh-CN"/>
                      </w:rPr>
                      <m:t>1</m:t>
                    </m:r>
                    <m:ctrlPr>
                      <w:rPr>
                        <w:rFonts w:hint="eastAsia" w:ascii="Cambria Math" w:hAnsi="Cambria Math" w:eastAsiaTheme="minorEastAsia" w:cstheme="minorEastAsia"/>
                        <w:sz w:val="24"/>
                        <w:szCs w:val="24"/>
                        <w:lang w:val="en-US" w:eastAsia="zh-CN"/>
                      </w:rPr>
                    </m:ctrlPr>
                  </m:e>
                  <m:e>
                    <m:r>
                      <m:rPr>
                        <m:sty m:val="p"/>
                      </m:rPr>
                      <w:rPr>
                        <w:rFonts w:hint="default" w:ascii="Cambria Math" w:hAnsi="Cambria Math" w:eastAsiaTheme="minorEastAsia" w:cstheme="minorEastAsia"/>
                        <w:sz w:val="24"/>
                        <w:szCs w:val="24"/>
                        <w:lang w:val="en-US" w:eastAsia="zh-CN"/>
                      </w:rPr>
                      <m:t>网格单元(i,j)至少位于一个多边形内部</m:t>
                    </m:r>
                    <m:ctrlPr>
                      <w:rPr>
                        <w:rFonts w:hint="eastAsia" w:ascii="Cambria Math" w:hAnsi="Cambria Math" w:eastAsiaTheme="minorEastAsia" w:cstheme="minorEastAsia"/>
                        <w:sz w:val="24"/>
                        <w:szCs w:val="24"/>
                        <w:lang w:val="en-US" w:eastAsia="zh-CN"/>
                      </w:rPr>
                    </m:ctrlPr>
                  </m:e>
                </m:mr>
                <m:mr>
                  <m:e>
                    <m:r>
                      <m:rPr>
                        <m:sty m:val="p"/>
                      </m:rPr>
                      <w:rPr>
                        <w:rFonts w:hint="default" w:ascii="Cambria Math" w:hAnsi="Cambria Math" w:eastAsiaTheme="minorEastAsia" w:cstheme="minorEastAsia"/>
                        <w:sz w:val="24"/>
                        <w:szCs w:val="24"/>
                        <w:lang w:val="en-US" w:eastAsia="zh-CN"/>
                      </w:rPr>
                      <m:t>0</m:t>
                    </m:r>
                    <m:ctrlPr>
                      <w:rPr>
                        <w:rFonts w:hint="eastAsia" w:ascii="Cambria Math" w:hAnsi="Cambria Math" w:eastAsiaTheme="minorEastAsia" w:cstheme="minorEastAsia"/>
                        <w:sz w:val="24"/>
                        <w:szCs w:val="24"/>
                        <w:lang w:val="en-US" w:eastAsia="zh-CN"/>
                      </w:rPr>
                    </m:ctrlPr>
                  </m:e>
                  <m:e>
                    <m:r>
                      <m:rPr>
                        <m:sty m:val="p"/>
                      </m:rPr>
                      <w:rPr>
                        <w:rFonts w:hint="default" w:ascii="Cambria Math" w:hAnsi="Cambria Math" w:eastAsiaTheme="minorEastAsia" w:cstheme="minorEastAsia"/>
                        <w:sz w:val="24"/>
                        <w:szCs w:val="24"/>
                        <w:lang w:val="en-US" w:eastAsia="zh-CN"/>
                      </w:rPr>
                      <m:t>网格单元(i,j)不在任何多边形内部</m:t>
                    </m:r>
                    <m:ctrlPr>
                      <w:rPr>
                        <w:rFonts w:hint="eastAsia" w:ascii="Cambria Math" w:hAnsi="Cambria Math" w:eastAsiaTheme="minorEastAsia" w:cstheme="minorEastAsia"/>
                        <w:sz w:val="24"/>
                        <w:szCs w:val="24"/>
                        <w:lang w:val="en-US" w:eastAsia="zh-CN"/>
                      </w:rPr>
                    </m:ctrlPr>
                  </m:e>
                </m:mr>
              </m:m>
              <m:ctrlPr>
                <w:rPr>
                  <w:rFonts w:hint="default" w:ascii="Cambria Math" w:hAnsi="Cambria Math" w:eastAsiaTheme="minorEastAsia" w:cstheme="minorEastAsia"/>
                  <w:sz w:val="24"/>
                  <w:szCs w:val="24"/>
                  <w:lang w:val="en-US" w:eastAsia="zh-CN"/>
                </w:rPr>
              </m:ctrlPr>
            </m:e>
          </m:d>
        </m:oMath>
      </m:oMathPara>
    </w:p>
    <w:p w14:paraId="0456FFCE">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并集面积S并：</w:t>
      </w:r>
    </w:p>
    <w:p w14:paraId="5CBA7222">
      <w:pPr>
        <w:ind w:firstLine="420" w:firstLineChars="0"/>
        <w:rPr>
          <w:rFonts w:hint="eastAsia" w:asciiTheme="minorEastAsia" w:hAnsiTheme="minorEastAsia" w:eastAsiaTheme="minorEastAsia" w:cstheme="minorEastAsia"/>
          <w:sz w:val="24"/>
          <w:szCs w:val="24"/>
          <w:lang w:val="en-US" w:eastAsia="zh-CN"/>
        </w:rPr>
      </w:pPr>
      <m:oMathPara>
        <m:oMath>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S</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并</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nary>
            <m:naryPr>
              <m:chr m:val="∑"/>
              <m:limLoc m:val="undOvr"/>
              <m:supHide m:val="1"/>
              <m:ctrlPr>
                <w:rPr>
                  <w:rFonts w:hint="default" w:ascii="Cambria Math" w:hAnsi="Cambria Math" w:eastAsiaTheme="minorEastAsia" w:cstheme="minorEastAsia"/>
                  <w:sz w:val="24"/>
                  <w:szCs w:val="24"/>
                  <w:lang w:val="en-US" w:eastAsia="zh-CN"/>
                </w:rPr>
              </m:ctrlPr>
            </m:naryPr>
            <m:sub>
              <m:r>
                <m:rPr>
                  <m:sty m:val="p"/>
                </m:rPr>
                <w:rPr>
                  <w:rFonts w:hint="default" w:ascii="Cambria Math" w:hAnsi="Cambria Math" w:eastAsiaTheme="minorEastAsia" w:cstheme="minorEastAsia"/>
                  <w:sz w:val="24"/>
                  <w:szCs w:val="24"/>
                  <w:lang w:val="en-US" w:eastAsia="zh-CN"/>
                </w:rPr>
                <m:t>i,j</m:t>
              </m:r>
              <m:ctrlPr>
                <w:rPr>
                  <w:rFonts w:hint="eastAsia" w:ascii="Cambria Math" w:hAnsi="Cambria Math" w:eastAsiaTheme="minorEastAsia" w:cstheme="minorEastAsia"/>
                  <w:sz w:val="24"/>
                  <w:szCs w:val="24"/>
                  <w:lang w:val="en-US" w:eastAsia="zh-CN"/>
                </w:rPr>
              </m:ctrlPr>
            </m:sub>
            <m:sup>
              <m:ctrlPr>
                <w:rPr>
                  <w:rFonts w:hint="eastAsia" w:ascii="Cambria Math" w:hAnsi="Cambria Math" w:eastAsiaTheme="minorEastAsia" w:cstheme="minorEastAsia"/>
                  <w:sz w:val="24"/>
                  <w:szCs w:val="24"/>
                  <w:lang w:val="en-US" w:eastAsia="zh-CN"/>
                </w:rPr>
              </m:ctrlPr>
            </m:sup>
            <m:e>
              <m:r>
                <m:rPr>
                  <m:sty m:val="p"/>
                </m:rPr>
                <w:rPr>
                  <w:rFonts w:hint="default" w:ascii="Cambria Math" w:hAnsi="Cambria Math" w:eastAsiaTheme="minorEastAsia" w:cstheme="minorEastAsia"/>
                  <w:sz w:val="24"/>
                  <w:szCs w:val="24"/>
                  <w:lang w:val="en-US" w:eastAsia="zh-CN"/>
                </w:rPr>
                <m:t>s</m:t>
              </m:r>
              <m:ctrlPr>
                <w:rPr>
                  <w:rFonts w:hint="eastAsia" w:ascii="Cambria Math" w:hAnsi="Cambria Math" w:eastAsiaTheme="minorEastAsia" w:cstheme="minorEastAsia"/>
                  <w:sz w:val="24"/>
                  <w:szCs w:val="24"/>
                  <w:lang w:val="en-US" w:eastAsia="zh-CN"/>
                </w:rPr>
              </m:ctrlPr>
            </m:e>
          </m:nary>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I</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ij</m:t>
              </m:r>
              <m:ctrlPr>
                <w:rPr>
                  <w:rFonts w:hint="eastAsia" w:ascii="Cambria Math" w:hAnsi="Cambria Math" w:eastAsiaTheme="minorEastAsia" w:cstheme="minorEastAsia"/>
                  <w:sz w:val="24"/>
                  <w:szCs w:val="24"/>
                  <w:lang w:val="en-US" w:eastAsia="zh-CN"/>
                </w:rPr>
              </m:ctrlPr>
            </m:sub>
          </m:sSub>
        </m:oMath>
      </m:oMathPara>
    </w:p>
    <w:p w14:paraId="7B43CA9C">
      <w:pPr>
        <w:ind w:firstLine="420" w:firstLineChars="0"/>
        <w:rPr>
          <w:rFonts w:hint="default" w:asciiTheme="minorEastAsia" w:hAnsiTheme="minorEastAsia" w:eastAsiaTheme="minorEastAsia" w:cstheme="minorEastAsia"/>
          <w:sz w:val="24"/>
          <w:szCs w:val="24"/>
          <w:lang w:val="en-US" w:eastAsia="zh-CN"/>
        </w:rPr>
      </w:pPr>
    </w:p>
    <w:p w14:paraId="23D65A3E">
      <w:pPr>
        <w:ind w:firstLine="420" w:firstLineChars="0"/>
        <w:rPr>
          <w:rFonts w:hint="default" w:asciiTheme="minorEastAsia" w:hAnsiTheme="minorEastAsia" w:eastAsiaTheme="minorEastAsia" w:cstheme="minorEastAsia"/>
          <w:sz w:val="24"/>
          <w:szCs w:val="24"/>
          <w:lang w:val="en-US" w:eastAsia="zh-CN"/>
        </w:rPr>
      </w:pPr>
    </w:p>
    <w:p w14:paraId="5F997128">
      <w:pPr>
        <w:ind w:firstLine="420" w:firstLineChars="0"/>
        <w:rPr>
          <w:rFonts w:hint="default" w:asciiTheme="minorEastAsia" w:hAnsiTheme="minorEastAsia" w:eastAsiaTheme="minorEastAsia" w:cstheme="minorEastAsia"/>
          <w:sz w:val="24"/>
          <w:szCs w:val="24"/>
          <w:lang w:val="en-US" w:eastAsia="zh-CN"/>
        </w:rPr>
      </w:pPr>
    </w:p>
    <w:p w14:paraId="0F054C57">
      <w:pPr>
        <w:ind w:firstLine="420" w:firstLineChars="0"/>
        <w:rPr>
          <w:rFonts w:hint="default" w:asciiTheme="minorEastAsia" w:hAnsiTheme="minorEastAsia" w:eastAsiaTheme="minorEastAsia" w:cstheme="minorEastAsia"/>
          <w:sz w:val="24"/>
          <w:szCs w:val="24"/>
          <w:lang w:val="en-US" w:eastAsia="zh-CN"/>
        </w:rPr>
      </w:pPr>
    </w:p>
    <w:p w14:paraId="0877D639">
      <w:pPr>
        <w:ind w:firstLine="420" w:firstLineChars="0"/>
        <w:rPr>
          <w:rFonts w:hint="default" w:asciiTheme="minorEastAsia" w:hAnsiTheme="minorEastAsia" w:eastAsiaTheme="minorEastAsia" w:cstheme="minorEastAsia"/>
          <w:sz w:val="24"/>
          <w:szCs w:val="24"/>
          <w:lang w:val="en-US" w:eastAsia="zh-CN"/>
        </w:rPr>
      </w:pPr>
    </w:p>
    <w:p w14:paraId="7DF880FA">
      <w:pPr>
        <w:ind w:firstLine="420" w:firstLineChars="0"/>
        <w:rPr>
          <w:rFonts w:hint="default" w:asciiTheme="minorEastAsia" w:hAnsiTheme="minorEastAsia" w:eastAsiaTheme="minorEastAsia" w:cstheme="minorEastAsia"/>
          <w:sz w:val="24"/>
          <w:szCs w:val="24"/>
          <w:lang w:val="en-US" w:eastAsia="zh-CN"/>
        </w:rPr>
      </w:pPr>
      <w:bookmarkStart w:id="18" w:name="_Toc23706"/>
      <w:bookmarkStart w:id="19" w:name="_Toc24048"/>
      <w:r>
        <w:rPr>
          <w:rFonts w:hint="eastAsia" w:asciiTheme="minorEastAsia" w:hAnsiTheme="minorEastAsia" w:eastAsiaTheme="minorEastAsia" w:cstheme="minorEastAsia"/>
          <w:sz w:val="24"/>
          <w:szCs w:val="24"/>
          <w:lang w:val="en-US" w:eastAsia="zh-CN"/>
        </w:rPr>
        <w:t>进展情况小结</w:t>
      </w:r>
      <w:bookmarkEnd w:id="18"/>
      <w:bookmarkEnd w:id="19"/>
    </w:p>
    <w:p w14:paraId="29617B33">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总结：</w:t>
      </w:r>
    </w:p>
    <w:p w14:paraId="3C333E85">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阶段严格围绕极地光伏系统积雪损失精准模拟与发电性能优化的核心研究目标，系统完成文献梳理、理论模型构建、仿真系统开发、工况验证与参数优化全流程工作，各项研究任务按计划稳步推进，具体进展总结如下：</w:t>
      </w:r>
    </w:p>
    <w:p w14:paraId="3E3D1F2F">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一是完成极地光伏领域系统的文献综述与理论基础搭建。全面梳理了高纬度极地光伏系统的环境特性与应用挑战、光伏组件光学性能优化模型、系统构型选择与优化、严寒环境积雪损失评估四大核心研究方向，明确了极地低太阳高度角、高地表反照率、严寒多雪的极端环境特征，厘清了传统辐照度模型、雪损模型在极地场景下的核心误差来源，为后续模型改进与仿真开发奠定了完整的理论基础。</w:t>
      </w:r>
    </w:p>
    <w:p w14:paraId="70B50C17">
      <w:pPr>
        <w:ind w:firstLine="420" w:firstLineChars="0"/>
        <w:rPr>
          <w:rFonts w:hint="eastAsia" w:ascii="宋体" w:hAnsi="宋体" w:eastAsia="宋体" w:cs="宋体"/>
          <w:sz w:val="24"/>
          <w:szCs w:val="24"/>
          <w:lang w:val="en-US" w:eastAsia="zh-CN"/>
        </w:rPr>
      </w:pPr>
      <w:r>
        <w:rPr>
          <w:rFonts w:hint="eastAsia" w:asciiTheme="minorEastAsia" w:hAnsiTheme="minorEastAsia" w:eastAsiaTheme="minorEastAsia" w:cstheme="minorEastAsia"/>
          <w:sz w:val="24"/>
          <w:szCs w:val="24"/>
          <w:lang w:val="en-US" w:eastAsia="zh-CN"/>
        </w:rPr>
        <w:t>二是完成适配极地极端环境的核心模型构建与多维度优化。针对极地积雪场景，在经典 Marion 雪损模型基础上完成 4 项核心改进，构建了极地专用积雪损失模型：引入温度 - 辐照度耦合滑动阈值判据、雪深依赖的动态滑动系数、积雪覆盖比例时序迭代计算模型、横装组件旁路二极管阶梯式损失修正，解决了经典模型固定参数、线性损失假设在极地场景的模拟偏差问题。同时完成极地辐照度计算模型的优化，实现光谱反照率失配修正、入射角 IAM 模型修正、低太阳高度角下模型失真修正，完成直射 - 散射辐照</w:t>
      </w:r>
      <w:r>
        <w:rPr>
          <w:rFonts w:hint="eastAsia" w:ascii="宋体" w:hAnsi="宋体" w:eastAsia="宋体" w:cs="宋体"/>
          <w:sz w:val="24"/>
          <w:szCs w:val="24"/>
          <w:lang w:val="en-US" w:eastAsia="zh-CN"/>
        </w:rPr>
        <w:t>度拆分与黑白天空反照率加权计算。</w:t>
      </w:r>
    </w:p>
    <w:p w14:paraId="0FF5EBD0">
      <w:pPr>
        <w:ind w:firstLine="420" w:firstLineChars="0"/>
        <w:rPr>
          <w:rFonts w:hint="default" w:asciiTheme="minorEastAsia" w:hAnsiTheme="minorEastAsia" w:eastAsiaTheme="minorEastAsia" w:cstheme="minorEastAsia"/>
          <w:sz w:val="24"/>
          <w:szCs w:val="24"/>
          <w:lang w:val="en-US" w:eastAsia="zh-CN"/>
        </w:rPr>
      </w:pPr>
      <w:r>
        <w:rPr>
          <w:rFonts w:hint="eastAsia" w:ascii="宋体" w:hAnsi="宋体" w:eastAsia="宋体" w:cs="宋体"/>
          <w:sz w:val="24"/>
          <w:szCs w:val="24"/>
          <w:lang w:val="en-US" w:eastAsia="zh-CN"/>
        </w:rPr>
        <w:t>三是</w:t>
      </w:r>
      <w:r>
        <w:rPr>
          <w:rFonts w:hint="eastAsia" w:asciiTheme="minorEastAsia" w:hAnsiTheme="minorEastAsia" w:eastAsiaTheme="minorEastAsia" w:cstheme="minorEastAsia"/>
          <w:sz w:val="24"/>
          <w:szCs w:val="24"/>
          <w:lang w:val="en-US" w:eastAsia="zh-CN"/>
        </w:rPr>
        <w:t>总结了三维空间中平面与光线交互、多边形面积计算及并集面积估算的核心公式。首先，通过平面相邻边向量的叉乘得到法向量并单位化，从而导出平面的一般方程；再将直线参数方程代入平面方程，利用法向量与方向向量的点积及点代入值求解交点参数</w:t>
      </w:r>
      <w:r>
        <w:rPr>
          <w:rFonts w:hint="default" w:asciiTheme="minorEastAsia" w:hAnsiTheme="minorEastAsia" w:eastAsiaTheme="minorEastAsia" w:cstheme="minorEastAsia"/>
          <w:sz w:val="24"/>
          <w:szCs w:val="24"/>
          <w:lang w:val="en-US" w:eastAsia="zh-CN"/>
        </w:rPr>
        <w:t> ，并分类讨论了直线与平面的三种位置关系。随后，针对多边形面积，先计算顶点中心坐标，再通过各顶点相对于中心的极角进行排序，最后利用三角形分解法求和得到总面积。对于多个多边形并集的面积，文档采用网格划分方法，定义指示函数标记被任一多边形覆盖的网格单元，并累加这些单元的面积以实现去重复的阴影区域面积估算。</w:t>
      </w:r>
    </w:p>
    <w:p w14:paraId="0B6767C7">
      <w:pPr>
        <w:ind w:firstLine="420" w:firstLineChars="0"/>
        <w:rPr>
          <w:rFonts w:hint="eastAsia" w:ascii="宋体" w:hAnsi="宋体" w:eastAsia="宋体" w:cs="宋体"/>
          <w:sz w:val="24"/>
          <w:szCs w:val="24"/>
        </w:rPr>
      </w:pPr>
      <w:r>
        <w:rPr>
          <w:rFonts w:hint="eastAsia" w:asciiTheme="minorEastAsia" w:hAnsiTheme="minorEastAsia" w:eastAsiaTheme="minorEastAsia" w:cstheme="minorEastAsia"/>
          <w:sz w:val="24"/>
          <w:szCs w:val="24"/>
          <w:lang w:val="en-US" w:eastAsia="zh-CN"/>
        </w:rPr>
        <w:t>四是成雪影耦合仿真系统开发与代码工程化落地。采用 MATLAB 与 Python 混合编程架构</w:t>
      </w:r>
      <w:r>
        <w:rPr>
          <w:rFonts w:hint="eastAsia" w:ascii="宋体" w:hAnsi="宋体" w:eastAsia="宋体" w:cs="宋体"/>
          <w:sz w:val="24"/>
          <w:szCs w:val="24"/>
          <w:lang w:val="en-US" w:eastAsia="zh-CN"/>
        </w:rPr>
        <w:t>，搭建了完整的极地光伏雪影耦合仿真系统：基于单二极管五参数模型搭建光伏组件电气模型，复现了阴影遮挡下 I-V 曲线阶梯状下降特性；引入雪层透光率、积雪粘附特性分段函数，实现几何阴影与雪影的耦合计算，可稳定输出短路电流、开路电压、最大功率、填充因子等核心电气参数；基于 Python 与 pvlib 库完成模型全流程代码开发，集成站点参数配置、气象时序模拟、积雪损失计算、角度遍历优化与结果可视化全功能模块，可适配中国南极长城站、中山站的地理与气候特征，具备工程化快速应用能力。</w:t>
      </w:r>
    </w:p>
    <w:p w14:paraId="0D197853">
      <w:pPr>
        <w:bidi w:val="0"/>
        <w:ind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五是完成多场景仿真验证与系统参数优化落地。以挪威奥斯陆 60°N 高纬度地区为验证场景，完成 2019 年 1-3 月冬季工况小时级仿真，系统累计相对雪损率仿真结果为 8.21%，与高纬度地区光伏系统冬季雪损率的实测研究结果高度匹配，充分验证了模型的准确性与适用性。以中国南极长城站为研究对象，完成全年 8760 小时级发电性能仿真，遍历 0°~360° 方位角、0°~90° 倾角的全角度组合，最终确定适配极地积雪环境的最佳安装方位角，量化得到全年累计相对雪损率为 8.13%，同时验证了大倾角安装对降低积雪覆盖时长与雪损率的显著作用，为极地光伏工程设计提供了核心量化依据。</w:t>
      </w:r>
    </w:p>
    <w:p w14:paraId="5177B0CE">
      <w:pPr>
        <w:bidi w:val="0"/>
        <w:ind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综上，本阶段突破了极地场景下积雪损失精准模拟、低太阳高度角辐照度精准计算两大核心技术难点，形成了适配极地极端环境的光伏系统仿真优化工具，为后续模型深度耦合、光储协同设计与实验验证奠定了坚实基础。</w:t>
      </w:r>
    </w:p>
    <w:p w14:paraId="3E0F903A">
      <w:pPr>
        <w:numPr>
          <w:ilvl w:val="0"/>
          <w:numId w:val="0"/>
        </w:numPr>
        <w:spacing w:before="91" w:line="221" w:lineRule="auto"/>
        <w:jc w:val="both"/>
        <w:outlineLvl w:val="9"/>
        <w:rPr>
          <w:rFonts w:hint="default" w:ascii="宋体" w:hAnsi="宋体" w:eastAsia="宋体" w:cs="宋体"/>
          <w:b/>
          <w:bCs/>
          <w:spacing w:val="-6"/>
          <w:sz w:val="28"/>
          <w:szCs w:val="28"/>
          <w:lang w:val="en-US" w:eastAsia="zh-CN"/>
        </w:rPr>
      </w:pPr>
    </w:p>
    <w:p w14:paraId="626D72CC">
      <w:pPr>
        <w:numPr>
          <w:ilvl w:val="0"/>
          <w:numId w:val="3"/>
        </w:numPr>
        <w:spacing w:before="91" w:line="221" w:lineRule="auto"/>
        <w:jc w:val="both"/>
        <w:outlineLvl w:val="1"/>
        <w:rPr>
          <w:rFonts w:hint="default" w:ascii="宋体" w:hAnsi="宋体" w:eastAsia="宋体" w:cs="宋体"/>
          <w:b/>
          <w:bCs/>
          <w:spacing w:val="-6"/>
          <w:sz w:val="28"/>
          <w:szCs w:val="28"/>
          <w:lang w:val="en-US" w:eastAsia="zh-CN"/>
        </w:rPr>
      </w:pPr>
      <w:bookmarkStart w:id="20" w:name="_Toc26065"/>
      <w:bookmarkStart w:id="21" w:name="_Toc14792"/>
      <w:r>
        <w:rPr>
          <w:rFonts w:hint="eastAsia" w:ascii="宋体" w:hAnsi="宋体" w:eastAsia="宋体" w:cs="宋体"/>
          <w:b/>
          <w:bCs/>
          <w:spacing w:val="-6"/>
          <w:sz w:val="28"/>
          <w:szCs w:val="28"/>
          <w:lang w:val="en-US" w:eastAsia="zh-CN"/>
        </w:rPr>
        <w:t>存在问题与解决方案</w:t>
      </w:r>
      <w:bookmarkEnd w:id="20"/>
      <w:bookmarkEnd w:id="21"/>
    </w:p>
    <w:p w14:paraId="0D1584C6">
      <w:pPr>
        <w:numPr>
          <w:ilvl w:val="0"/>
          <w:numId w:val="4"/>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南极站点纬度极高，存在完整的极昼极夜周期，初期直接套用 pvlib 常规辐照度计算逻辑时，极夜时段（太阳在地平线以下）出现了辐照度负数、数值虚高的异常结果，极低太阳高度角（＜10°）时还频繁出现分母为 0 的程序报错，和极地实际辐照特征完全不符，反复核对库函数调用格式也没找到问题根源。</w:t>
      </w:r>
    </w:p>
    <w:p w14:paraId="6E151024">
      <w:pPr>
        <w:numPr>
          <w:ilvl w:val="0"/>
          <w:numId w:val="0"/>
        </w:numPr>
        <w:bidi w:val="0"/>
        <w:ind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解决方案：</w:t>
      </w:r>
      <w:r>
        <w:rPr>
          <w:rFonts w:hint="eastAsia" w:ascii="宋体" w:hAnsi="宋体" w:eastAsia="宋体" w:cs="宋体"/>
          <w:sz w:val="24"/>
          <w:szCs w:val="24"/>
        </w:rPr>
        <w:t>给太阳高度角计算增加边界判断，将太阳在地平线以下的极夜时段，太阳高度角正弦值强制置 0，同步将对应时段的辐照度清零，从根源上消除负数和虚高值；</w:t>
      </w:r>
    </w:p>
    <w:p w14:paraId="767A87EF">
      <w:pPr>
        <w:bidi w:val="0"/>
        <w:rPr>
          <w:rFonts w:hint="eastAsia" w:ascii="宋体" w:hAnsi="宋体" w:eastAsia="宋体" w:cs="宋体"/>
          <w:sz w:val="24"/>
          <w:szCs w:val="24"/>
        </w:rPr>
      </w:pPr>
      <w:r>
        <w:rPr>
          <w:rFonts w:hint="eastAsia" w:ascii="宋体" w:hAnsi="宋体" w:eastAsia="宋体" w:cs="宋体"/>
          <w:sz w:val="24"/>
          <w:szCs w:val="24"/>
        </w:rPr>
        <w:t>对入射角 IAM 修正模型增加角度裁剪，把太阳入射角超过 89° 的数值做截断处理，避免 cos (aoi) 趋近于 0 时出现计算溢出，同时适配了极地场景的 ASHRAE 模型修正系数，最终实现了极昼极夜全周期的辐照度稳定计算。</w:t>
      </w:r>
    </w:p>
    <w:p w14:paraId="4BB72830">
      <w:pPr>
        <w:numPr>
          <w:ilvl w:val="0"/>
          <w:numId w:val="4"/>
        </w:numPr>
        <w:bidi w:val="0"/>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开发改进型 Marion 积雪模型时，初期把新降雪、积雪滑动、融化的逻辑写混了，出现了 “积雪已完全融化，但组件覆盖比例仍为 100%、输出功率持续为 0” 的逻辑 bug，同时新降雪事件没有重置覆盖比例，导致仿真出来的冬季雪损率和论文实测值偏差超过一倍，对着公式反复核对也没定位到问题。</w:t>
      </w:r>
    </w:p>
    <w:p w14:paraId="44A26245">
      <w:pPr>
        <w:numPr>
          <w:ilvl w:val="0"/>
          <w:numId w:val="0"/>
        </w:numPr>
        <w:bidi w:val="0"/>
        <w:ind w:leftChars="0"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解决方案：</w:t>
      </w:r>
      <w:r>
        <w:rPr>
          <w:rFonts w:hint="eastAsia" w:ascii="宋体" w:hAnsi="宋体" w:eastAsia="宋体" w:cs="宋体"/>
          <w:sz w:val="24"/>
          <w:szCs w:val="24"/>
        </w:rPr>
        <w:t>把逐小时迭代逻辑拆解为固定三步时序：先处理新降雪事件，雪深突变超过阈值时强制重置覆盖比例为 1.0；再同步处理积雪滑动与融化，同步更新雪深和覆盖比例，增加 0-1 的边界限制；最后基于覆盖比例计算功率损失，彻底理顺时序依赖关系；</w:t>
      </w:r>
    </w:p>
    <w:p w14:paraId="7F46B8EA">
      <w:pPr>
        <w:bidi w:val="0"/>
        <w:rPr>
          <w:rFonts w:hint="eastAsia" w:ascii="宋体" w:hAnsi="宋体" w:eastAsia="宋体" w:cs="宋体"/>
          <w:sz w:val="24"/>
          <w:szCs w:val="24"/>
        </w:rPr>
      </w:pPr>
      <w:r>
        <w:rPr>
          <w:rFonts w:hint="eastAsia" w:ascii="宋体" w:hAnsi="宋体" w:eastAsia="宋体" w:cs="宋体"/>
          <w:sz w:val="24"/>
          <w:szCs w:val="24"/>
        </w:rPr>
        <w:t>补充雪深超过组件高度时的全淹没判断，直接强制覆盖比例为 1、功率置 0，最终仿真得到的冬季雪损率 8.21%，和高纬度地区实测研究结果高度匹配。</w:t>
      </w:r>
    </w:p>
    <w:p w14:paraId="7BD03936">
      <w:pPr>
        <w:numPr>
          <w:ilvl w:val="0"/>
          <w:numId w:val="0"/>
        </w:numPr>
        <w:spacing w:before="91" w:line="221" w:lineRule="auto"/>
        <w:jc w:val="both"/>
        <w:outlineLvl w:val="9"/>
        <w:rPr>
          <w:rFonts w:hint="default" w:ascii="宋体" w:hAnsi="宋体" w:eastAsia="宋体" w:cs="宋体"/>
          <w:b/>
          <w:bCs/>
          <w:spacing w:val="-6"/>
          <w:sz w:val="28"/>
          <w:szCs w:val="28"/>
          <w:lang w:val="en-US" w:eastAsia="zh-CN"/>
        </w:rPr>
      </w:pPr>
    </w:p>
    <w:p w14:paraId="368791F8">
      <w:pPr>
        <w:numPr>
          <w:ilvl w:val="0"/>
          <w:numId w:val="3"/>
        </w:numPr>
        <w:spacing w:before="91" w:line="221" w:lineRule="auto"/>
        <w:jc w:val="both"/>
        <w:outlineLvl w:val="1"/>
        <w:rPr>
          <w:rFonts w:hint="default" w:ascii="宋体" w:hAnsi="宋体" w:eastAsia="宋体" w:cs="宋体"/>
          <w:b/>
          <w:bCs/>
          <w:spacing w:val="-6"/>
          <w:sz w:val="28"/>
          <w:szCs w:val="28"/>
          <w:lang w:val="en-US" w:eastAsia="zh-CN"/>
        </w:rPr>
      </w:pPr>
      <w:bookmarkStart w:id="22" w:name="_Toc30285"/>
      <w:bookmarkStart w:id="23" w:name="_Toc32554"/>
      <w:r>
        <w:rPr>
          <w:rFonts w:hint="eastAsia" w:ascii="宋体" w:hAnsi="宋体" w:eastAsia="宋体" w:cs="宋体"/>
          <w:b/>
          <w:bCs/>
          <w:spacing w:val="-6"/>
          <w:sz w:val="28"/>
          <w:szCs w:val="28"/>
          <w:lang w:val="en-US" w:eastAsia="zh-CN"/>
        </w:rPr>
        <w:t>经费使用情况及经费安排计划</w:t>
      </w:r>
      <w:bookmarkEnd w:id="22"/>
      <w:bookmarkEnd w:id="23"/>
    </w:p>
    <w:p w14:paraId="05B9CCC9">
      <w:pPr>
        <w:numPr>
          <w:ilvl w:val="0"/>
          <w:numId w:val="0"/>
        </w:numPr>
        <w:spacing w:before="91" w:line="221" w:lineRule="auto"/>
        <w:jc w:val="both"/>
        <w:outlineLvl w:val="9"/>
        <w:rPr>
          <w:rFonts w:hint="default" w:ascii="宋体" w:hAnsi="宋体" w:eastAsia="宋体" w:cs="宋体"/>
          <w:b w:val="0"/>
          <w:bCs w:val="0"/>
          <w:spacing w:val="-6"/>
          <w:sz w:val="28"/>
          <w:szCs w:val="28"/>
          <w:lang w:val="en-US" w:eastAsia="zh-CN"/>
        </w:rPr>
      </w:pPr>
      <w:r>
        <w:rPr>
          <w:rFonts w:hint="eastAsia" w:ascii="宋体" w:hAnsi="宋体" w:eastAsia="宋体" w:cs="宋体"/>
          <w:b w:val="0"/>
          <w:bCs w:val="0"/>
          <w:spacing w:val="-6"/>
          <w:sz w:val="28"/>
          <w:szCs w:val="28"/>
          <w:lang w:val="en-US" w:eastAsia="zh-CN"/>
        </w:rPr>
        <w:t>经费总体分配：</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1705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823181B">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经费类别</w:t>
            </w:r>
          </w:p>
        </w:tc>
        <w:tc>
          <w:tcPr>
            <w:tcW w:w="2841" w:type="dxa"/>
          </w:tcPr>
          <w:p w14:paraId="32B909D2">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预算金额（元）</w:t>
            </w:r>
          </w:p>
        </w:tc>
        <w:tc>
          <w:tcPr>
            <w:tcW w:w="2841" w:type="dxa"/>
          </w:tcPr>
          <w:p w14:paraId="7F798122">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占比</w:t>
            </w:r>
          </w:p>
        </w:tc>
      </w:tr>
      <w:tr w14:paraId="56D2C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F58AFDF">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业务费</w:t>
            </w:r>
          </w:p>
        </w:tc>
        <w:tc>
          <w:tcPr>
            <w:tcW w:w="2841" w:type="dxa"/>
          </w:tcPr>
          <w:p w14:paraId="622CE2AF">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1500</w:t>
            </w:r>
          </w:p>
        </w:tc>
        <w:tc>
          <w:tcPr>
            <w:tcW w:w="2841" w:type="dxa"/>
          </w:tcPr>
          <w:p w14:paraId="18780012">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30%</w:t>
            </w:r>
          </w:p>
        </w:tc>
      </w:tr>
      <w:tr w14:paraId="2C2BF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6C6D9A8">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仪器设备购置费</w:t>
            </w:r>
          </w:p>
        </w:tc>
        <w:tc>
          <w:tcPr>
            <w:tcW w:w="2841" w:type="dxa"/>
          </w:tcPr>
          <w:p w14:paraId="10E9B650">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1000</w:t>
            </w:r>
          </w:p>
        </w:tc>
        <w:tc>
          <w:tcPr>
            <w:tcW w:w="2841" w:type="dxa"/>
          </w:tcPr>
          <w:p w14:paraId="1144B47A">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20%</w:t>
            </w:r>
          </w:p>
        </w:tc>
      </w:tr>
      <w:tr w14:paraId="15EB4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6CEE4A7">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实验装置试制费</w:t>
            </w:r>
          </w:p>
        </w:tc>
        <w:tc>
          <w:tcPr>
            <w:tcW w:w="2841" w:type="dxa"/>
          </w:tcPr>
          <w:p w14:paraId="275B1B60">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800</w:t>
            </w:r>
          </w:p>
        </w:tc>
        <w:tc>
          <w:tcPr>
            <w:tcW w:w="2841" w:type="dxa"/>
          </w:tcPr>
          <w:p w14:paraId="702F432E">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16%</w:t>
            </w:r>
          </w:p>
        </w:tc>
      </w:tr>
      <w:tr w14:paraId="0B486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9F3145A">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材料费</w:t>
            </w:r>
          </w:p>
        </w:tc>
        <w:tc>
          <w:tcPr>
            <w:tcW w:w="2841" w:type="dxa"/>
          </w:tcPr>
          <w:p w14:paraId="58C453CF">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1700</w:t>
            </w:r>
          </w:p>
        </w:tc>
        <w:tc>
          <w:tcPr>
            <w:tcW w:w="2841" w:type="dxa"/>
          </w:tcPr>
          <w:p w14:paraId="072795D1">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34%</w:t>
            </w:r>
          </w:p>
        </w:tc>
      </w:tr>
      <w:tr w14:paraId="29389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8318C36">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合计</w:t>
            </w:r>
          </w:p>
        </w:tc>
        <w:tc>
          <w:tcPr>
            <w:tcW w:w="2841" w:type="dxa"/>
          </w:tcPr>
          <w:p w14:paraId="468693CC">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5000</w:t>
            </w:r>
          </w:p>
        </w:tc>
        <w:tc>
          <w:tcPr>
            <w:tcW w:w="2841" w:type="dxa"/>
          </w:tcPr>
          <w:p w14:paraId="4213E28A">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100%</w:t>
            </w:r>
          </w:p>
        </w:tc>
      </w:tr>
    </w:tbl>
    <w:p w14:paraId="4AC7FFAF">
      <w:pPr>
        <w:numPr>
          <w:ilvl w:val="0"/>
          <w:numId w:val="0"/>
        </w:numPr>
        <w:spacing w:before="91" w:line="221" w:lineRule="auto"/>
        <w:jc w:val="both"/>
        <w:outlineLvl w:val="9"/>
        <w:rPr>
          <w:rFonts w:hint="default" w:ascii="宋体" w:hAnsi="宋体" w:eastAsia="宋体" w:cs="宋体"/>
          <w:b/>
          <w:bCs/>
          <w:spacing w:val="-6"/>
          <w:sz w:val="28"/>
          <w:szCs w:val="28"/>
          <w:lang w:val="en-US" w:eastAsia="zh-CN"/>
        </w:rPr>
      </w:pPr>
    </w:p>
    <w:p w14:paraId="65457485">
      <w:pPr>
        <w:numPr>
          <w:ilvl w:val="0"/>
          <w:numId w:val="0"/>
        </w:numPr>
        <w:spacing w:before="91" w:line="221" w:lineRule="auto"/>
        <w:jc w:val="both"/>
        <w:outlineLvl w:val="9"/>
        <w:rPr>
          <w:rFonts w:hint="eastAsia" w:ascii="宋体" w:hAnsi="宋体" w:eastAsia="宋体" w:cs="宋体"/>
          <w:b w:val="0"/>
          <w:bCs w:val="0"/>
          <w:spacing w:val="-6"/>
          <w:sz w:val="28"/>
          <w:szCs w:val="28"/>
          <w:lang w:val="en-US" w:eastAsia="zh-CN"/>
        </w:rPr>
      </w:pPr>
      <w:r>
        <w:rPr>
          <w:rFonts w:hint="eastAsia" w:ascii="宋体" w:hAnsi="宋体" w:eastAsia="宋体" w:cs="宋体"/>
          <w:b w:val="0"/>
          <w:bCs w:val="0"/>
          <w:spacing w:val="-6"/>
          <w:sz w:val="28"/>
          <w:szCs w:val="28"/>
          <w:lang w:val="en-US" w:eastAsia="zh-CN"/>
        </w:rPr>
        <w:t>截至中期的经费使用情况：</w:t>
      </w:r>
    </w:p>
    <w:tbl>
      <w:tblPr>
        <w:tblStyle w:val="10"/>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1"/>
        <w:gridCol w:w="2272"/>
        <w:gridCol w:w="2272"/>
        <w:gridCol w:w="1705"/>
      </w:tblGrid>
      <w:tr w14:paraId="755FF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vAlign w:val="top"/>
          </w:tcPr>
          <w:p w14:paraId="25503DED">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pacing w:val="-6"/>
                <w:sz w:val="28"/>
                <w:szCs w:val="28"/>
                <w:vertAlign w:val="baseline"/>
                <w:lang w:val="en-US" w:eastAsia="zh-CN"/>
              </w:rPr>
              <w:t>经费类别</w:t>
            </w:r>
          </w:p>
        </w:tc>
        <w:tc>
          <w:tcPr>
            <w:tcW w:w="1333" w:type="pct"/>
            <w:vAlign w:val="top"/>
          </w:tcPr>
          <w:p w14:paraId="24F8A662">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pacing w:val="-6"/>
                <w:sz w:val="28"/>
                <w:szCs w:val="28"/>
                <w:vertAlign w:val="baseline"/>
                <w:lang w:val="en-US" w:eastAsia="zh-CN"/>
              </w:rPr>
              <w:t>已使用金额（元）</w:t>
            </w:r>
          </w:p>
        </w:tc>
        <w:tc>
          <w:tcPr>
            <w:tcW w:w="1333" w:type="pct"/>
            <w:vAlign w:val="top"/>
          </w:tcPr>
          <w:p w14:paraId="5C57040D">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napToGrid w:val="0"/>
                <w:color w:val="000000"/>
                <w:spacing w:val="-6"/>
                <w:kern w:val="0"/>
                <w:sz w:val="28"/>
                <w:szCs w:val="28"/>
                <w:vertAlign w:val="baseline"/>
                <w:lang w:val="en-US" w:eastAsia="zh-CN" w:bidi="ar-SA"/>
              </w:rPr>
              <w:t>使用比例</w:t>
            </w:r>
          </w:p>
        </w:tc>
        <w:tc>
          <w:tcPr>
            <w:tcW w:w="1000" w:type="pct"/>
            <w:vAlign w:val="center"/>
          </w:tcPr>
          <w:p w14:paraId="209F36CD">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用途说明</w:t>
            </w:r>
          </w:p>
        </w:tc>
      </w:tr>
      <w:tr w14:paraId="7952A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vAlign w:val="top"/>
          </w:tcPr>
          <w:p w14:paraId="72143DEB">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pacing w:val="-6"/>
                <w:sz w:val="28"/>
                <w:szCs w:val="28"/>
                <w:vertAlign w:val="baseline"/>
                <w:lang w:val="en-US" w:eastAsia="zh-CN"/>
              </w:rPr>
              <w:t>业务费</w:t>
            </w:r>
          </w:p>
        </w:tc>
        <w:tc>
          <w:tcPr>
            <w:tcW w:w="1333" w:type="pct"/>
            <w:vAlign w:val="top"/>
          </w:tcPr>
          <w:p w14:paraId="46A52F4D">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pacing w:val="-6"/>
                <w:sz w:val="28"/>
                <w:szCs w:val="28"/>
                <w:vertAlign w:val="baseline"/>
                <w:lang w:val="en-US" w:eastAsia="zh-CN"/>
              </w:rPr>
              <w:t>800</w:t>
            </w:r>
          </w:p>
        </w:tc>
        <w:tc>
          <w:tcPr>
            <w:tcW w:w="1333" w:type="pct"/>
            <w:vAlign w:val="top"/>
          </w:tcPr>
          <w:p w14:paraId="5CA3CB65">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pacing w:val="-6"/>
                <w:sz w:val="28"/>
                <w:szCs w:val="28"/>
                <w:vertAlign w:val="baseline"/>
                <w:lang w:val="en-US" w:eastAsia="zh-CN"/>
              </w:rPr>
              <w:t>53%</w:t>
            </w:r>
          </w:p>
        </w:tc>
        <w:tc>
          <w:tcPr>
            <w:tcW w:w="1000" w:type="pct"/>
            <w:vAlign w:val="center"/>
          </w:tcPr>
          <w:p w14:paraId="50299364">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文献检索、资料打印、差旅调研等</w:t>
            </w:r>
          </w:p>
        </w:tc>
      </w:tr>
      <w:tr w14:paraId="4A4F9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vAlign w:val="top"/>
          </w:tcPr>
          <w:p w14:paraId="3AA8A235">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pacing w:val="-6"/>
                <w:sz w:val="28"/>
                <w:szCs w:val="28"/>
                <w:vertAlign w:val="baseline"/>
                <w:lang w:val="en-US" w:eastAsia="zh-CN"/>
              </w:rPr>
              <w:t>仪器设备购置费</w:t>
            </w:r>
          </w:p>
        </w:tc>
        <w:tc>
          <w:tcPr>
            <w:tcW w:w="1333" w:type="pct"/>
            <w:vAlign w:val="top"/>
          </w:tcPr>
          <w:p w14:paraId="272BA2B5">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napToGrid w:val="0"/>
                <w:color w:val="000000"/>
                <w:spacing w:val="-6"/>
                <w:kern w:val="0"/>
                <w:sz w:val="28"/>
                <w:szCs w:val="28"/>
                <w:vertAlign w:val="baseline"/>
                <w:lang w:val="en-US" w:eastAsia="zh-CN" w:bidi="ar-SA"/>
              </w:rPr>
              <w:t>600</w:t>
            </w:r>
          </w:p>
        </w:tc>
        <w:tc>
          <w:tcPr>
            <w:tcW w:w="1333" w:type="pct"/>
            <w:vAlign w:val="top"/>
          </w:tcPr>
          <w:p w14:paraId="1CB15632">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pacing w:val="-6"/>
                <w:sz w:val="28"/>
                <w:szCs w:val="28"/>
                <w:vertAlign w:val="baseline"/>
                <w:lang w:val="en-US" w:eastAsia="zh-CN"/>
              </w:rPr>
              <w:t>26%</w:t>
            </w:r>
          </w:p>
        </w:tc>
        <w:tc>
          <w:tcPr>
            <w:tcW w:w="1000" w:type="pct"/>
            <w:vAlign w:val="center"/>
          </w:tcPr>
          <w:p w14:paraId="354C8B3B">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小型测试设备购置</w:t>
            </w:r>
          </w:p>
        </w:tc>
      </w:tr>
      <w:tr w14:paraId="50196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vAlign w:val="top"/>
          </w:tcPr>
          <w:p w14:paraId="5E405F80">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pacing w:val="-6"/>
                <w:sz w:val="28"/>
                <w:szCs w:val="28"/>
                <w:vertAlign w:val="baseline"/>
                <w:lang w:val="en-US" w:eastAsia="zh-CN"/>
              </w:rPr>
              <w:t>实验装置试制费</w:t>
            </w:r>
          </w:p>
        </w:tc>
        <w:tc>
          <w:tcPr>
            <w:tcW w:w="1333" w:type="pct"/>
            <w:vAlign w:val="top"/>
          </w:tcPr>
          <w:p w14:paraId="6D0995C3">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pacing w:val="-6"/>
                <w:sz w:val="28"/>
                <w:szCs w:val="28"/>
                <w:vertAlign w:val="baseline"/>
                <w:lang w:val="en-US" w:eastAsia="zh-CN"/>
              </w:rPr>
              <w:t>300</w:t>
            </w:r>
          </w:p>
        </w:tc>
        <w:tc>
          <w:tcPr>
            <w:tcW w:w="1333" w:type="pct"/>
            <w:vAlign w:val="top"/>
          </w:tcPr>
          <w:p w14:paraId="5649CF90">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pacing w:val="-6"/>
                <w:sz w:val="28"/>
                <w:szCs w:val="28"/>
                <w:vertAlign w:val="baseline"/>
                <w:lang w:val="en-US" w:eastAsia="zh-CN"/>
              </w:rPr>
              <w:t>37.5%</w:t>
            </w:r>
          </w:p>
        </w:tc>
        <w:tc>
          <w:tcPr>
            <w:tcW w:w="1000" w:type="pct"/>
            <w:vAlign w:val="center"/>
          </w:tcPr>
          <w:p w14:paraId="5D268554">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初步实验装置搭建</w:t>
            </w:r>
          </w:p>
        </w:tc>
      </w:tr>
      <w:tr w14:paraId="6E420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vAlign w:val="top"/>
          </w:tcPr>
          <w:p w14:paraId="3F53F93B">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pacing w:val="-6"/>
                <w:sz w:val="28"/>
                <w:szCs w:val="28"/>
                <w:vertAlign w:val="baseline"/>
                <w:lang w:val="en-US" w:eastAsia="zh-CN"/>
              </w:rPr>
              <w:t>材料费</w:t>
            </w:r>
          </w:p>
        </w:tc>
        <w:tc>
          <w:tcPr>
            <w:tcW w:w="1333" w:type="pct"/>
            <w:vAlign w:val="top"/>
          </w:tcPr>
          <w:p w14:paraId="52790BCB">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pacing w:val="-6"/>
                <w:sz w:val="28"/>
                <w:szCs w:val="28"/>
                <w:vertAlign w:val="baseline"/>
                <w:lang w:val="en-US" w:eastAsia="zh-CN"/>
              </w:rPr>
              <w:t>900</w:t>
            </w:r>
          </w:p>
        </w:tc>
        <w:tc>
          <w:tcPr>
            <w:tcW w:w="1333" w:type="pct"/>
            <w:vAlign w:val="top"/>
          </w:tcPr>
          <w:p w14:paraId="2E989CC6">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pacing w:val="-6"/>
                <w:sz w:val="28"/>
                <w:szCs w:val="28"/>
                <w:vertAlign w:val="baseline"/>
                <w:lang w:val="en-US" w:eastAsia="zh-CN"/>
              </w:rPr>
              <w:t>53%</w:t>
            </w:r>
          </w:p>
        </w:tc>
        <w:tc>
          <w:tcPr>
            <w:tcW w:w="1000" w:type="pct"/>
            <w:vAlign w:val="center"/>
          </w:tcPr>
          <w:p w14:paraId="00CF716D">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实验耗材采购</w:t>
            </w:r>
          </w:p>
        </w:tc>
      </w:tr>
      <w:tr w14:paraId="568F6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vAlign w:val="top"/>
          </w:tcPr>
          <w:p w14:paraId="60A4C679">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pacing w:val="-6"/>
                <w:sz w:val="28"/>
                <w:szCs w:val="28"/>
                <w:vertAlign w:val="baseline"/>
                <w:lang w:val="en-US" w:eastAsia="zh-CN"/>
              </w:rPr>
              <w:t>合计</w:t>
            </w:r>
          </w:p>
        </w:tc>
        <w:tc>
          <w:tcPr>
            <w:tcW w:w="1333" w:type="pct"/>
            <w:vAlign w:val="top"/>
          </w:tcPr>
          <w:p w14:paraId="056BE264">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pacing w:val="-6"/>
                <w:sz w:val="28"/>
                <w:szCs w:val="28"/>
                <w:vertAlign w:val="baseline"/>
                <w:lang w:val="en-US" w:eastAsia="zh-CN"/>
              </w:rPr>
              <w:t>2600</w:t>
            </w:r>
          </w:p>
        </w:tc>
        <w:tc>
          <w:tcPr>
            <w:tcW w:w="1333" w:type="pct"/>
            <w:vAlign w:val="top"/>
          </w:tcPr>
          <w:p w14:paraId="7E309C24">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pacing w:val="-6"/>
                <w:sz w:val="28"/>
                <w:szCs w:val="28"/>
                <w:vertAlign w:val="baseline"/>
                <w:lang w:val="en-US" w:eastAsia="zh-CN"/>
              </w:rPr>
              <w:t>52%</w:t>
            </w:r>
          </w:p>
        </w:tc>
        <w:tc>
          <w:tcPr>
            <w:tcW w:w="1000" w:type="pct"/>
            <w:vAlign w:val="center"/>
          </w:tcPr>
          <w:p w14:paraId="3F0D89D2">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w:t>
            </w:r>
          </w:p>
        </w:tc>
      </w:tr>
    </w:tbl>
    <w:p w14:paraId="27F41AD5">
      <w:pPr>
        <w:numPr>
          <w:ilvl w:val="0"/>
          <w:numId w:val="0"/>
        </w:numPr>
        <w:spacing w:before="91" w:line="221" w:lineRule="auto"/>
        <w:jc w:val="both"/>
        <w:outlineLvl w:val="9"/>
        <w:rPr>
          <w:rFonts w:hint="eastAsia" w:ascii="宋体" w:hAnsi="宋体" w:eastAsia="宋体" w:cs="宋体"/>
          <w:b w:val="0"/>
          <w:bCs w:val="0"/>
          <w:spacing w:val="-6"/>
          <w:sz w:val="28"/>
          <w:szCs w:val="28"/>
          <w:lang w:val="en-US" w:eastAsia="zh-CN"/>
        </w:rPr>
      </w:pPr>
      <w:r>
        <w:rPr>
          <w:rFonts w:hint="eastAsia" w:ascii="宋体" w:hAnsi="宋体" w:eastAsia="宋体" w:cs="宋体"/>
          <w:b w:val="0"/>
          <w:bCs w:val="0"/>
          <w:spacing w:val="-6"/>
          <w:sz w:val="28"/>
          <w:szCs w:val="28"/>
          <w:lang w:val="en-US" w:eastAsia="zh-CN"/>
        </w:rPr>
        <w:t>剩余经费情况：</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4E73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000796E">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经费类别</w:t>
            </w:r>
          </w:p>
        </w:tc>
        <w:tc>
          <w:tcPr>
            <w:tcW w:w="4261" w:type="dxa"/>
            <w:vAlign w:val="center"/>
          </w:tcPr>
          <w:p w14:paraId="4DA49C36">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剩余金额（元）</w:t>
            </w:r>
          </w:p>
        </w:tc>
      </w:tr>
      <w:tr w14:paraId="14E16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A16567A">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业务费</w:t>
            </w:r>
          </w:p>
        </w:tc>
        <w:tc>
          <w:tcPr>
            <w:tcW w:w="4261" w:type="dxa"/>
            <w:vAlign w:val="center"/>
          </w:tcPr>
          <w:p w14:paraId="65B32F89">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700</w:t>
            </w:r>
          </w:p>
        </w:tc>
      </w:tr>
      <w:tr w14:paraId="5074B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FA91B18">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仪器设备购置费</w:t>
            </w:r>
          </w:p>
        </w:tc>
        <w:tc>
          <w:tcPr>
            <w:tcW w:w="4261" w:type="dxa"/>
            <w:vAlign w:val="center"/>
          </w:tcPr>
          <w:p w14:paraId="1DD0F1A3">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400</w:t>
            </w:r>
          </w:p>
        </w:tc>
      </w:tr>
      <w:tr w14:paraId="6847E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E110849">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实验装置试制费</w:t>
            </w:r>
          </w:p>
        </w:tc>
        <w:tc>
          <w:tcPr>
            <w:tcW w:w="4261" w:type="dxa"/>
            <w:vAlign w:val="center"/>
          </w:tcPr>
          <w:p w14:paraId="22A3772E">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500</w:t>
            </w:r>
          </w:p>
        </w:tc>
      </w:tr>
      <w:tr w14:paraId="5C2E0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8F0247B">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材料费</w:t>
            </w:r>
          </w:p>
        </w:tc>
        <w:tc>
          <w:tcPr>
            <w:tcW w:w="4261" w:type="dxa"/>
            <w:vAlign w:val="center"/>
          </w:tcPr>
          <w:p w14:paraId="3567EFFB">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800</w:t>
            </w:r>
          </w:p>
        </w:tc>
      </w:tr>
      <w:tr w14:paraId="4CD0B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F5021B8">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合计</w:t>
            </w:r>
          </w:p>
        </w:tc>
        <w:tc>
          <w:tcPr>
            <w:tcW w:w="4261" w:type="dxa"/>
            <w:vAlign w:val="center"/>
          </w:tcPr>
          <w:p w14:paraId="7FE70247">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2400</w:t>
            </w:r>
          </w:p>
        </w:tc>
      </w:tr>
    </w:tbl>
    <w:p w14:paraId="4DE50CB1">
      <w:pPr>
        <w:numPr>
          <w:ilvl w:val="0"/>
          <w:numId w:val="0"/>
        </w:numPr>
        <w:spacing w:before="91" w:line="221" w:lineRule="auto"/>
        <w:jc w:val="both"/>
        <w:outlineLvl w:val="9"/>
        <w:rPr>
          <w:rFonts w:hint="eastAsia" w:ascii="宋体" w:hAnsi="宋体" w:eastAsia="宋体" w:cs="宋体"/>
          <w:b w:val="0"/>
          <w:bCs w:val="0"/>
          <w:spacing w:val="-6"/>
          <w:sz w:val="28"/>
          <w:szCs w:val="28"/>
          <w:lang w:val="en-US" w:eastAsia="zh-CN"/>
        </w:rPr>
      </w:pPr>
      <w:r>
        <w:rPr>
          <w:rFonts w:hint="eastAsia" w:ascii="宋体" w:hAnsi="宋体" w:eastAsia="宋体" w:cs="宋体"/>
          <w:b w:val="0"/>
          <w:bCs w:val="0"/>
          <w:spacing w:val="-6"/>
          <w:sz w:val="28"/>
          <w:szCs w:val="28"/>
          <w:lang w:val="en-US" w:eastAsia="zh-CN"/>
        </w:rPr>
        <w:t>后续经费安排计划：</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878D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5AB015D8">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经费类别</w:t>
            </w:r>
          </w:p>
        </w:tc>
        <w:tc>
          <w:tcPr>
            <w:tcW w:w="1666" w:type="pct"/>
            <w:vAlign w:val="center"/>
          </w:tcPr>
          <w:p w14:paraId="623B0D6E">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计划使用金额（元）</w:t>
            </w:r>
          </w:p>
        </w:tc>
        <w:tc>
          <w:tcPr>
            <w:tcW w:w="1666" w:type="pct"/>
            <w:vAlign w:val="center"/>
          </w:tcPr>
          <w:p w14:paraId="1BC8A5DB">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主要用途</w:t>
            </w:r>
          </w:p>
        </w:tc>
      </w:tr>
      <w:tr w14:paraId="2CF95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28611728">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业务费</w:t>
            </w:r>
          </w:p>
        </w:tc>
        <w:tc>
          <w:tcPr>
            <w:tcW w:w="1666" w:type="pct"/>
            <w:vAlign w:val="center"/>
          </w:tcPr>
          <w:p w14:paraId="765363BE">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700</w:t>
            </w:r>
          </w:p>
        </w:tc>
        <w:tc>
          <w:tcPr>
            <w:tcW w:w="1666" w:type="pct"/>
            <w:vAlign w:val="center"/>
          </w:tcPr>
          <w:p w14:paraId="64ACB28F">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论文撰写、成果整理、会议交流等</w:t>
            </w:r>
          </w:p>
        </w:tc>
      </w:tr>
      <w:tr w14:paraId="0E461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3AD72669">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仪器设备购置费</w:t>
            </w:r>
          </w:p>
        </w:tc>
        <w:tc>
          <w:tcPr>
            <w:tcW w:w="1666" w:type="pct"/>
            <w:vAlign w:val="center"/>
          </w:tcPr>
          <w:p w14:paraId="715FFB8C">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400</w:t>
            </w:r>
          </w:p>
        </w:tc>
        <w:tc>
          <w:tcPr>
            <w:tcW w:w="1666" w:type="pct"/>
            <w:vAlign w:val="center"/>
          </w:tcPr>
          <w:p w14:paraId="6D9CDE0F">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补充实验设备或升级组件</w:t>
            </w:r>
          </w:p>
        </w:tc>
      </w:tr>
      <w:tr w14:paraId="74F42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5A8A3D14">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实验装置试制费</w:t>
            </w:r>
          </w:p>
        </w:tc>
        <w:tc>
          <w:tcPr>
            <w:tcW w:w="1666" w:type="pct"/>
            <w:vAlign w:val="center"/>
          </w:tcPr>
          <w:p w14:paraId="3498E585">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500</w:t>
            </w:r>
          </w:p>
        </w:tc>
        <w:tc>
          <w:tcPr>
            <w:tcW w:w="1666" w:type="pct"/>
            <w:vAlign w:val="center"/>
          </w:tcPr>
          <w:p w14:paraId="28CC9B11">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完善实验装置、优化结构</w:t>
            </w:r>
          </w:p>
        </w:tc>
      </w:tr>
      <w:tr w14:paraId="6F6AB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02A5182A">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材料费</w:t>
            </w:r>
          </w:p>
        </w:tc>
        <w:tc>
          <w:tcPr>
            <w:tcW w:w="1666" w:type="pct"/>
            <w:vAlign w:val="center"/>
          </w:tcPr>
          <w:p w14:paraId="4B8BD93A">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800</w:t>
            </w:r>
          </w:p>
        </w:tc>
        <w:tc>
          <w:tcPr>
            <w:tcW w:w="1666" w:type="pct"/>
            <w:vAlign w:val="center"/>
          </w:tcPr>
          <w:p w14:paraId="1BE25D84">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后续实验耗材采购</w:t>
            </w:r>
          </w:p>
        </w:tc>
      </w:tr>
      <w:tr w14:paraId="68CFD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1D11F7C9">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合计</w:t>
            </w:r>
          </w:p>
        </w:tc>
        <w:tc>
          <w:tcPr>
            <w:tcW w:w="1666" w:type="pct"/>
            <w:vAlign w:val="center"/>
          </w:tcPr>
          <w:p w14:paraId="033E52A2">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2400</w:t>
            </w:r>
          </w:p>
        </w:tc>
        <w:tc>
          <w:tcPr>
            <w:tcW w:w="1666" w:type="pct"/>
            <w:vAlign w:val="center"/>
          </w:tcPr>
          <w:p w14:paraId="3D5660A9">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w:t>
            </w:r>
          </w:p>
        </w:tc>
      </w:tr>
    </w:tbl>
    <w:p w14:paraId="70447892">
      <w:pPr>
        <w:numPr>
          <w:ilvl w:val="0"/>
          <w:numId w:val="0"/>
        </w:numPr>
        <w:spacing w:before="91" w:line="221" w:lineRule="auto"/>
        <w:jc w:val="both"/>
        <w:outlineLvl w:val="9"/>
        <w:rPr>
          <w:rFonts w:hint="default" w:ascii="宋体" w:hAnsi="宋体" w:eastAsia="宋体" w:cs="宋体"/>
          <w:b w:val="0"/>
          <w:bCs w:val="0"/>
          <w:spacing w:val="-6"/>
          <w:sz w:val="28"/>
          <w:szCs w:val="28"/>
          <w:lang w:val="en-US" w:eastAsia="zh-CN"/>
        </w:rPr>
      </w:pPr>
    </w:p>
    <w:p w14:paraId="3D21D61A">
      <w:pPr>
        <w:numPr>
          <w:ilvl w:val="0"/>
          <w:numId w:val="3"/>
        </w:numPr>
        <w:spacing w:before="91" w:line="221" w:lineRule="auto"/>
        <w:jc w:val="both"/>
        <w:outlineLvl w:val="1"/>
        <w:rPr>
          <w:rFonts w:hint="eastAsia" w:ascii="宋体" w:hAnsi="宋体" w:eastAsia="宋体" w:cs="宋体"/>
          <w:b/>
          <w:bCs/>
          <w:spacing w:val="-6"/>
          <w:sz w:val="28"/>
          <w:szCs w:val="28"/>
          <w:lang w:val="en-US" w:eastAsia="zh-CN"/>
        </w:rPr>
      </w:pPr>
      <w:bookmarkStart w:id="24" w:name="_Toc4464"/>
      <w:bookmarkStart w:id="25" w:name="_Toc6189"/>
      <w:r>
        <w:rPr>
          <w:rFonts w:hint="eastAsia" w:ascii="宋体" w:hAnsi="宋体" w:eastAsia="宋体" w:cs="宋体"/>
          <w:b/>
          <w:bCs/>
          <w:spacing w:val="-6"/>
          <w:sz w:val="28"/>
          <w:szCs w:val="28"/>
          <w:lang w:val="en-US" w:eastAsia="zh-CN"/>
        </w:rPr>
        <w:t>已取得成果</w:t>
      </w:r>
      <w:bookmarkEnd w:id="24"/>
      <w:bookmarkEnd w:id="25"/>
    </w:p>
    <w:p w14:paraId="3AD87CB5">
      <w:pPr>
        <w:numPr>
          <w:ilvl w:val="0"/>
          <w:numId w:val="0"/>
        </w:numPr>
        <w:spacing w:before="91" w:line="221" w:lineRule="auto"/>
        <w:jc w:val="both"/>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本项目按计划完成中期研究节点目标，核心成果如下：</w:t>
      </w:r>
    </w:p>
    <w:p w14:paraId="2608E61E">
      <w:pPr>
        <w:numPr>
          <w:ilvl w:val="0"/>
          <w:numId w:val="0"/>
        </w:numPr>
        <w:spacing w:before="91" w:line="221" w:lineRule="auto"/>
        <w:ind w:firstLine="480" w:firstLineChars="200"/>
        <w:jc w:val="both"/>
        <w:outlineLvl w:val="9"/>
        <w:rPr>
          <w:rFonts w:hint="eastAsia" w:ascii="宋体" w:hAnsi="宋体" w:eastAsia="宋体" w:cs="宋体"/>
          <w:sz w:val="24"/>
          <w:szCs w:val="24"/>
        </w:rPr>
      </w:pPr>
      <w:r>
        <w:rPr>
          <w:rFonts w:hint="eastAsia" w:ascii="宋体" w:hAnsi="宋体" w:eastAsia="宋体" w:cs="宋体"/>
          <w:sz w:val="24"/>
          <w:szCs w:val="24"/>
          <w:lang w:val="en-US" w:eastAsia="zh-CN"/>
        </w:rPr>
        <w:t>完</w:t>
      </w:r>
      <w:r>
        <w:rPr>
          <w:rFonts w:hint="eastAsia" w:ascii="宋体" w:hAnsi="宋体" w:eastAsia="宋体" w:cs="宋体"/>
          <w:sz w:val="24"/>
          <w:szCs w:val="24"/>
        </w:rPr>
        <w:t>成理论体系搭建：系统梳理极地光伏领域国内外研究现状，完成完整文献综述，明确传统模型在极地场景的核心误差来源，搭建了适配极地极端环境的光伏研究理论框架。</w:t>
      </w:r>
    </w:p>
    <w:p w14:paraId="1E357E7F">
      <w:pPr>
        <w:numPr>
          <w:ilvl w:val="0"/>
          <w:numId w:val="0"/>
        </w:numPr>
        <w:bidi w:val="0"/>
        <w:ind w:leftChars="0" w:firstLine="480" w:firstLineChars="200"/>
        <w:rPr>
          <w:rFonts w:hint="eastAsia" w:ascii="宋体" w:hAnsi="宋体" w:eastAsia="宋体" w:cs="宋体"/>
          <w:sz w:val="24"/>
          <w:szCs w:val="24"/>
        </w:rPr>
      </w:pPr>
      <w:r>
        <w:rPr>
          <w:rFonts w:hint="eastAsia" w:ascii="宋体" w:hAnsi="宋体" w:eastAsia="宋体" w:cs="宋体"/>
          <w:sz w:val="24"/>
          <w:szCs w:val="24"/>
        </w:rPr>
        <w:t>完成核心模型创新：构建改进型 Marion 极地专用积雪损失模型，完成 4 项核心优化，解决了经典模型固定参数、线性损失假设的模拟偏差；建立极地多维度修正辐照度计算模型，完成光谱反照率、入射角、低太阳高度角失真三大修正，实现极地辐照度精准计算。</w:t>
      </w:r>
    </w:p>
    <w:p w14:paraId="10D9D2A0">
      <w:pPr>
        <w:numPr>
          <w:ilvl w:val="0"/>
          <w:numId w:val="0"/>
        </w:numPr>
        <w:bidi w:val="0"/>
        <w:ind w:leftChars="0" w:firstLine="480" w:firstLineChars="200"/>
        <w:rPr>
          <w:rFonts w:hint="eastAsia" w:ascii="宋体" w:hAnsi="宋体" w:eastAsia="宋体" w:cs="宋体"/>
          <w:sz w:val="24"/>
          <w:szCs w:val="24"/>
        </w:rPr>
      </w:pPr>
      <w:r>
        <w:rPr>
          <w:rFonts w:hint="eastAsia" w:ascii="宋体" w:hAnsi="宋体" w:eastAsia="宋体" w:cs="宋体"/>
          <w:sz w:val="24"/>
          <w:szCs w:val="24"/>
        </w:rPr>
        <w:t>完成仿真系统开发与代码落地：搭建 MATLAB+Python 混合编程的雪影耦合仿真系统，复现了阴影遮挡下光伏组件电气特性；基于 Python+pvlib 完成模型全流程代码工程化，集成气象模拟、雪损计算、角度优化等全功能模块，适配南极长城站、中山站工况，具备工程化应用能力。</w:t>
      </w:r>
    </w:p>
    <w:p w14:paraId="17529F9E">
      <w:pPr>
        <w:ind w:firstLine="420" w:firstLineChars="0"/>
        <w:rPr>
          <w:rFonts w:hint="default" w:ascii="华文楷体" w:hAnsi="华文楷体" w:eastAsia="华文楷体" w:cs="华文楷体"/>
          <w:sz w:val="22"/>
          <w:szCs w:val="22"/>
          <w:lang w:val="en-US" w:eastAsia="zh-CN"/>
        </w:rPr>
      </w:pPr>
    </w:p>
    <w:p w14:paraId="3A63F9A3">
      <w:pPr>
        <w:spacing w:before="91" w:line="220" w:lineRule="auto"/>
        <w:jc w:val="both"/>
        <w:rPr>
          <w:rFonts w:hint="default" w:ascii="宋体" w:hAnsi="宋体" w:eastAsia="宋体" w:cs="宋体"/>
          <w:b/>
          <w:bCs/>
          <w:spacing w:val="-6"/>
          <w:sz w:val="28"/>
          <w:szCs w:val="28"/>
          <w:lang w:val="en-US" w:eastAsia="zh-CN"/>
        </w:rPr>
      </w:pPr>
    </w:p>
    <w:p w14:paraId="466EC95B">
      <w:pPr>
        <w:spacing w:before="91" w:line="220" w:lineRule="auto"/>
        <w:jc w:val="both"/>
        <w:rPr>
          <w:rFonts w:hint="default" w:ascii="宋体" w:hAnsi="宋体" w:eastAsia="宋体" w:cs="宋体"/>
          <w:b/>
          <w:bCs/>
          <w:spacing w:val="-6"/>
          <w:sz w:val="28"/>
          <w:szCs w:val="28"/>
          <w:lang w:val="en-US" w:eastAsia="zh-CN"/>
        </w:rPr>
      </w:pPr>
    </w:p>
    <w:p w14:paraId="32D7E1F1">
      <w:pPr>
        <w:spacing w:before="91" w:line="220" w:lineRule="auto"/>
        <w:jc w:val="both"/>
        <w:rPr>
          <w:rFonts w:hint="default" w:ascii="宋体" w:hAnsi="宋体" w:eastAsia="宋体" w:cs="宋体"/>
          <w:b/>
          <w:bCs/>
          <w:spacing w:val="-6"/>
          <w:sz w:val="28"/>
          <w:szCs w:val="28"/>
          <w:lang w:val="en-US" w:eastAsia="zh-CN"/>
        </w:rPr>
      </w:pPr>
    </w:p>
    <w:p w14:paraId="0005BA57">
      <w:pPr>
        <w:spacing w:before="91" w:line="220" w:lineRule="auto"/>
        <w:jc w:val="both"/>
        <w:rPr>
          <w:rFonts w:hint="default" w:ascii="宋体" w:hAnsi="宋体" w:eastAsia="宋体" w:cs="宋体"/>
          <w:b/>
          <w:bCs/>
          <w:spacing w:val="-6"/>
          <w:sz w:val="28"/>
          <w:szCs w:val="28"/>
          <w:lang w:val="en-US" w:eastAsia="zh-CN"/>
        </w:rPr>
      </w:pPr>
    </w:p>
    <w:p w14:paraId="15BC1EA9">
      <w:pPr>
        <w:numPr>
          <w:ilvl w:val="0"/>
          <w:numId w:val="5"/>
        </w:numPr>
        <w:spacing w:before="91" w:line="221" w:lineRule="auto"/>
        <w:jc w:val="center"/>
        <w:outlineLvl w:val="0"/>
        <w:rPr>
          <w:rFonts w:hint="eastAsia" w:ascii="宋体" w:hAnsi="宋体" w:eastAsia="宋体" w:cs="宋体"/>
          <w:b/>
          <w:bCs/>
          <w:snapToGrid w:val="0"/>
          <w:color w:val="000000"/>
          <w:spacing w:val="-7"/>
          <w:kern w:val="0"/>
          <w:sz w:val="32"/>
          <w:szCs w:val="32"/>
          <w:lang w:val="en-US" w:eastAsia="zh-CN" w:bidi="ar-SA"/>
        </w:rPr>
      </w:pPr>
      <w:bookmarkStart w:id="26" w:name="_Toc7621"/>
      <w:bookmarkStart w:id="27" w:name="_Toc24526"/>
      <w:r>
        <w:rPr>
          <w:rFonts w:hint="eastAsia" w:ascii="宋体" w:hAnsi="宋体" w:eastAsia="宋体" w:cs="宋体"/>
          <w:b/>
          <w:bCs/>
          <w:snapToGrid w:val="0"/>
          <w:color w:val="000000"/>
          <w:spacing w:val="-7"/>
          <w:kern w:val="0"/>
          <w:sz w:val="32"/>
          <w:szCs w:val="32"/>
          <w:lang w:val="en-US" w:eastAsia="zh-CN" w:bidi="ar-SA"/>
        </w:rPr>
        <w:t>项目今后计划</w:t>
      </w:r>
      <w:bookmarkEnd w:id="26"/>
      <w:bookmarkEnd w:id="27"/>
    </w:p>
    <w:p w14:paraId="3B65C360">
      <w:pPr>
        <w:bidi w:val="0"/>
        <w:outlineLvl w:val="2"/>
        <w:rPr>
          <w:b/>
          <w:bCs/>
          <w:sz w:val="28"/>
          <w:szCs w:val="28"/>
        </w:rPr>
      </w:pPr>
      <w:bookmarkStart w:id="28" w:name="_Toc7785"/>
      <w:bookmarkStart w:id="29" w:name="_Toc18592"/>
      <w:r>
        <w:rPr>
          <w:rFonts w:hint="eastAsia" w:eastAsia="宋体"/>
          <w:b/>
          <w:bCs/>
          <w:sz w:val="28"/>
          <w:szCs w:val="28"/>
          <w:lang w:val="en-US" w:eastAsia="zh-CN"/>
        </w:rPr>
        <w:t>1</w:t>
      </w:r>
      <w:r>
        <w:rPr>
          <w:b/>
          <w:bCs/>
          <w:sz w:val="28"/>
          <w:szCs w:val="28"/>
        </w:rPr>
        <w:t>、模型深度优化与多算法全链路整合阶段</w:t>
      </w:r>
      <w:bookmarkEnd w:id="28"/>
      <w:bookmarkEnd w:id="29"/>
    </w:p>
    <w:p w14:paraId="121976D5">
      <w:pPr>
        <w:bidi w:val="0"/>
        <w:rPr>
          <w:b/>
          <w:bCs/>
          <w:sz w:val="28"/>
          <w:szCs w:val="28"/>
        </w:rPr>
      </w:pPr>
      <w:r>
        <w:rPr>
          <w:b/>
          <w:bCs/>
          <w:sz w:val="28"/>
          <w:szCs w:val="28"/>
        </w:rPr>
        <w:t>辐照度模型与雪损模型的深度耦合优化</w:t>
      </w:r>
    </w:p>
    <w:p w14:paraId="357EC052">
      <w:pPr>
        <w:numPr>
          <w:ilvl w:val="0"/>
          <w:numId w:val="0"/>
        </w:numPr>
        <w:bidi w:val="0"/>
        <w:ind w:leftChars="0" w:firstLine="480" w:firstLineChars="200"/>
        <w:rPr>
          <w:rFonts w:hint="eastAsia" w:ascii="宋体" w:hAnsi="宋体" w:eastAsia="宋体" w:cs="宋体"/>
          <w:sz w:val="24"/>
          <w:szCs w:val="24"/>
        </w:rPr>
      </w:pPr>
      <w:r>
        <w:rPr>
          <w:rFonts w:hint="eastAsia" w:ascii="宋体" w:hAnsi="宋体" w:eastAsia="宋体" w:cs="宋体"/>
          <w:sz w:val="24"/>
          <w:szCs w:val="24"/>
        </w:rPr>
        <w:t>将已完成的改进型 Marion 雪损模型、光伏雪影仿真系统，与优化后的极地辐照度计算模型进行全链路整合。重点实现积雪物理特性（透光率、粘附系数、有效覆盖率）与辐照度计算的逐小时实时联动，完成积雪覆盖状态下光伏组件有效辐照度的求解；补充阵列自遮挡修正模块，针对南极低太阳高度角下光伏阵列的地面阴影遮挡问题，开发反射辐照度的几何折减算法，解决现有模型中地面反射辐照度高估的问题。</w:t>
      </w:r>
    </w:p>
    <w:p w14:paraId="554CFDB0">
      <w:pPr>
        <w:bidi w:val="0"/>
        <w:rPr>
          <w:b/>
          <w:bCs/>
          <w:sz w:val="28"/>
          <w:szCs w:val="28"/>
        </w:rPr>
      </w:pPr>
      <w:r>
        <w:rPr>
          <w:b/>
          <w:bCs/>
          <w:sz w:val="28"/>
          <w:szCs w:val="28"/>
        </w:rPr>
        <w:t>光伏阵列的阴影遮挡模型优化</w:t>
      </w:r>
    </w:p>
    <w:p w14:paraId="52DCECAE">
      <w:pPr>
        <w:bidi w:val="0"/>
        <w:rPr>
          <w:sz w:val="22"/>
          <w:szCs w:val="22"/>
        </w:rPr>
      </w:pPr>
      <w:r>
        <w:rPr>
          <w:sz w:val="22"/>
          <w:szCs w:val="22"/>
        </w:rPr>
        <w:t>基于既定的棱柱形组件组合设计方向，针对现有模型中阵列自遮挡计算精度不足的问题，完成阴影遮挡模型开发。重点优化多棱柱阵列间的几何阴影计算算法，实现不同太阳高度角、方位角下阵列间遮挡比例的精准求解；量化不同面数、不同间距的棱柱形阵列的阴影遮挡损失，完善适配棱柱形光伏组合的辐照度计算算法，为阵列布局优化提供精准的理论支撑。</w:t>
      </w:r>
    </w:p>
    <w:p w14:paraId="0FD2D006">
      <w:pPr>
        <w:bidi w:val="0"/>
        <w:rPr>
          <w:b/>
          <w:bCs/>
          <w:sz w:val="28"/>
          <w:szCs w:val="28"/>
        </w:rPr>
      </w:pPr>
      <w:r>
        <w:rPr>
          <w:b/>
          <w:bCs/>
          <w:sz w:val="28"/>
          <w:szCs w:val="28"/>
        </w:rPr>
        <w:t>光伏 - 储能协同方案设计</w:t>
      </w:r>
    </w:p>
    <w:p w14:paraId="65AAA77A">
      <w:pPr>
        <w:bidi w:val="0"/>
        <w:rPr>
          <w:sz w:val="22"/>
          <w:szCs w:val="22"/>
        </w:rPr>
      </w:pPr>
      <w:r>
        <w:rPr>
          <w:sz w:val="22"/>
          <w:szCs w:val="22"/>
        </w:rPr>
        <w:t>结合南极科考站逐时能耗需求特性，开发光伏发电出力与储能系统容量配置、充放电策略的协同优化算法，建立 “全年发电量最大化 - 储能系统成本最小化” 的多目标优化模型，填补前期研究中发电与储能系统缺乏系统性整合的空白，形成适配极地场景的光储一体化设计方案。</w:t>
      </w:r>
    </w:p>
    <w:p w14:paraId="622E74E0">
      <w:pPr>
        <w:bidi w:val="0"/>
        <w:outlineLvl w:val="2"/>
        <w:rPr>
          <w:b/>
          <w:bCs/>
          <w:sz w:val="28"/>
          <w:szCs w:val="28"/>
        </w:rPr>
      </w:pPr>
      <w:bookmarkStart w:id="30" w:name="_Toc26369"/>
      <w:bookmarkStart w:id="31" w:name="_Toc28648"/>
      <w:r>
        <w:rPr>
          <w:rFonts w:hint="eastAsia" w:eastAsia="宋体"/>
          <w:b/>
          <w:bCs/>
          <w:sz w:val="28"/>
          <w:szCs w:val="28"/>
          <w:lang w:val="en-US" w:eastAsia="zh-CN"/>
        </w:rPr>
        <w:t>2</w:t>
      </w:r>
      <w:r>
        <w:rPr>
          <w:b/>
          <w:bCs/>
          <w:sz w:val="28"/>
          <w:szCs w:val="28"/>
        </w:rPr>
        <w:t>、仿真验证与实物实验测试阶段</w:t>
      </w:r>
      <w:bookmarkEnd w:id="30"/>
      <w:bookmarkEnd w:id="31"/>
    </w:p>
    <w:p w14:paraId="160D4698">
      <w:pPr>
        <w:bidi w:val="0"/>
        <w:rPr>
          <w:b/>
          <w:bCs/>
          <w:sz w:val="28"/>
          <w:szCs w:val="28"/>
        </w:rPr>
      </w:pPr>
      <w:r>
        <w:rPr>
          <w:b/>
          <w:bCs/>
          <w:sz w:val="28"/>
          <w:szCs w:val="28"/>
        </w:rPr>
        <w:t>全场景仿真验证与参数敏感性分析</w:t>
      </w:r>
    </w:p>
    <w:p w14:paraId="5C5AA2F5">
      <w:pPr>
        <w:bidi w:val="0"/>
        <w:rPr>
          <w:sz w:val="22"/>
          <w:szCs w:val="22"/>
        </w:rPr>
      </w:pPr>
      <w:r>
        <w:rPr>
          <w:sz w:val="22"/>
          <w:szCs w:val="22"/>
        </w:rPr>
        <w:t>基于 MATLAB 搭建完整的极地光伏系统仿真平台，完成不同组件安装角度、棱柱形阵列组合、积雪覆盖场景下的全年发电过程仿真；开展参数敏感性分析，量化太阳高度角、积雪深度、组件倾角、雪地反照率等关键参数对发电量的影响程度，锁定核心优化参数，验证模型的稳定性与计算准确性。</w:t>
      </w:r>
    </w:p>
    <w:p w14:paraId="0A9F973D">
      <w:pPr>
        <w:bidi w:val="0"/>
        <w:rPr>
          <w:b/>
          <w:bCs/>
          <w:sz w:val="28"/>
          <w:szCs w:val="28"/>
        </w:rPr>
      </w:pPr>
      <w:r>
        <w:rPr>
          <w:b/>
          <w:bCs/>
          <w:sz w:val="28"/>
          <w:szCs w:val="28"/>
        </w:rPr>
        <w:t>小型实物实验系统搭建与测试</w:t>
      </w:r>
    </w:p>
    <w:p w14:paraId="109BB252">
      <w:pPr>
        <w:bidi w:val="0"/>
        <w:rPr>
          <w:sz w:val="22"/>
          <w:szCs w:val="22"/>
        </w:rPr>
      </w:pPr>
      <w:r>
        <w:rPr>
          <w:sz w:val="22"/>
          <w:szCs w:val="22"/>
        </w:rPr>
        <w:t>利用实验室现有光伏组件、数据采集设备与环境模拟装置，搭建小型极地光伏模拟实验系统。重点完成不同倾角、不同排布方式下光伏组件的发电量实测，模拟积雪覆盖场景下的功率输出特性测试，采集实测 I-V/P-V 特性曲线，与仿真模型输出结果进行对比分析，修正模型中的经验参数与理论偏差，进一步提升模型的工程适配性。</w:t>
      </w:r>
    </w:p>
    <w:p w14:paraId="7B3A12E2">
      <w:pPr>
        <w:bidi w:val="0"/>
        <w:rPr>
          <w:b/>
          <w:bCs/>
          <w:sz w:val="28"/>
          <w:szCs w:val="28"/>
        </w:rPr>
      </w:pPr>
      <w:r>
        <w:rPr>
          <w:b/>
          <w:bCs/>
          <w:sz w:val="28"/>
          <w:szCs w:val="28"/>
        </w:rPr>
        <w:t>最优方案的工程化设计</w:t>
      </w:r>
    </w:p>
    <w:p w14:paraId="3774EDFD">
      <w:pPr>
        <w:bidi w:val="0"/>
        <w:rPr>
          <w:sz w:val="22"/>
          <w:szCs w:val="22"/>
        </w:rPr>
      </w:pPr>
      <w:r>
        <w:rPr>
          <w:sz w:val="22"/>
          <w:szCs w:val="22"/>
        </w:rPr>
        <w:t>结合仿真与实验测试结果，最终确定适配南极极端环境的光伏组件最优安装角度、棱柱形阵列组合方式、组件排布方案，完成光伏组合阵列发电系统的工程化设计，形成包含组件选型、安装参数、结构设计、光储匹配的完整工程解决方案，确保方案具备南极现场可实施性。</w:t>
      </w:r>
    </w:p>
    <w:p w14:paraId="63A022EC">
      <w:pPr>
        <w:rPr>
          <w:sz w:val="22"/>
          <w:szCs w:val="22"/>
        </w:rPr>
      </w:pPr>
    </w:p>
    <w:sdt>
      <w:sdtPr>
        <w:rPr>
          <w:rFonts w:ascii="宋体" w:hAnsi="宋体" w:eastAsia="宋体" w:cs="Arial"/>
          <w:snapToGrid w:val="0"/>
          <w:color w:val="000000"/>
          <w:kern w:val="0"/>
          <w:sz w:val="22"/>
          <w:szCs w:val="22"/>
          <w:lang w:val="en-US" w:eastAsia="en-US" w:bidi="ar-SA"/>
        </w:rPr>
        <w:id w:val="147465207"/>
        <w15:color w:val="DBDBDB"/>
        <w:docPartObj>
          <w:docPartGallery w:val="Table of Contents"/>
          <w:docPartUnique/>
        </w:docPartObj>
      </w:sdtPr>
      <w:sdtEndPr>
        <w:rPr>
          <w:rFonts w:hint="default" w:ascii="宋体" w:hAnsi="宋体" w:eastAsia="宋体" w:cs="宋体"/>
          <w:bCs/>
          <w:snapToGrid w:val="0"/>
          <w:color w:val="000000"/>
          <w:spacing w:val="-6"/>
          <w:kern w:val="0"/>
          <w:sz w:val="21"/>
          <w:szCs w:val="28"/>
          <w:lang w:val="en-US" w:eastAsia="zh-CN" w:bidi="ar-SA"/>
        </w:rPr>
      </w:sdtEndPr>
      <w:sdtContent>
        <w:p w14:paraId="27DC8FF0">
          <w:pPr>
            <w:spacing w:before="91" w:line="220" w:lineRule="auto"/>
            <w:jc w:val="both"/>
            <w:rPr>
              <w:rFonts w:hint="default" w:ascii="宋体" w:hAnsi="宋体" w:eastAsia="宋体" w:cs="宋体"/>
              <w:b/>
              <w:bCs/>
              <w:spacing w:val="-6"/>
              <w:sz w:val="28"/>
              <w:szCs w:val="28"/>
              <w:lang w:val="en-US" w:eastAsia="zh-CN"/>
            </w:rPr>
          </w:pPr>
        </w:p>
      </w:sdtContent>
    </w:sdt>
    <w:p w14:paraId="16839027">
      <w:pPr>
        <w:spacing w:before="91" w:line="220" w:lineRule="auto"/>
        <w:jc w:val="both"/>
        <w:rPr>
          <w:rFonts w:hint="default" w:ascii="宋体" w:hAnsi="宋体" w:eastAsia="宋体" w:cs="宋体"/>
          <w:b/>
          <w:bCs/>
          <w:spacing w:val="-6"/>
          <w:sz w:val="28"/>
          <w:szCs w:val="28"/>
          <w:lang w:val="en-US" w:eastAsia="zh-CN"/>
        </w:rPr>
      </w:pPr>
    </w:p>
    <w:p w14:paraId="597A81C0">
      <w:pPr>
        <w:spacing w:before="91" w:line="220" w:lineRule="auto"/>
        <w:jc w:val="both"/>
        <w:rPr>
          <w:rFonts w:hint="default" w:ascii="宋体" w:hAnsi="宋体" w:eastAsia="宋体" w:cs="宋体"/>
          <w:b/>
          <w:bCs/>
          <w:spacing w:val="-6"/>
          <w:sz w:val="28"/>
          <w:szCs w:val="28"/>
          <w:lang w:val="en-US" w:eastAsia="zh-CN"/>
        </w:rPr>
      </w:pPr>
    </w:p>
    <w:p w14:paraId="4296A529">
      <w:pPr>
        <w:spacing w:before="91" w:line="220" w:lineRule="auto"/>
        <w:jc w:val="both"/>
        <w:rPr>
          <w:rFonts w:hint="default" w:ascii="宋体" w:hAnsi="宋体" w:eastAsia="宋体" w:cs="宋体"/>
          <w:b/>
          <w:bCs/>
          <w:spacing w:val="-6"/>
          <w:sz w:val="28"/>
          <w:szCs w:val="28"/>
          <w:lang w:val="en-US" w:eastAsia="zh-CN"/>
        </w:rPr>
      </w:pPr>
    </w:p>
    <w:p w14:paraId="171E2B4C">
      <w:pPr>
        <w:spacing w:before="91" w:line="220" w:lineRule="auto"/>
        <w:jc w:val="both"/>
        <w:rPr>
          <w:rFonts w:hint="default" w:ascii="宋体" w:hAnsi="宋体" w:eastAsia="宋体" w:cs="宋体"/>
          <w:b/>
          <w:bCs/>
          <w:spacing w:val="-6"/>
          <w:sz w:val="28"/>
          <w:szCs w:val="28"/>
          <w:lang w:val="en-US" w:eastAsia="zh-CN"/>
        </w:rPr>
      </w:pPr>
    </w:p>
    <w:p w14:paraId="4E3AD520">
      <w:pPr>
        <w:spacing w:before="91" w:line="220" w:lineRule="auto"/>
        <w:jc w:val="both"/>
        <w:rPr>
          <w:rFonts w:hint="default" w:ascii="宋体" w:hAnsi="宋体" w:eastAsia="宋体" w:cs="宋体"/>
          <w:b/>
          <w:bCs/>
          <w:spacing w:val="-6"/>
          <w:sz w:val="28"/>
          <w:szCs w:val="28"/>
          <w:lang w:val="en-US" w:eastAsia="zh-CN"/>
        </w:rPr>
      </w:pPr>
    </w:p>
    <w:p w14:paraId="430BF8DE">
      <w:pPr>
        <w:spacing w:before="91" w:line="220" w:lineRule="auto"/>
        <w:jc w:val="both"/>
        <w:rPr>
          <w:rFonts w:hint="default" w:ascii="宋体" w:hAnsi="宋体" w:eastAsia="宋体" w:cs="宋体"/>
          <w:b/>
          <w:bCs/>
          <w:spacing w:val="-6"/>
          <w:sz w:val="28"/>
          <w:szCs w:val="28"/>
          <w:lang w:val="en-US" w:eastAsia="zh-CN"/>
        </w:rPr>
      </w:pPr>
    </w:p>
    <w:p w14:paraId="698A4D66">
      <w:pPr>
        <w:spacing w:before="91" w:line="220" w:lineRule="auto"/>
        <w:jc w:val="both"/>
        <w:rPr>
          <w:rFonts w:hint="default" w:ascii="宋体" w:hAnsi="宋体" w:eastAsia="宋体" w:cs="宋体"/>
          <w:b/>
          <w:bCs/>
          <w:spacing w:val="-6"/>
          <w:sz w:val="28"/>
          <w:szCs w:val="28"/>
          <w:lang w:val="en-US" w:eastAsia="zh-CN"/>
        </w:rPr>
      </w:pPr>
    </w:p>
    <w:p w14:paraId="28D650E8">
      <w:pPr>
        <w:spacing w:before="91" w:line="220" w:lineRule="auto"/>
        <w:jc w:val="both"/>
        <w:rPr>
          <w:rFonts w:hint="default" w:ascii="宋体" w:hAnsi="宋体" w:eastAsia="宋体" w:cs="宋体"/>
          <w:b/>
          <w:bCs/>
          <w:spacing w:val="-6"/>
          <w:sz w:val="28"/>
          <w:szCs w:val="28"/>
          <w:lang w:val="en-US" w:eastAsia="zh-CN"/>
        </w:rPr>
      </w:pPr>
    </w:p>
    <w:p w14:paraId="29048876">
      <w:pPr>
        <w:spacing w:before="91" w:line="220" w:lineRule="auto"/>
        <w:jc w:val="both"/>
        <w:rPr>
          <w:rFonts w:hint="default" w:ascii="宋体" w:hAnsi="宋体" w:eastAsia="宋体" w:cs="宋体"/>
          <w:b/>
          <w:bCs/>
          <w:spacing w:val="-6"/>
          <w:sz w:val="28"/>
          <w:szCs w:val="28"/>
          <w:lang w:val="en-US" w:eastAsia="zh-CN"/>
        </w:rPr>
      </w:pPr>
    </w:p>
    <w:p w14:paraId="13D3168A">
      <w:pPr>
        <w:spacing w:before="91" w:line="220" w:lineRule="auto"/>
        <w:jc w:val="both"/>
        <w:rPr>
          <w:rFonts w:hint="default" w:ascii="宋体" w:hAnsi="宋体" w:eastAsia="宋体" w:cs="宋体"/>
          <w:b/>
          <w:bCs/>
          <w:spacing w:val="-6"/>
          <w:sz w:val="28"/>
          <w:szCs w:val="28"/>
          <w:lang w:val="en-US" w:eastAsia="zh-CN"/>
        </w:rPr>
      </w:pPr>
    </w:p>
    <w:p w14:paraId="0DE2D019">
      <w:pPr>
        <w:spacing w:before="91" w:line="220" w:lineRule="auto"/>
        <w:jc w:val="both"/>
        <w:rPr>
          <w:rFonts w:hint="default" w:ascii="宋体" w:hAnsi="宋体" w:eastAsia="宋体" w:cs="宋体"/>
          <w:b/>
          <w:bCs/>
          <w:spacing w:val="-6"/>
          <w:sz w:val="28"/>
          <w:szCs w:val="28"/>
          <w:lang w:val="en-US" w:eastAsia="zh-CN"/>
        </w:rPr>
      </w:pPr>
    </w:p>
    <w:p w14:paraId="6B90D755">
      <w:pPr>
        <w:spacing w:before="91" w:line="220" w:lineRule="auto"/>
        <w:jc w:val="both"/>
        <w:rPr>
          <w:rFonts w:hint="default" w:ascii="宋体" w:hAnsi="宋体" w:eastAsia="宋体" w:cs="宋体"/>
          <w:b/>
          <w:bCs/>
          <w:spacing w:val="-6"/>
          <w:sz w:val="28"/>
          <w:szCs w:val="28"/>
          <w:lang w:val="en-US" w:eastAsia="zh-CN"/>
        </w:rPr>
      </w:pPr>
    </w:p>
    <w:p w14:paraId="1EA488D4">
      <w:pPr>
        <w:spacing w:before="91" w:line="220" w:lineRule="auto"/>
        <w:jc w:val="center"/>
        <w:outlineLvl w:val="0"/>
        <w:rPr>
          <w:rFonts w:ascii="宋体" w:hAnsi="宋体" w:eastAsia="宋体" w:cs="宋体"/>
          <w:b/>
          <w:bCs/>
          <w:spacing w:val="-6"/>
          <w:sz w:val="28"/>
          <w:szCs w:val="28"/>
        </w:rPr>
      </w:pPr>
      <w:bookmarkStart w:id="32" w:name="_Toc14195"/>
      <w:bookmarkStart w:id="33" w:name="_Toc27254"/>
      <w:r>
        <w:rPr>
          <w:rFonts w:hint="default" w:ascii="宋体" w:hAnsi="宋体" w:eastAsia="宋体" w:cs="宋体"/>
          <w:b/>
          <w:bCs/>
          <w:spacing w:val="-6"/>
          <w:sz w:val="32"/>
          <w:szCs w:val="32"/>
          <w:lang w:val="en-US" w:eastAsia="zh-CN"/>
        </w:rPr>
        <w:t>参考文献</w:t>
      </w:r>
      <w:bookmarkEnd w:id="32"/>
      <w:bookmarkEnd w:id="33"/>
    </w:p>
    <w:p w14:paraId="14429024">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Blakesley, James C., George Koutsourakis, Daniel E. Parsons, Natalie A. Mica, Suhas Balasubramanyam, and Mark G. Russell. "Sourcing Albedo Data for Bifacial PV Systems in Complex Landscapes." Solar Energy 266 (2023): 112144.,,.</w:t>
      </w:r>
    </w:p>
    <w:p w14:paraId="12AC2B7E">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Dimd, Berhane Darsene, Alfredo Sanchez Garcia, and Martin Bellmann. "Empirical Analysis of Bifacial Photovoltaic Modules in High-Latitude Regions: Performance Insights from a Field Laboratory in Norway." Energy Conversion and Management 325 (2025): 119396.,,.</w:t>
      </w:r>
    </w:p>
    <w:p w14:paraId="772C0D6D">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Hayibo, Koami Soulemane, Aliaksei Petsiuk, Pierce Mayville, Laura Brown, and Joshua M. Pearce. "Monofacial vs Bifacial Solar Photovoltaic Systems in Snowy Environments." Renewable Energy 193 (2022): 657–68.,,.</w:t>
      </w:r>
    </w:p>
    <w:p w14:paraId="45BCFD26">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Øgaard, Mari B., Bjørn L. Aarseth, Åsmund F. Skomedal, Heine N. Riise, Sabrina Sartori, and Josefine H. Selj. "Identifying Snow in Photovoltaic Monitoring Data for Improved Snow Loss Modeling and Snow Detection." Solar Energy 223 (2021): 238–47.,,.</w:t>
      </w:r>
    </w:p>
    <w:p w14:paraId="6E6A336C">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Riedel-Lyngskær, Nicholas, Martynas Ribaconka, Mário Pó, Anders Thorseth, Sune Thorsteinsson, Carsten Dam-Hansen, and Michael L. Jakobsen. "The Effect of Spectral Albedo in Bifacial Photovoltaic Performance." Solar Energy 231 (2022): 921–35.,,.</w:t>
      </w:r>
    </w:p>
    <w:p w14:paraId="25EC8A10">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spacing w:val="0"/>
          <w:sz w:val="21"/>
          <w:szCs w:val="21"/>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Zhang, Xinyi, and Mohamad T. Araji. "Snow Loss Modeling for Solar Modules Using Image Processing and Deep Learning." </w:t>
      </w:r>
      <w:r>
        <w:rPr>
          <w:rFonts w:hint="eastAsia" w:ascii="方正公文楷体" w:hAnsi="方正公文楷体" w:eastAsia="方正公文楷体" w:cs="方正公文楷体"/>
          <w:caps w:val="0"/>
          <w:color w:val="303030"/>
          <w:spacing w:val="0"/>
          <w:sz w:val="21"/>
          <w:szCs w:val="21"/>
          <w:shd w:val="clear" w:fill="FFFFFF"/>
        </w:rPr>
        <w:t>Sustainable Energy, Grids and Networks</w:t>
      </w:r>
      <w:r>
        <w:rPr>
          <w:rFonts w:hint="eastAsia" w:ascii="方正公文楷体" w:hAnsi="方正公文楷体" w:eastAsia="方正公文楷体" w:cs="方正公文楷体"/>
          <w:i w:val="0"/>
          <w:iCs w:val="0"/>
          <w:caps w:val="0"/>
          <w:color w:val="303030"/>
          <w:spacing w:val="0"/>
          <w:sz w:val="21"/>
          <w:szCs w:val="21"/>
          <w:shd w:val="clear" w:fill="FFFFFF"/>
        </w:rPr>
        <w:t xml:space="preserve"> 34 (2023): 101036.,,.</w:t>
      </w:r>
    </w:p>
    <w:p w14:paraId="5F3A1EEC">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Ziar H. A global statistical assessment of designing silicon-based solar cells for geographical markets[J]. Joule, 2024, 8: 1667-1690. https://doi.org/10.1016/j.joule.2024.02.023</w:t>
      </w:r>
    </w:p>
    <w:p w14:paraId="27D31152">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Zhang X, Li J, Wang Y, et al. Defect passivation in tin-lead perovskite solar cells for improved open-circuit voltage[J]. Scientific Reports, 2020, 10: 65437. https://doi.org/10.1038/s41598-020-65437-8</w:t>
      </w:r>
    </w:p>
    <w:p w14:paraId="41611DE8">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Liu H, Chen C, Zhang Q, et al. Surface ligand engineering of CsPbI₃ quantum dots for enhanced photostability[J]. Scientific Reports, 2020, 10: 70235. https://doi.org/10.1038/s41598-020-70235-3</w:t>
      </w:r>
    </w:p>
    <w:p w14:paraId="5B43B494">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Wang L, Zhao Y, Li H, et al. Non-fullerene acceptors for high-efficiency organic photovoltaics[J]. Scientific Reports, 2024, 14: 68531. https://doi.org/10.1038/s41598-024-68531-3</w:t>
      </w:r>
    </w:p>
    <w:p w14:paraId="73109250">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Chen J, Yang X, Zhang L, et al. Thermal performance of BIPV facades in hot-summer and cold-winter regions[J]. Scientific Reports, 2025, 15: 6830. https://doi.org/10.1038/s41598-025-06830-z</w:t>
      </w:r>
    </w:p>
    <w:p w14:paraId="6354E8DF">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Li C, Wang H, Liu J, et al. Salt corrosion resistance of floating PV modules[J]. Scientific Reports, 2025, 15: 87625. https://doi.org/10.1038/s41598-025-87625-0</w:t>
      </w:r>
    </w:p>
    <w:p w14:paraId="5B355455">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Zhao W, Zhang M, Li D, et al. Thin silicon wafers (≤100μm) for cost-effective photovoltaics[J]. Scientific Reports, 2025, 15: 91044. https://doi.org/10.1038/s41598-025-91044-6</w:t>
      </w:r>
    </w:p>
    <w:p w14:paraId="53DA6AD1">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Hu Y, Chen G, Wang Z, et al. Reducing reabsorption loss in quantum dot-based luminescent solar concentrators[J]. Scientific Reports, 2025, 15: 94106. </w:t>
      </w:r>
      <w:r>
        <w:rPr>
          <w:rFonts w:hint="eastAsia" w:ascii="方正公文楷体" w:hAnsi="方正公文楷体" w:eastAsia="方正公文楷体" w:cs="方正公文楷体"/>
          <w:i w:val="0"/>
          <w:iCs w:val="0"/>
          <w:caps w:val="0"/>
          <w:color w:val="303030"/>
          <w:spacing w:val="0"/>
          <w:sz w:val="21"/>
          <w:szCs w:val="21"/>
          <w:shd w:val="clear" w:fill="FFFFFF"/>
        </w:rPr>
        <w:fldChar w:fldCharType="begin"/>
      </w:r>
      <w:r>
        <w:rPr>
          <w:rFonts w:hint="eastAsia" w:ascii="方正公文楷体" w:hAnsi="方正公文楷体" w:eastAsia="方正公文楷体" w:cs="方正公文楷体"/>
          <w:i w:val="0"/>
          <w:iCs w:val="0"/>
          <w:caps w:val="0"/>
          <w:color w:val="303030"/>
          <w:spacing w:val="0"/>
          <w:sz w:val="21"/>
          <w:szCs w:val="21"/>
          <w:shd w:val="clear" w:fill="FFFFFF"/>
        </w:rPr>
        <w:instrText xml:space="preserve"> HYPERLINK "https://doi.org/10.1038/s41598-025-94106-x" </w:instrText>
      </w:r>
      <w:r>
        <w:rPr>
          <w:rFonts w:hint="eastAsia" w:ascii="方正公文楷体" w:hAnsi="方正公文楷体" w:eastAsia="方正公文楷体" w:cs="方正公文楷体"/>
          <w:i w:val="0"/>
          <w:iCs w:val="0"/>
          <w:caps w:val="0"/>
          <w:color w:val="303030"/>
          <w:spacing w:val="0"/>
          <w:sz w:val="21"/>
          <w:szCs w:val="21"/>
          <w:shd w:val="clear" w:fill="FFFFFF"/>
        </w:rPr>
        <w:fldChar w:fldCharType="separate"/>
      </w:r>
      <w:r>
        <w:rPr>
          <w:rStyle w:val="13"/>
          <w:rFonts w:hint="eastAsia" w:ascii="方正公文楷体" w:hAnsi="方正公文楷体" w:eastAsia="方正公文楷体" w:cs="方正公文楷体"/>
          <w:i w:val="0"/>
          <w:iCs w:val="0"/>
          <w:caps w:val="0"/>
          <w:color w:val="303030"/>
          <w:spacing w:val="0"/>
          <w:sz w:val="21"/>
          <w:szCs w:val="21"/>
          <w:shd w:val="clear" w:fill="FFFFFF"/>
        </w:rPr>
        <w:t>https://doi.org/10.1038/s41598-025-94106-x</w:t>
      </w:r>
      <w:r>
        <w:rPr>
          <w:rFonts w:hint="eastAsia" w:ascii="方正公文楷体" w:hAnsi="方正公文楷体" w:eastAsia="方正公文楷体" w:cs="方正公文楷体"/>
          <w:i w:val="0"/>
          <w:iCs w:val="0"/>
          <w:caps w:val="0"/>
          <w:color w:val="303030"/>
          <w:spacing w:val="0"/>
          <w:sz w:val="21"/>
          <w:szCs w:val="21"/>
          <w:shd w:val="clear" w:fill="FFFFFF"/>
        </w:rPr>
        <w:fldChar w:fldCharType="end"/>
      </w:r>
    </w:p>
    <w:p w14:paraId="53BAEAE8">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ALRASHIDI R E, LAVERY M P J, BOWMAN R. 3D-printed concentrator arrays for external light trapping on flexible thin-film solar cells[J]. Scientific Reports, 2020, 10(1): 8741. </w:t>
      </w:r>
      <w:r>
        <w:rPr>
          <w:rFonts w:hint="eastAsia" w:ascii="方正公文楷体" w:hAnsi="方正公文楷体" w:eastAsia="方正公文楷体" w:cs="方正公文楷体"/>
          <w:i w:val="0"/>
          <w:iCs w:val="0"/>
          <w:caps w:val="0"/>
          <w:color w:val="303030"/>
          <w:spacing w:val="0"/>
          <w:sz w:val="21"/>
          <w:szCs w:val="21"/>
          <w:shd w:val="clear" w:fill="FFFFFF"/>
        </w:rPr>
        <w:fldChar w:fldCharType="begin"/>
      </w:r>
      <w:r>
        <w:rPr>
          <w:rFonts w:hint="eastAsia" w:ascii="方正公文楷体" w:hAnsi="方正公文楷体" w:eastAsia="方正公文楷体" w:cs="方正公文楷体"/>
          <w:i w:val="0"/>
          <w:iCs w:val="0"/>
          <w:caps w:val="0"/>
          <w:color w:val="303030"/>
          <w:spacing w:val="0"/>
          <w:sz w:val="21"/>
          <w:szCs w:val="21"/>
          <w:shd w:val="clear" w:fill="FFFFFF"/>
        </w:rPr>
        <w:instrText xml:space="preserve"> HYPERLINK "https://doi.org/10.1038/s41598-020-65437-8" \t "_blank" </w:instrText>
      </w:r>
      <w:r>
        <w:rPr>
          <w:rFonts w:hint="eastAsia" w:ascii="方正公文楷体" w:hAnsi="方正公文楷体" w:eastAsia="方正公文楷体" w:cs="方正公文楷体"/>
          <w:i w:val="0"/>
          <w:iCs w:val="0"/>
          <w:caps w:val="0"/>
          <w:color w:val="303030"/>
          <w:spacing w:val="0"/>
          <w:sz w:val="21"/>
          <w:szCs w:val="21"/>
          <w:shd w:val="clear" w:fill="FFFFFF"/>
        </w:rPr>
        <w:fldChar w:fldCharType="separate"/>
      </w:r>
      <w:r>
        <w:rPr>
          <w:rFonts w:hint="eastAsia" w:ascii="方正公文楷体" w:hAnsi="方正公文楷体" w:eastAsia="方正公文楷体" w:cs="方正公文楷体"/>
          <w:i w:val="0"/>
          <w:iCs w:val="0"/>
          <w:caps w:val="0"/>
          <w:color w:val="303030"/>
          <w:spacing w:val="0"/>
          <w:sz w:val="21"/>
          <w:szCs w:val="21"/>
          <w:shd w:val="clear" w:fill="FFFFFF"/>
        </w:rPr>
        <w:t>https://doi.org/10.1038/s41598-020-65437-8</w:t>
      </w:r>
      <w:r>
        <w:rPr>
          <w:rFonts w:hint="eastAsia" w:ascii="方正公文楷体" w:hAnsi="方正公文楷体" w:eastAsia="方正公文楷体" w:cs="方正公文楷体"/>
          <w:i w:val="0"/>
          <w:iCs w:val="0"/>
          <w:caps w:val="0"/>
          <w:color w:val="303030"/>
          <w:spacing w:val="0"/>
          <w:sz w:val="21"/>
          <w:szCs w:val="21"/>
          <w:shd w:val="clear" w:fill="FFFFFF"/>
        </w:rPr>
        <w:fldChar w:fldCharType="end"/>
      </w:r>
      <w:r>
        <w:rPr>
          <w:rFonts w:hint="eastAsia" w:ascii="方正公文楷体" w:hAnsi="方正公文楷体" w:eastAsia="方正公文楷体" w:cs="方正公文楷体"/>
          <w:i w:val="0"/>
          <w:iCs w:val="0"/>
          <w:caps w:val="0"/>
          <w:color w:val="303030"/>
          <w:spacing w:val="0"/>
          <w:sz w:val="21"/>
          <w:szCs w:val="21"/>
          <w:shd w:val="clear" w:fill="FFFFFF"/>
        </w:rPr>
        <w:t>.</w:t>
      </w:r>
    </w:p>
    <w:p w14:paraId="6073E4F9">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BHATTACHARJEE N, URRIOS A, KANG S, et al. The upcoming 3D-printing revolution in microfluidics[J]. Lab on a Chip, 2016, 16(9): 1720. </w:t>
      </w:r>
      <w:r>
        <w:rPr>
          <w:rFonts w:hint="eastAsia" w:ascii="方正公文楷体" w:hAnsi="方正公文楷体" w:eastAsia="方正公文楷体" w:cs="方正公文楷体"/>
          <w:i w:val="0"/>
          <w:iCs w:val="0"/>
          <w:caps w:val="0"/>
          <w:color w:val="303030"/>
          <w:spacing w:val="0"/>
          <w:sz w:val="21"/>
          <w:szCs w:val="21"/>
          <w:shd w:val="clear" w:fill="FFFFFF"/>
        </w:rPr>
        <w:fldChar w:fldCharType="begin"/>
      </w:r>
      <w:r>
        <w:rPr>
          <w:rFonts w:hint="eastAsia" w:ascii="方正公文楷体" w:hAnsi="方正公文楷体" w:eastAsia="方正公文楷体" w:cs="方正公文楷体"/>
          <w:i w:val="0"/>
          <w:iCs w:val="0"/>
          <w:caps w:val="0"/>
          <w:color w:val="303030"/>
          <w:spacing w:val="0"/>
          <w:sz w:val="21"/>
          <w:szCs w:val="21"/>
          <w:shd w:val="clear" w:fill="FFFFFF"/>
        </w:rPr>
        <w:instrText xml:space="preserve"> HYPERLINK "https://doi.org/10.1039/c6lc00096b" \t "_blank" </w:instrText>
      </w:r>
      <w:r>
        <w:rPr>
          <w:rFonts w:hint="eastAsia" w:ascii="方正公文楷体" w:hAnsi="方正公文楷体" w:eastAsia="方正公文楷体" w:cs="方正公文楷体"/>
          <w:i w:val="0"/>
          <w:iCs w:val="0"/>
          <w:caps w:val="0"/>
          <w:color w:val="303030"/>
          <w:spacing w:val="0"/>
          <w:sz w:val="21"/>
          <w:szCs w:val="21"/>
          <w:shd w:val="clear" w:fill="FFFFFF"/>
        </w:rPr>
        <w:fldChar w:fldCharType="separate"/>
      </w:r>
      <w:r>
        <w:rPr>
          <w:rFonts w:hint="eastAsia" w:ascii="方正公文楷体" w:hAnsi="方正公文楷体" w:eastAsia="方正公文楷体" w:cs="方正公文楷体"/>
          <w:i w:val="0"/>
          <w:iCs w:val="0"/>
          <w:caps w:val="0"/>
          <w:color w:val="303030"/>
          <w:spacing w:val="0"/>
          <w:sz w:val="21"/>
          <w:szCs w:val="21"/>
          <w:shd w:val="clear" w:fill="FFFFFF"/>
        </w:rPr>
        <w:t>https://doi.org/10.1039/c6lc00096b</w:t>
      </w:r>
      <w:r>
        <w:rPr>
          <w:rFonts w:hint="eastAsia" w:ascii="方正公文楷体" w:hAnsi="方正公文楷体" w:eastAsia="方正公文楷体" w:cs="方正公文楷体"/>
          <w:i w:val="0"/>
          <w:iCs w:val="0"/>
          <w:caps w:val="0"/>
          <w:color w:val="303030"/>
          <w:spacing w:val="0"/>
          <w:sz w:val="21"/>
          <w:szCs w:val="21"/>
          <w:shd w:val="clear" w:fill="FFFFFF"/>
        </w:rPr>
        <w:fldChar w:fldCharType="end"/>
      </w:r>
      <w:r>
        <w:rPr>
          <w:rFonts w:hint="eastAsia" w:ascii="方正公文楷体" w:hAnsi="方正公文楷体" w:eastAsia="方正公文楷体" w:cs="方正公文楷体"/>
          <w:i w:val="0"/>
          <w:iCs w:val="0"/>
          <w:caps w:val="0"/>
          <w:color w:val="303030"/>
          <w:spacing w:val="0"/>
          <w:sz w:val="21"/>
          <w:szCs w:val="21"/>
          <w:shd w:val="clear" w:fill="FFFFFF"/>
        </w:rPr>
        <w:t>.</w:t>
      </w:r>
    </w:p>
    <w:p w14:paraId="2EAEF33A">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AMIN R, KNOWLTON S, YU H, et al. 3D-printed microfluidic devices[J]. Biofabrication, 2016, 8(2): 022001. </w:t>
      </w:r>
      <w:r>
        <w:rPr>
          <w:rFonts w:hint="eastAsia" w:ascii="方正公文楷体" w:hAnsi="方正公文楷体" w:eastAsia="方正公文楷体" w:cs="方正公文楷体"/>
          <w:i w:val="0"/>
          <w:iCs w:val="0"/>
          <w:caps w:val="0"/>
          <w:color w:val="303030"/>
          <w:spacing w:val="0"/>
          <w:sz w:val="21"/>
          <w:szCs w:val="21"/>
          <w:shd w:val="clear" w:fill="FFFFFF"/>
        </w:rPr>
        <w:fldChar w:fldCharType="begin"/>
      </w:r>
      <w:r>
        <w:rPr>
          <w:rFonts w:hint="eastAsia" w:ascii="方正公文楷体" w:hAnsi="方正公文楷体" w:eastAsia="方正公文楷体" w:cs="方正公文楷体"/>
          <w:i w:val="0"/>
          <w:iCs w:val="0"/>
          <w:caps w:val="0"/>
          <w:color w:val="303030"/>
          <w:spacing w:val="0"/>
          <w:sz w:val="21"/>
          <w:szCs w:val="21"/>
          <w:shd w:val="clear" w:fill="FFFFFF"/>
        </w:rPr>
        <w:instrText xml:space="preserve"> HYPERLINK "https://doi.org/10.1088/1758-5090/8/2/022001" \t "_blank" </w:instrText>
      </w:r>
      <w:r>
        <w:rPr>
          <w:rFonts w:hint="eastAsia" w:ascii="方正公文楷体" w:hAnsi="方正公文楷体" w:eastAsia="方正公文楷体" w:cs="方正公文楷体"/>
          <w:i w:val="0"/>
          <w:iCs w:val="0"/>
          <w:caps w:val="0"/>
          <w:color w:val="303030"/>
          <w:spacing w:val="0"/>
          <w:sz w:val="21"/>
          <w:szCs w:val="21"/>
          <w:shd w:val="clear" w:fill="FFFFFF"/>
        </w:rPr>
        <w:fldChar w:fldCharType="separate"/>
      </w:r>
      <w:r>
        <w:rPr>
          <w:rFonts w:hint="eastAsia" w:ascii="方正公文楷体" w:hAnsi="方正公文楷体" w:eastAsia="方正公文楷体" w:cs="方正公文楷体"/>
          <w:i w:val="0"/>
          <w:iCs w:val="0"/>
          <w:caps w:val="0"/>
          <w:color w:val="303030"/>
          <w:spacing w:val="0"/>
          <w:sz w:val="21"/>
          <w:szCs w:val="21"/>
          <w:shd w:val="clear" w:fill="FFFFFF"/>
        </w:rPr>
        <w:t>https://doi.org/10.1088/1758-5090/8/2/022001</w:t>
      </w:r>
      <w:r>
        <w:rPr>
          <w:rFonts w:hint="eastAsia" w:ascii="方正公文楷体" w:hAnsi="方正公文楷体" w:eastAsia="方正公文楷体" w:cs="方正公文楷体"/>
          <w:i w:val="0"/>
          <w:iCs w:val="0"/>
          <w:caps w:val="0"/>
          <w:color w:val="303030"/>
          <w:spacing w:val="0"/>
          <w:sz w:val="21"/>
          <w:szCs w:val="21"/>
          <w:shd w:val="clear" w:fill="FFFFFF"/>
        </w:rPr>
        <w:fldChar w:fldCharType="end"/>
      </w:r>
      <w:r>
        <w:rPr>
          <w:rFonts w:hint="eastAsia" w:ascii="方正公文楷体" w:hAnsi="方正公文楷体" w:eastAsia="方正公文楷体" w:cs="方正公文楷体"/>
          <w:i w:val="0"/>
          <w:iCs w:val="0"/>
          <w:caps w:val="0"/>
          <w:color w:val="303030"/>
          <w:spacing w:val="0"/>
          <w:sz w:val="21"/>
          <w:szCs w:val="21"/>
          <w:shd w:val="clear" w:fill="FFFFFF"/>
        </w:rPr>
        <w:t>.</w:t>
      </w:r>
    </w:p>
    <w:p w14:paraId="0C65271F">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GAWEDZINSKI J, PAWLOWSKI M E, TKACZYK T S. Quantitative evaluation of performance of 3D printed lenses[J]. Optical Engineering, 2017, 56(8): 084110. </w:t>
      </w:r>
      <w:r>
        <w:rPr>
          <w:rFonts w:hint="eastAsia" w:ascii="方正公文楷体" w:hAnsi="方正公文楷体" w:eastAsia="方正公文楷体" w:cs="方正公文楷体"/>
          <w:i w:val="0"/>
          <w:iCs w:val="0"/>
          <w:caps w:val="0"/>
          <w:color w:val="303030"/>
          <w:spacing w:val="0"/>
          <w:sz w:val="21"/>
          <w:szCs w:val="21"/>
          <w:shd w:val="clear" w:fill="FFFFFF"/>
        </w:rPr>
        <w:fldChar w:fldCharType="begin"/>
      </w:r>
      <w:r>
        <w:rPr>
          <w:rFonts w:hint="eastAsia" w:ascii="方正公文楷体" w:hAnsi="方正公文楷体" w:eastAsia="方正公文楷体" w:cs="方正公文楷体"/>
          <w:i w:val="0"/>
          <w:iCs w:val="0"/>
          <w:caps w:val="0"/>
          <w:color w:val="303030"/>
          <w:spacing w:val="0"/>
          <w:sz w:val="21"/>
          <w:szCs w:val="21"/>
          <w:shd w:val="clear" w:fill="FFFFFF"/>
        </w:rPr>
        <w:instrText xml:space="preserve"> HYPERLINK "https://doi.org/10.1117/1.OE.56.8.084110" \t "_blank" </w:instrText>
      </w:r>
      <w:r>
        <w:rPr>
          <w:rFonts w:hint="eastAsia" w:ascii="方正公文楷体" w:hAnsi="方正公文楷体" w:eastAsia="方正公文楷体" w:cs="方正公文楷体"/>
          <w:i w:val="0"/>
          <w:iCs w:val="0"/>
          <w:caps w:val="0"/>
          <w:color w:val="303030"/>
          <w:spacing w:val="0"/>
          <w:sz w:val="21"/>
          <w:szCs w:val="21"/>
          <w:shd w:val="clear" w:fill="FFFFFF"/>
        </w:rPr>
        <w:fldChar w:fldCharType="separate"/>
      </w:r>
      <w:r>
        <w:rPr>
          <w:rFonts w:hint="eastAsia" w:ascii="方正公文楷体" w:hAnsi="方正公文楷体" w:eastAsia="方正公文楷体" w:cs="方正公文楷体"/>
          <w:i w:val="0"/>
          <w:iCs w:val="0"/>
          <w:caps w:val="0"/>
          <w:color w:val="303030"/>
          <w:spacing w:val="0"/>
          <w:sz w:val="21"/>
          <w:szCs w:val="21"/>
          <w:shd w:val="clear" w:fill="FFFFFF"/>
        </w:rPr>
        <w:t>https://doi.org/10.1117/1.OE.56.8.084110</w:t>
      </w:r>
      <w:r>
        <w:rPr>
          <w:rFonts w:hint="eastAsia" w:ascii="方正公文楷体" w:hAnsi="方正公文楷体" w:eastAsia="方正公文楷体" w:cs="方正公文楷体"/>
          <w:i w:val="0"/>
          <w:iCs w:val="0"/>
          <w:caps w:val="0"/>
          <w:color w:val="303030"/>
          <w:spacing w:val="0"/>
          <w:sz w:val="21"/>
          <w:szCs w:val="21"/>
          <w:shd w:val="clear" w:fill="FFFFFF"/>
        </w:rPr>
        <w:fldChar w:fldCharType="end"/>
      </w:r>
      <w:r>
        <w:rPr>
          <w:rFonts w:hint="eastAsia" w:ascii="方正公文楷体" w:hAnsi="方正公文楷体" w:eastAsia="方正公文楷体" w:cs="方正公文楷体"/>
          <w:i w:val="0"/>
          <w:iCs w:val="0"/>
          <w:caps w:val="0"/>
          <w:color w:val="303030"/>
          <w:spacing w:val="0"/>
          <w:sz w:val="21"/>
          <w:szCs w:val="21"/>
          <w:shd w:val="clear" w:fill="FFFFFF"/>
        </w:rPr>
        <w:t>.</w:t>
      </w:r>
    </w:p>
    <w:p w14:paraId="1CF45BE9">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RIESEN Y, STUCKELBERGER M, HAUG F J, et al. Temperature dependence of hydrogenated amorphous silicon solar cell performances[J]. Journal of Applied Physics, 2016, 119(4): 044505. </w:t>
      </w:r>
      <w:r>
        <w:rPr>
          <w:rFonts w:hint="eastAsia" w:ascii="方正公文楷体" w:hAnsi="方正公文楷体" w:eastAsia="方正公文楷体" w:cs="方正公文楷体"/>
          <w:i w:val="0"/>
          <w:iCs w:val="0"/>
          <w:caps w:val="0"/>
          <w:color w:val="303030"/>
          <w:spacing w:val="0"/>
          <w:sz w:val="21"/>
          <w:szCs w:val="21"/>
          <w:shd w:val="clear" w:fill="FFFFFF"/>
        </w:rPr>
        <w:fldChar w:fldCharType="begin"/>
      </w:r>
      <w:r>
        <w:rPr>
          <w:rFonts w:hint="eastAsia" w:ascii="方正公文楷体" w:hAnsi="方正公文楷体" w:eastAsia="方正公文楷体" w:cs="方正公文楷体"/>
          <w:i w:val="0"/>
          <w:iCs w:val="0"/>
          <w:caps w:val="0"/>
          <w:color w:val="303030"/>
          <w:spacing w:val="0"/>
          <w:sz w:val="21"/>
          <w:szCs w:val="21"/>
          <w:shd w:val="clear" w:fill="FFFFFF"/>
        </w:rPr>
        <w:instrText xml:space="preserve"> HYPERLINK "https://doi.org/10.1063/1.4940339" \t "_blank" </w:instrText>
      </w:r>
      <w:r>
        <w:rPr>
          <w:rFonts w:hint="eastAsia" w:ascii="方正公文楷体" w:hAnsi="方正公文楷体" w:eastAsia="方正公文楷体" w:cs="方正公文楷体"/>
          <w:i w:val="0"/>
          <w:iCs w:val="0"/>
          <w:caps w:val="0"/>
          <w:color w:val="303030"/>
          <w:spacing w:val="0"/>
          <w:sz w:val="21"/>
          <w:szCs w:val="21"/>
          <w:shd w:val="clear" w:fill="FFFFFF"/>
        </w:rPr>
        <w:fldChar w:fldCharType="separate"/>
      </w:r>
      <w:r>
        <w:rPr>
          <w:rFonts w:hint="eastAsia" w:ascii="方正公文楷体" w:hAnsi="方正公文楷体" w:eastAsia="方正公文楷体" w:cs="方正公文楷体"/>
          <w:i w:val="0"/>
          <w:iCs w:val="0"/>
          <w:caps w:val="0"/>
          <w:color w:val="303030"/>
          <w:spacing w:val="0"/>
          <w:sz w:val="21"/>
          <w:szCs w:val="21"/>
          <w:shd w:val="clear" w:fill="FFFFFF"/>
        </w:rPr>
        <w:t>https://doi.org/10.1063/1.4940339</w:t>
      </w:r>
      <w:r>
        <w:rPr>
          <w:rFonts w:hint="eastAsia" w:ascii="方正公文楷体" w:hAnsi="方正公文楷体" w:eastAsia="方正公文楷体" w:cs="方正公文楷体"/>
          <w:i w:val="0"/>
          <w:iCs w:val="0"/>
          <w:caps w:val="0"/>
          <w:color w:val="303030"/>
          <w:spacing w:val="0"/>
          <w:sz w:val="21"/>
          <w:szCs w:val="21"/>
          <w:shd w:val="clear" w:fill="FFFFFF"/>
        </w:rPr>
        <w:fldChar w:fldCharType="end"/>
      </w:r>
      <w:r>
        <w:rPr>
          <w:rFonts w:hint="eastAsia" w:ascii="方正公文楷体" w:hAnsi="方正公文楷体" w:eastAsia="方正公文楷体" w:cs="方正公文楷体"/>
          <w:i w:val="0"/>
          <w:iCs w:val="0"/>
          <w:caps w:val="0"/>
          <w:color w:val="303030"/>
          <w:spacing w:val="0"/>
          <w:sz w:val="21"/>
          <w:szCs w:val="21"/>
          <w:shd w:val="clear" w:fill="FFFFFF"/>
        </w:rPr>
        <w:t>.</w:t>
      </w:r>
    </w:p>
    <w:p w14:paraId="497902F8">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CHEGAAR M, AISSA A, GUECHI E, et al. Effect of illumination intensity on solar cells parameters[J]. Energy Procedia, 2013, 36: 722-729. </w:t>
      </w:r>
      <w:r>
        <w:rPr>
          <w:rFonts w:hint="eastAsia" w:ascii="方正公文楷体" w:hAnsi="方正公文楷体" w:eastAsia="方正公文楷体" w:cs="方正公文楷体"/>
          <w:i w:val="0"/>
          <w:iCs w:val="0"/>
          <w:caps w:val="0"/>
          <w:color w:val="303030"/>
          <w:spacing w:val="0"/>
          <w:sz w:val="21"/>
          <w:szCs w:val="21"/>
          <w:shd w:val="clear" w:fill="FFFFFF"/>
        </w:rPr>
        <w:fldChar w:fldCharType="begin"/>
      </w:r>
      <w:r>
        <w:rPr>
          <w:rFonts w:hint="eastAsia" w:ascii="方正公文楷体" w:hAnsi="方正公文楷体" w:eastAsia="方正公文楷体" w:cs="方正公文楷体"/>
          <w:i w:val="0"/>
          <w:iCs w:val="0"/>
          <w:caps w:val="0"/>
          <w:color w:val="303030"/>
          <w:spacing w:val="0"/>
          <w:sz w:val="21"/>
          <w:szCs w:val="21"/>
          <w:shd w:val="clear" w:fill="FFFFFF"/>
        </w:rPr>
        <w:instrText xml:space="preserve"> HYPERLINK "https://doi.org/10.1016/j.egypro.2013.07.083" \t "_blank" </w:instrText>
      </w:r>
      <w:r>
        <w:rPr>
          <w:rFonts w:hint="eastAsia" w:ascii="方正公文楷体" w:hAnsi="方正公文楷体" w:eastAsia="方正公文楷体" w:cs="方正公文楷体"/>
          <w:i w:val="0"/>
          <w:iCs w:val="0"/>
          <w:caps w:val="0"/>
          <w:color w:val="303030"/>
          <w:spacing w:val="0"/>
          <w:sz w:val="21"/>
          <w:szCs w:val="21"/>
          <w:shd w:val="clear" w:fill="FFFFFF"/>
        </w:rPr>
        <w:fldChar w:fldCharType="separate"/>
      </w:r>
      <w:r>
        <w:rPr>
          <w:rFonts w:hint="eastAsia" w:ascii="方正公文楷体" w:hAnsi="方正公文楷体" w:eastAsia="方正公文楷体" w:cs="方正公文楷体"/>
          <w:i w:val="0"/>
          <w:iCs w:val="0"/>
          <w:caps w:val="0"/>
          <w:color w:val="303030"/>
          <w:spacing w:val="0"/>
          <w:sz w:val="21"/>
          <w:szCs w:val="21"/>
          <w:shd w:val="clear" w:fill="FFFFFF"/>
        </w:rPr>
        <w:t>https://doi.org/10.1016/j.egypro.2013.07.083</w:t>
      </w:r>
      <w:r>
        <w:rPr>
          <w:rFonts w:hint="eastAsia" w:ascii="方正公文楷体" w:hAnsi="方正公文楷体" w:eastAsia="方正公文楷体" w:cs="方正公文楷体"/>
          <w:i w:val="0"/>
          <w:iCs w:val="0"/>
          <w:caps w:val="0"/>
          <w:color w:val="303030"/>
          <w:spacing w:val="0"/>
          <w:sz w:val="21"/>
          <w:szCs w:val="21"/>
          <w:shd w:val="clear" w:fill="FFFFFF"/>
        </w:rPr>
        <w:fldChar w:fldCharType="end"/>
      </w:r>
      <w:r>
        <w:rPr>
          <w:rFonts w:hint="eastAsia" w:ascii="方正公文楷体" w:hAnsi="方正公文楷体" w:eastAsia="方正公文楷体" w:cs="方正公文楷体"/>
          <w:i w:val="0"/>
          <w:iCs w:val="0"/>
          <w:caps w:val="0"/>
          <w:color w:val="303030"/>
          <w:spacing w:val="0"/>
          <w:sz w:val="21"/>
          <w:szCs w:val="21"/>
          <w:shd w:val="clear" w:fill="FFFFFF"/>
        </w:rPr>
        <w:t>.</w:t>
      </w:r>
    </w:p>
    <w:p w14:paraId="3899276D">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YOSHIKAWA K, MASUKAWA H, YAMAMOTO K, et al. Silicon heterojunction solar cell with interdigitated back contacts for a photoconversion efficiency over 26%[J]. Nature Energy, 2017, 2(5): 17032. </w:t>
      </w:r>
      <w:r>
        <w:rPr>
          <w:rFonts w:hint="eastAsia" w:ascii="方正公文楷体" w:hAnsi="方正公文楷体" w:eastAsia="方正公文楷体" w:cs="方正公文楷体"/>
          <w:i w:val="0"/>
          <w:iCs w:val="0"/>
          <w:caps w:val="0"/>
          <w:color w:val="303030"/>
          <w:spacing w:val="0"/>
          <w:sz w:val="21"/>
          <w:szCs w:val="21"/>
          <w:shd w:val="clear" w:fill="FFFFFF"/>
        </w:rPr>
        <w:fldChar w:fldCharType="begin"/>
      </w:r>
      <w:r>
        <w:rPr>
          <w:rFonts w:hint="eastAsia" w:ascii="方正公文楷体" w:hAnsi="方正公文楷体" w:eastAsia="方正公文楷体" w:cs="方正公文楷体"/>
          <w:i w:val="0"/>
          <w:iCs w:val="0"/>
          <w:caps w:val="0"/>
          <w:color w:val="303030"/>
          <w:spacing w:val="0"/>
          <w:sz w:val="21"/>
          <w:szCs w:val="21"/>
          <w:shd w:val="clear" w:fill="FFFFFF"/>
        </w:rPr>
        <w:instrText xml:space="preserve"> HYPERLINK "https://doi.org/10.1038/nenergy.2017.32" \t "_blank" </w:instrText>
      </w:r>
      <w:r>
        <w:rPr>
          <w:rFonts w:hint="eastAsia" w:ascii="方正公文楷体" w:hAnsi="方正公文楷体" w:eastAsia="方正公文楷体" w:cs="方正公文楷体"/>
          <w:i w:val="0"/>
          <w:iCs w:val="0"/>
          <w:caps w:val="0"/>
          <w:color w:val="303030"/>
          <w:spacing w:val="0"/>
          <w:sz w:val="21"/>
          <w:szCs w:val="21"/>
          <w:shd w:val="clear" w:fill="FFFFFF"/>
        </w:rPr>
        <w:fldChar w:fldCharType="separate"/>
      </w:r>
      <w:r>
        <w:rPr>
          <w:rFonts w:hint="eastAsia" w:ascii="方正公文楷体" w:hAnsi="方正公文楷体" w:eastAsia="方正公文楷体" w:cs="方正公文楷体"/>
          <w:i w:val="0"/>
          <w:iCs w:val="0"/>
          <w:caps w:val="0"/>
          <w:color w:val="303030"/>
          <w:spacing w:val="0"/>
          <w:sz w:val="21"/>
          <w:szCs w:val="21"/>
          <w:shd w:val="clear" w:fill="FFFFFF"/>
        </w:rPr>
        <w:t>https://doi.org/10.1038/nenergy.2017.32</w:t>
      </w:r>
      <w:r>
        <w:rPr>
          <w:rFonts w:hint="eastAsia" w:ascii="方正公文楷体" w:hAnsi="方正公文楷体" w:eastAsia="方正公文楷体" w:cs="方正公文楷体"/>
          <w:i w:val="0"/>
          <w:iCs w:val="0"/>
          <w:caps w:val="0"/>
          <w:color w:val="303030"/>
          <w:spacing w:val="0"/>
          <w:sz w:val="21"/>
          <w:szCs w:val="21"/>
          <w:shd w:val="clear" w:fill="FFFFFF"/>
        </w:rPr>
        <w:fldChar w:fldCharType="end"/>
      </w:r>
      <w:r>
        <w:rPr>
          <w:rFonts w:hint="eastAsia" w:ascii="方正公文楷体" w:hAnsi="方正公文楷体" w:eastAsia="方正公文楷体" w:cs="方正公文楷体"/>
          <w:i w:val="0"/>
          <w:iCs w:val="0"/>
          <w:caps w:val="0"/>
          <w:color w:val="303030"/>
          <w:spacing w:val="0"/>
          <w:sz w:val="21"/>
          <w:szCs w:val="21"/>
          <w:shd w:val="clear" w:fill="FFFFFF"/>
        </w:rPr>
        <w:t>.</w:t>
      </w:r>
    </w:p>
    <w:p w14:paraId="42E23BE2">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GREEN M A, DUNLOP E D, HOH-DELCHIN J, et al. Solar cell efficiency tables (version 54)[J]. Progress in Photovoltaics: Research and Applications, 2019, 27(7): 565-575. </w:t>
      </w:r>
      <w:r>
        <w:rPr>
          <w:rFonts w:hint="eastAsia" w:ascii="方正公文楷体" w:hAnsi="方正公文楷体" w:eastAsia="方正公文楷体" w:cs="方正公文楷体"/>
          <w:i w:val="0"/>
          <w:iCs w:val="0"/>
          <w:caps w:val="0"/>
          <w:color w:val="303030"/>
          <w:spacing w:val="0"/>
          <w:sz w:val="21"/>
          <w:szCs w:val="21"/>
          <w:shd w:val="clear" w:fill="FFFFFF"/>
        </w:rPr>
        <w:fldChar w:fldCharType="begin"/>
      </w:r>
      <w:r>
        <w:rPr>
          <w:rFonts w:hint="eastAsia" w:ascii="方正公文楷体" w:hAnsi="方正公文楷体" w:eastAsia="方正公文楷体" w:cs="方正公文楷体"/>
          <w:i w:val="0"/>
          <w:iCs w:val="0"/>
          <w:caps w:val="0"/>
          <w:color w:val="303030"/>
          <w:spacing w:val="0"/>
          <w:sz w:val="21"/>
          <w:szCs w:val="21"/>
          <w:shd w:val="clear" w:fill="FFFFFF"/>
        </w:rPr>
        <w:instrText xml:space="preserve"> HYPERLINK "https://doi.org/10.1002/pip.3131" \t "_blank" </w:instrText>
      </w:r>
      <w:r>
        <w:rPr>
          <w:rFonts w:hint="eastAsia" w:ascii="方正公文楷体" w:hAnsi="方正公文楷体" w:eastAsia="方正公文楷体" w:cs="方正公文楷体"/>
          <w:i w:val="0"/>
          <w:iCs w:val="0"/>
          <w:caps w:val="0"/>
          <w:color w:val="303030"/>
          <w:spacing w:val="0"/>
          <w:sz w:val="21"/>
          <w:szCs w:val="21"/>
          <w:shd w:val="clear" w:fill="FFFFFF"/>
        </w:rPr>
        <w:fldChar w:fldCharType="separate"/>
      </w:r>
      <w:r>
        <w:rPr>
          <w:rFonts w:hint="eastAsia" w:ascii="方正公文楷体" w:hAnsi="方正公文楷体" w:eastAsia="方正公文楷体" w:cs="方正公文楷体"/>
          <w:i w:val="0"/>
          <w:iCs w:val="0"/>
          <w:caps w:val="0"/>
          <w:color w:val="303030"/>
          <w:spacing w:val="0"/>
          <w:sz w:val="21"/>
          <w:szCs w:val="21"/>
          <w:shd w:val="clear" w:fill="FFFFFF"/>
        </w:rPr>
        <w:t>https://doi.org/10.1002/pip.3131</w:t>
      </w:r>
      <w:r>
        <w:rPr>
          <w:rFonts w:hint="eastAsia" w:ascii="方正公文楷体" w:hAnsi="方正公文楷体" w:eastAsia="方正公文楷体" w:cs="方正公文楷体"/>
          <w:i w:val="0"/>
          <w:iCs w:val="0"/>
          <w:caps w:val="0"/>
          <w:color w:val="303030"/>
          <w:spacing w:val="0"/>
          <w:sz w:val="21"/>
          <w:szCs w:val="21"/>
          <w:shd w:val="clear" w:fill="FFFFFF"/>
        </w:rPr>
        <w:fldChar w:fldCharType="end"/>
      </w:r>
      <w:r>
        <w:rPr>
          <w:rFonts w:hint="eastAsia" w:ascii="方正公文楷体" w:hAnsi="方正公文楷体" w:eastAsia="方正公文楷体" w:cs="方正公文楷体"/>
          <w:i w:val="0"/>
          <w:iCs w:val="0"/>
          <w:caps w:val="0"/>
          <w:color w:val="303030"/>
          <w:spacing w:val="0"/>
          <w:sz w:val="21"/>
          <w:szCs w:val="21"/>
          <w:shd w:val="clear" w:fill="FFFFFF"/>
        </w:rPr>
        <w:t>.</w:t>
      </w:r>
    </w:p>
    <w:p w14:paraId="4F0BEAB6">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LAVERY M P J, BOUCHARD F, CARRANO J C, et al. Tackling Africa’s digital divide[J]. Nature Photonics, 2018, 12(5): 249-252. </w:t>
      </w:r>
      <w:r>
        <w:rPr>
          <w:rFonts w:hint="eastAsia" w:ascii="方正公文楷体" w:hAnsi="方正公文楷体" w:eastAsia="方正公文楷体" w:cs="方正公文楷体"/>
          <w:i w:val="0"/>
          <w:iCs w:val="0"/>
          <w:caps w:val="0"/>
          <w:color w:val="303030"/>
          <w:spacing w:val="0"/>
          <w:sz w:val="21"/>
          <w:szCs w:val="21"/>
          <w:shd w:val="clear" w:fill="FFFFFF"/>
        </w:rPr>
        <w:fldChar w:fldCharType="begin"/>
      </w:r>
      <w:r>
        <w:rPr>
          <w:rFonts w:hint="eastAsia" w:ascii="方正公文楷体" w:hAnsi="方正公文楷体" w:eastAsia="方正公文楷体" w:cs="方正公文楷体"/>
          <w:i w:val="0"/>
          <w:iCs w:val="0"/>
          <w:caps w:val="0"/>
          <w:color w:val="303030"/>
          <w:spacing w:val="0"/>
          <w:sz w:val="21"/>
          <w:szCs w:val="21"/>
          <w:shd w:val="clear" w:fill="FFFFFF"/>
        </w:rPr>
        <w:instrText xml:space="preserve"> HYPERLINK "https://doi.org/10.1038/s41566-018-0140-9" \t "_blank" </w:instrText>
      </w:r>
      <w:r>
        <w:rPr>
          <w:rFonts w:hint="eastAsia" w:ascii="方正公文楷体" w:hAnsi="方正公文楷体" w:eastAsia="方正公文楷体" w:cs="方正公文楷体"/>
          <w:i w:val="0"/>
          <w:iCs w:val="0"/>
          <w:caps w:val="0"/>
          <w:color w:val="303030"/>
          <w:spacing w:val="0"/>
          <w:sz w:val="21"/>
          <w:szCs w:val="21"/>
          <w:shd w:val="clear" w:fill="FFFFFF"/>
        </w:rPr>
        <w:fldChar w:fldCharType="separate"/>
      </w:r>
      <w:r>
        <w:rPr>
          <w:rFonts w:hint="eastAsia" w:ascii="方正公文楷体" w:hAnsi="方正公文楷体" w:eastAsia="方正公文楷体" w:cs="方正公文楷体"/>
          <w:i w:val="0"/>
          <w:iCs w:val="0"/>
          <w:caps w:val="0"/>
          <w:color w:val="303030"/>
          <w:spacing w:val="0"/>
          <w:sz w:val="21"/>
          <w:szCs w:val="21"/>
          <w:shd w:val="clear" w:fill="FFFFFF"/>
        </w:rPr>
        <w:t>https://doi.org/10.1038/s41566-018-0140-9</w:t>
      </w:r>
      <w:r>
        <w:rPr>
          <w:rFonts w:hint="eastAsia" w:ascii="方正公文楷体" w:hAnsi="方正公文楷体" w:eastAsia="方正公文楷体" w:cs="方正公文楷体"/>
          <w:i w:val="0"/>
          <w:iCs w:val="0"/>
          <w:caps w:val="0"/>
          <w:color w:val="303030"/>
          <w:spacing w:val="0"/>
          <w:sz w:val="21"/>
          <w:szCs w:val="21"/>
          <w:shd w:val="clear" w:fill="FFFFFF"/>
        </w:rPr>
        <w:fldChar w:fldCharType="end"/>
      </w:r>
      <w:r>
        <w:rPr>
          <w:rFonts w:hint="eastAsia" w:ascii="方正公文楷体" w:hAnsi="方正公文楷体" w:eastAsia="方正公文楷体" w:cs="方正公文楷体"/>
          <w:i w:val="0"/>
          <w:iCs w:val="0"/>
          <w:caps w:val="0"/>
          <w:color w:val="303030"/>
          <w:spacing w:val="0"/>
          <w:sz w:val="21"/>
          <w:szCs w:val="21"/>
          <w:shd w:val="clear" w:fill="FFFFFF"/>
        </w:rPr>
        <w:t>.</w:t>
      </w:r>
    </w:p>
    <w:p w14:paraId="2AF6C177">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MAMODIYA U, KISHOR I, ALMAIAH M A, et al. Numerical modeling and neural network optimization for advanced solar panel efficiency[J]. Scientific Reports, 2025, 15(1): 23492. </w:t>
      </w:r>
      <w:r>
        <w:rPr>
          <w:rFonts w:hint="eastAsia" w:ascii="方正公文楷体" w:hAnsi="方正公文楷体" w:eastAsia="方正公文楷体" w:cs="方正公文楷体"/>
          <w:i w:val="0"/>
          <w:iCs w:val="0"/>
          <w:caps w:val="0"/>
          <w:color w:val="303030"/>
          <w:spacing w:val="0"/>
          <w:sz w:val="21"/>
          <w:szCs w:val="21"/>
          <w:shd w:val="clear" w:fill="FFFFFF"/>
        </w:rPr>
        <w:fldChar w:fldCharType="begin"/>
      </w:r>
      <w:r>
        <w:rPr>
          <w:rFonts w:hint="eastAsia" w:ascii="方正公文楷体" w:hAnsi="方正公文楷体" w:eastAsia="方正公文楷体" w:cs="方正公文楷体"/>
          <w:i w:val="0"/>
          <w:iCs w:val="0"/>
          <w:caps w:val="0"/>
          <w:color w:val="303030"/>
          <w:spacing w:val="0"/>
          <w:sz w:val="21"/>
          <w:szCs w:val="21"/>
          <w:shd w:val="clear" w:fill="FFFFFF"/>
        </w:rPr>
        <w:instrText xml:space="preserve"> HYPERLINK "https://doi.org/10.1038/s41598-025-06830-z" \t "_blank" </w:instrText>
      </w:r>
      <w:r>
        <w:rPr>
          <w:rFonts w:hint="eastAsia" w:ascii="方正公文楷体" w:hAnsi="方正公文楷体" w:eastAsia="方正公文楷体" w:cs="方正公文楷体"/>
          <w:i w:val="0"/>
          <w:iCs w:val="0"/>
          <w:caps w:val="0"/>
          <w:color w:val="303030"/>
          <w:spacing w:val="0"/>
          <w:sz w:val="21"/>
          <w:szCs w:val="21"/>
          <w:shd w:val="clear" w:fill="FFFFFF"/>
        </w:rPr>
        <w:fldChar w:fldCharType="separate"/>
      </w:r>
      <w:r>
        <w:rPr>
          <w:rFonts w:hint="eastAsia" w:ascii="方正公文楷体" w:hAnsi="方正公文楷体" w:eastAsia="方正公文楷体" w:cs="方正公文楷体"/>
          <w:i w:val="0"/>
          <w:iCs w:val="0"/>
          <w:caps w:val="0"/>
          <w:color w:val="303030"/>
          <w:spacing w:val="0"/>
          <w:sz w:val="21"/>
          <w:szCs w:val="21"/>
          <w:shd w:val="clear" w:fill="FFFFFF"/>
        </w:rPr>
        <w:t>https://doi.org/10.1038/s41598-025-06830-z</w:t>
      </w:r>
      <w:r>
        <w:rPr>
          <w:rFonts w:hint="eastAsia" w:ascii="方正公文楷体" w:hAnsi="方正公文楷体" w:eastAsia="方正公文楷体" w:cs="方正公文楷体"/>
          <w:i w:val="0"/>
          <w:iCs w:val="0"/>
          <w:caps w:val="0"/>
          <w:color w:val="303030"/>
          <w:spacing w:val="0"/>
          <w:sz w:val="21"/>
          <w:szCs w:val="21"/>
          <w:shd w:val="clear" w:fill="FFFFFF"/>
        </w:rPr>
        <w:fldChar w:fldCharType="end"/>
      </w:r>
      <w:r>
        <w:rPr>
          <w:rFonts w:hint="eastAsia" w:ascii="方正公文楷体" w:hAnsi="方正公文楷体" w:eastAsia="方正公文楷体" w:cs="方正公文楷体"/>
          <w:i w:val="0"/>
          <w:iCs w:val="0"/>
          <w:caps w:val="0"/>
          <w:color w:val="303030"/>
          <w:spacing w:val="0"/>
          <w:sz w:val="21"/>
          <w:szCs w:val="21"/>
          <w:shd w:val="clear" w:fill="FFFFFF"/>
        </w:rPr>
        <w:t>.</w:t>
      </w:r>
    </w:p>
    <w:p w14:paraId="02577ADE">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KUMAR R, MISHRA S K, SAHOO A K, et al. Data driven prediction based reliability assessment of solar energy systems incorporating uncertainties for generation planning[J]. Scientific Reports, 2025, 15(1): 9335. </w:t>
      </w:r>
      <w:r>
        <w:rPr>
          <w:rFonts w:hint="eastAsia" w:ascii="方正公文楷体" w:hAnsi="方正公文楷体" w:eastAsia="方正公文楷体" w:cs="方正公文楷体"/>
          <w:i w:val="0"/>
          <w:iCs w:val="0"/>
          <w:caps w:val="0"/>
          <w:color w:val="303030"/>
          <w:spacing w:val="0"/>
          <w:sz w:val="21"/>
          <w:szCs w:val="21"/>
          <w:shd w:val="clear" w:fill="FFFFFF"/>
        </w:rPr>
        <w:fldChar w:fldCharType="begin"/>
      </w:r>
      <w:r>
        <w:rPr>
          <w:rFonts w:hint="eastAsia" w:ascii="方正公文楷体" w:hAnsi="方正公文楷体" w:eastAsia="方正公文楷体" w:cs="方正公文楷体"/>
          <w:i w:val="0"/>
          <w:iCs w:val="0"/>
          <w:caps w:val="0"/>
          <w:color w:val="303030"/>
          <w:spacing w:val="0"/>
          <w:sz w:val="21"/>
          <w:szCs w:val="21"/>
          <w:shd w:val="clear" w:fill="FFFFFF"/>
        </w:rPr>
        <w:instrText xml:space="preserve"> HYPERLINK "https://doi.org/10.1038/s41598-025-94106-x" \t "_blank" </w:instrText>
      </w:r>
      <w:r>
        <w:rPr>
          <w:rFonts w:hint="eastAsia" w:ascii="方正公文楷体" w:hAnsi="方正公文楷体" w:eastAsia="方正公文楷体" w:cs="方正公文楷体"/>
          <w:i w:val="0"/>
          <w:iCs w:val="0"/>
          <w:caps w:val="0"/>
          <w:color w:val="303030"/>
          <w:spacing w:val="0"/>
          <w:sz w:val="21"/>
          <w:szCs w:val="21"/>
          <w:shd w:val="clear" w:fill="FFFFFF"/>
        </w:rPr>
        <w:fldChar w:fldCharType="separate"/>
      </w:r>
      <w:r>
        <w:rPr>
          <w:rFonts w:hint="eastAsia" w:ascii="方正公文楷体" w:hAnsi="方正公文楷体" w:eastAsia="方正公文楷体" w:cs="方正公文楷体"/>
          <w:i w:val="0"/>
          <w:iCs w:val="0"/>
          <w:caps w:val="0"/>
          <w:color w:val="303030"/>
          <w:spacing w:val="0"/>
          <w:sz w:val="21"/>
          <w:szCs w:val="21"/>
          <w:shd w:val="clear" w:fill="FFFFFF"/>
        </w:rPr>
        <w:t>https://doi.org/10.1038/s41598-025-94106-x</w:t>
      </w:r>
      <w:r>
        <w:rPr>
          <w:rFonts w:hint="eastAsia" w:ascii="方正公文楷体" w:hAnsi="方正公文楷体" w:eastAsia="方正公文楷体" w:cs="方正公文楷体"/>
          <w:i w:val="0"/>
          <w:iCs w:val="0"/>
          <w:caps w:val="0"/>
          <w:color w:val="303030"/>
          <w:spacing w:val="0"/>
          <w:sz w:val="21"/>
          <w:szCs w:val="21"/>
          <w:shd w:val="clear" w:fill="FFFFFF"/>
        </w:rPr>
        <w:fldChar w:fldCharType="end"/>
      </w:r>
      <w:r>
        <w:rPr>
          <w:rFonts w:hint="eastAsia" w:ascii="方正公文楷体" w:hAnsi="方正公文楷体" w:eastAsia="方正公文楷体" w:cs="方正公文楷体"/>
          <w:i w:val="0"/>
          <w:iCs w:val="0"/>
          <w:caps w:val="0"/>
          <w:color w:val="303030"/>
          <w:spacing w:val="0"/>
          <w:sz w:val="21"/>
          <w:szCs w:val="21"/>
          <w:shd w:val="clear" w:fill="FFFFFF"/>
        </w:rPr>
        <w:t>.</w:t>
      </w:r>
    </w:p>
    <w:p w14:paraId="1153204F">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LEE J Y, LEE K T, SEO S, et al. Decorative power generating panels creating angle insensitive transmissive colors[J]. Scientific Reports, 2014, 4(1): 4192. </w:t>
      </w:r>
      <w:r>
        <w:rPr>
          <w:rFonts w:hint="eastAsia" w:ascii="方正公文楷体" w:hAnsi="方正公文楷体" w:eastAsia="方正公文楷体" w:cs="方正公文楷体"/>
          <w:i w:val="0"/>
          <w:iCs w:val="0"/>
          <w:caps w:val="0"/>
          <w:color w:val="303030"/>
          <w:spacing w:val="0"/>
          <w:sz w:val="21"/>
          <w:szCs w:val="21"/>
          <w:shd w:val="clear" w:fill="FFFFFF"/>
        </w:rPr>
        <w:fldChar w:fldCharType="begin"/>
      </w:r>
      <w:r>
        <w:rPr>
          <w:rFonts w:hint="eastAsia" w:ascii="方正公文楷体" w:hAnsi="方正公文楷体" w:eastAsia="方正公文楷体" w:cs="方正公文楷体"/>
          <w:i w:val="0"/>
          <w:iCs w:val="0"/>
          <w:caps w:val="0"/>
          <w:color w:val="303030"/>
          <w:spacing w:val="0"/>
          <w:sz w:val="21"/>
          <w:szCs w:val="21"/>
          <w:shd w:val="clear" w:fill="FFFFFF"/>
        </w:rPr>
        <w:instrText xml:space="preserve"> HYPERLINK "https://doi.org/10.1038/srep04192" \t "_blank" </w:instrText>
      </w:r>
      <w:r>
        <w:rPr>
          <w:rFonts w:hint="eastAsia" w:ascii="方正公文楷体" w:hAnsi="方正公文楷体" w:eastAsia="方正公文楷体" w:cs="方正公文楷体"/>
          <w:i w:val="0"/>
          <w:iCs w:val="0"/>
          <w:caps w:val="0"/>
          <w:color w:val="303030"/>
          <w:spacing w:val="0"/>
          <w:sz w:val="21"/>
          <w:szCs w:val="21"/>
          <w:shd w:val="clear" w:fill="FFFFFF"/>
        </w:rPr>
        <w:fldChar w:fldCharType="separate"/>
      </w:r>
      <w:r>
        <w:rPr>
          <w:rFonts w:hint="eastAsia" w:ascii="方正公文楷体" w:hAnsi="方正公文楷体" w:eastAsia="方正公文楷体" w:cs="方正公文楷体"/>
          <w:i w:val="0"/>
          <w:iCs w:val="0"/>
          <w:caps w:val="0"/>
          <w:color w:val="303030"/>
          <w:spacing w:val="0"/>
          <w:sz w:val="21"/>
          <w:szCs w:val="21"/>
          <w:shd w:val="clear" w:fill="FFFFFF"/>
        </w:rPr>
        <w:t>https://doi.org/10.1038/srep04192</w:t>
      </w:r>
      <w:r>
        <w:rPr>
          <w:rFonts w:hint="eastAsia" w:ascii="方正公文楷体" w:hAnsi="方正公文楷体" w:eastAsia="方正公文楷体" w:cs="方正公文楷体"/>
          <w:i w:val="0"/>
          <w:iCs w:val="0"/>
          <w:caps w:val="0"/>
          <w:color w:val="303030"/>
          <w:spacing w:val="0"/>
          <w:sz w:val="21"/>
          <w:szCs w:val="21"/>
          <w:shd w:val="clear" w:fill="FFFFFF"/>
        </w:rPr>
        <w:fldChar w:fldCharType="end"/>
      </w:r>
      <w:r>
        <w:rPr>
          <w:rFonts w:hint="eastAsia" w:ascii="方正公文楷体" w:hAnsi="方正公文楷体" w:eastAsia="方正公文楷体" w:cs="方正公文楷体"/>
          <w:i w:val="0"/>
          <w:iCs w:val="0"/>
          <w:caps w:val="0"/>
          <w:color w:val="303030"/>
          <w:spacing w:val="0"/>
          <w:sz w:val="21"/>
          <w:szCs w:val="21"/>
          <w:shd w:val="clear" w:fill="FFFFFF"/>
        </w:rPr>
        <w:t>.</w:t>
      </w:r>
    </w:p>
    <w:p w14:paraId="0A222E29">
      <w:pPr>
        <w:keepNext w:val="0"/>
        <w:keepLines w:val="0"/>
        <w:widowControl/>
        <w:numPr>
          <w:ilvl w:val="0"/>
          <w:numId w:val="0"/>
        </w:numPr>
        <w:suppressLineNumbers w:val="0"/>
        <w:spacing w:before="0" w:beforeAutospacing="1" w:after="0" w:afterAutospacing="1"/>
        <w:ind w:left="360" w:leftChars="0"/>
        <w:rPr>
          <w:rFonts w:hint="eastAsia" w:ascii="方正公文楷体" w:hAnsi="方正公文楷体" w:eastAsia="方正公文楷体" w:cs="方正公文楷体"/>
          <w:i w:val="0"/>
          <w:iCs w:val="0"/>
          <w:caps w:val="0"/>
          <w:color w:val="303030"/>
          <w:spacing w:val="0"/>
          <w:sz w:val="21"/>
          <w:szCs w:val="21"/>
          <w:shd w:val="clear" w:fill="FFFFFF"/>
        </w:rPr>
      </w:pPr>
    </w:p>
    <w:p w14:paraId="4BC9FDAB">
      <w:pPr>
        <w:keepNext w:val="0"/>
        <w:keepLines w:val="0"/>
        <w:widowControl/>
        <w:numPr>
          <w:ilvl w:val="0"/>
          <w:numId w:val="0"/>
        </w:numPr>
        <w:suppressLineNumbers w:val="0"/>
        <w:spacing w:before="0" w:beforeAutospacing="1" w:after="0" w:afterAutospacing="1"/>
        <w:ind w:left="360" w:leftChars="0"/>
        <w:rPr>
          <w:rFonts w:hint="eastAsia" w:ascii="方正公文楷体" w:hAnsi="方正公文楷体" w:eastAsia="方正公文楷体" w:cs="方正公文楷体"/>
          <w:i w:val="0"/>
          <w:iCs w:val="0"/>
          <w:caps w:val="0"/>
          <w:color w:val="303030"/>
          <w:spacing w:val="0"/>
          <w:sz w:val="21"/>
          <w:szCs w:val="21"/>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8A3C9ABD-93A8-4E5C-833D-768F3537F508}"/>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7105F5F0-2780-4336-8CD0-FC5B962D54DB}"/>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embedRegular r:id="rId3" w:fontKey="{BE99D015-BF6B-40CF-9C2E-43DB6CEA1CB8}"/>
  </w:font>
  <w:font w:name="华文楷体">
    <w:panose1 w:val="02010600040101010101"/>
    <w:charset w:val="86"/>
    <w:family w:val="auto"/>
    <w:pitch w:val="default"/>
    <w:sig w:usb0="00000287" w:usb1="080F0000" w:usb2="00000000" w:usb3="00000000" w:csb0="0004009F" w:csb1="DFD70000"/>
    <w:embedRegular r:id="rId4" w:fontKey="{EE2969F1-D7D7-413D-9E2D-88FE2DE7C931}"/>
  </w:font>
  <w:font w:name="Cambria Math">
    <w:panose1 w:val="02040503050406030204"/>
    <w:charset w:val="00"/>
    <w:family w:val="auto"/>
    <w:pitch w:val="default"/>
    <w:sig w:usb0="E00006FF" w:usb1="420024FF" w:usb2="02000000" w:usb3="00000000" w:csb0="2000019F" w:csb1="00000000"/>
    <w:embedRegular r:id="rId5" w:fontKey="{A22B870D-9B5D-43FE-93F0-A706DB7ED485}"/>
  </w:font>
  <w:font w:name="方正公文楷体">
    <w:panose1 w:val="02000500000000000000"/>
    <w:charset w:val="86"/>
    <w:family w:val="auto"/>
    <w:pitch w:val="default"/>
    <w:sig w:usb0="A00002BF" w:usb1="38CF7CFA" w:usb2="00000016" w:usb3="00000000" w:csb0="00040001" w:csb1="00000000"/>
    <w:embedRegular r:id="rId6" w:fontKey="{40E8D6AD-778D-4948-9E10-491BF76D8084}"/>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2336EB"/>
    <w:multiLevelType w:val="singleLevel"/>
    <w:tmpl w:val="F32336EB"/>
    <w:lvl w:ilvl="0" w:tentative="0">
      <w:start w:val="3"/>
      <w:numFmt w:val="chineseCounting"/>
      <w:suff w:val="nothing"/>
      <w:lvlText w:val="%1、"/>
      <w:lvlJc w:val="left"/>
      <w:rPr>
        <w:rFonts w:hint="eastAsia"/>
      </w:rPr>
    </w:lvl>
  </w:abstractNum>
  <w:abstractNum w:abstractNumId="1">
    <w:nsid w:val="F91F6BA0"/>
    <w:multiLevelType w:val="singleLevel"/>
    <w:tmpl w:val="F91F6BA0"/>
    <w:lvl w:ilvl="0" w:tentative="0">
      <w:start w:val="1"/>
      <w:numFmt w:val="decimal"/>
      <w:lvlText w:val="%1."/>
      <w:lvlJc w:val="left"/>
      <w:pPr>
        <w:tabs>
          <w:tab w:val="left" w:pos="312"/>
        </w:tabs>
      </w:pPr>
    </w:lvl>
  </w:abstractNum>
  <w:abstractNum w:abstractNumId="2">
    <w:nsid w:val="2B98601E"/>
    <w:multiLevelType w:val="multilevel"/>
    <w:tmpl w:val="2B9860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412F09B4"/>
    <w:multiLevelType w:val="singleLevel"/>
    <w:tmpl w:val="412F09B4"/>
    <w:lvl w:ilvl="0" w:tentative="0">
      <w:start w:val="2"/>
      <w:numFmt w:val="chineseCounting"/>
      <w:lvlText w:val="%1."/>
      <w:lvlJc w:val="left"/>
      <w:pPr>
        <w:tabs>
          <w:tab w:val="left" w:pos="312"/>
        </w:tabs>
      </w:pPr>
      <w:rPr>
        <w:rFonts w:hint="eastAsia"/>
      </w:rPr>
    </w:lvl>
  </w:abstractNum>
  <w:abstractNum w:abstractNumId="4">
    <w:nsid w:val="5B622F38"/>
    <w:multiLevelType w:val="singleLevel"/>
    <w:tmpl w:val="5B622F38"/>
    <w:lvl w:ilvl="0" w:tentative="0">
      <w:start w:val="1"/>
      <w:numFmt w:val="decimal"/>
      <w:lvlText w:val="%1."/>
      <w:lvlJc w:val="left"/>
      <w:pPr>
        <w:tabs>
          <w:tab w:val="left" w:pos="312"/>
        </w:tabs>
      </w:pPr>
    </w:lvl>
  </w:abstractNum>
  <w:abstractNum w:abstractNumId="5">
    <w:nsid w:val="7AA5F609"/>
    <w:multiLevelType w:val="singleLevel"/>
    <w:tmpl w:val="7AA5F609"/>
    <w:lvl w:ilvl="0" w:tentative="0">
      <w:start w:val="3"/>
      <w:numFmt w:val="chineseCounting"/>
      <w:lvlText w:val="%1."/>
      <w:lvlJc w:val="left"/>
      <w:pPr>
        <w:tabs>
          <w:tab w:val="left" w:pos="312"/>
        </w:tabs>
      </w:pPr>
      <w:rPr>
        <w:rFonts w:hint="eastAsia"/>
      </w:rPr>
    </w:lvl>
  </w:abstractNum>
  <w:num w:numId="1">
    <w:abstractNumId w:val="0"/>
  </w:num>
  <w:num w:numId="2">
    <w:abstractNumId w:val="3"/>
  </w:num>
  <w:num w:numId="3">
    <w:abstractNumId w:val="1"/>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C0DF2"/>
    <w:rsid w:val="00981AB2"/>
    <w:rsid w:val="015920E6"/>
    <w:rsid w:val="01CE1272"/>
    <w:rsid w:val="02E77B5B"/>
    <w:rsid w:val="034D3112"/>
    <w:rsid w:val="03E07A24"/>
    <w:rsid w:val="04277401"/>
    <w:rsid w:val="04710602"/>
    <w:rsid w:val="04814D63"/>
    <w:rsid w:val="05383DEE"/>
    <w:rsid w:val="055775D7"/>
    <w:rsid w:val="05ED01D7"/>
    <w:rsid w:val="060E19D4"/>
    <w:rsid w:val="07017328"/>
    <w:rsid w:val="079052BE"/>
    <w:rsid w:val="08B767EB"/>
    <w:rsid w:val="0957472D"/>
    <w:rsid w:val="0AB100FE"/>
    <w:rsid w:val="0B673593"/>
    <w:rsid w:val="0CC675E4"/>
    <w:rsid w:val="0D2210AE"/>
    <w:rsid w:val="0D8458C4"/>
    <w:rsid w:val="0E15651D"/>
    <w:rsid w:val="0E484B44"/>
    <w:rsid w:val="0FB57FB7"/>
    <w:rsid w:val="110012CD"/>
    <w:rsid w:val="12B94041"/>
    <w:rsid w:val="133762B4"/>
    <w:rsid w:val="140A0E3E"/>
    <w:rsid w:val="14495172"/>
    <w:rsid w:val="147246C9"/>
    <w:rsid w:val="14EF637E"/>
    <w:rsid w:val="154F67B8"/>
    <w:rsid w:val="15757437"/>
    <w:rsid w:val="1585667E"/>
    <w:rsid w:val="15970B09"/>
    <w:rsid w:val="15CE1DD3"/>
    <w:rsid w:val="15E96C0C"/>
    <w:rsid w:val="160A01D1"/>
    <w:rsid w:val="163B52FF"/>
    <w:rsid w:val="165E4F6A"/>
    <w:rsid w:val="16AE5760"/>
    <w:rsid w:val="16F94C2D"/>
    <w:rsid w:val="17C214C3"/>
    <w:rsid w:val="1AA8484B"/>
    <w:rsid w:val="1AB1474E"/>
    <w:rsid w:val="1BA3160C"/>
    <w:rsid w:val="1C5805BC"/>
    <w:rsid w:val="1E081BFA"/>
    <w:rsid w:val="1E1E4F79"/>
    <w:rsid w:val="1E605592"/>
    <w:rsid w:val="1F1A47DF"/>
    <w:rsid w:val="1F30765A"/>
    <w:rsid w:val="1F574BE7"/>
    <w:rsid w:val="1F845C8A"/>
    <w:rsid w:val="200A1C59"/>
    <w:rsid w:val="203B66A0"/>
    <w:rsid w:val="21602400"/>
    <w:rsid w:val="21BF054D"/>
    <w:rsid w:val="22852AC0"/>
    <w:rsid w:val="23405992"/>
    <w:rsid w:val="23CE7442"/>
    <w:rsid w:val="25253091"/>
    <w:rsid w:val="26217CFD"/>
    <w:rsid w:val="26CD1546"/>
    <w:rsid w:val="26D905D7"/>
    <w:rsid w:val="283755B5"/>
    <w:rsid w:val="28AD6954"/>
    <w:rsid w:val="29553353"/>
    <w:rsid w:val="2A64640A"/>
    <w:rsid w:val="2BC03B14"/>
    <w:rsid w:val="2C0003B4"/>
    <w:rsid w:val="2CEB2E12"/>
    <w:rsid w:val="2E51720C"/>
    <w:rsid w:val="2E7C01C6"/>
    <w:rsid w:val="2E8B21B7"/>
    <w:rsid w:val="2E9F3EB4"/>
    <w:rsid w:val="3115220C"/>
    <w:rsid w:val="31B6309F"/>
    <w:rsid w:val="3212499D"/>
    <w:rsid w:val="32701DFC"/>
    <w:rsid w:val="33501C21"/>
    <w:rsid w:val="339F0C19"/>
    <w:rsid w:val="342A3DB8"/>
    <w:rsid w:val="3504046E"/>
    <w:rsid w:val="353D61D5"/>
    <w:rsid w:val="35EB7D37"/>
    <w:rsid w:val="36EC1C61"/>
    <w:rsid w:val="37CC72E3"/>
    <w:rsid w:val="38077679"/>
    <w:rsid w:val="38E2331B"/>
    <w:rsid w:val="390D6387"/>
    <w:rsid w:val="3AA65E47"/>
    <w:rsid w:val="3B9117A2"/>
    <w:rsid w:val="3BA7205E"/>
    <w:rsid w:val="3C1852A6"/>
    <w:rsid w:val="3D4E205B"/>
    <w:rsid w:val="3EA66778"/>
    <w:rsid w:val="3EBC460F"/>
    <w:rsid w:val="3FD457B1"/>
    <w:rsid w:val="408152CF"/>
    <w:rsid w:val="40A16174"/>
    <w:rsid w:val="415C51FE"/>
    <w:rsid w:val="41AD22DE"/>
    <w:rsid w:val="41EA1493"/>
    <w:rsid w:val="42000D07"/>
    <w:rsid w:val="425132C0"/>
    <w:rsid w:val="42517CE6"/>
    <w:rsid w:val="425F396C"/>
    <w:rsid w:val="42703746"/>
    <w:rsid w:val="42FB3958"/>
    <w:rsid w:val="43BB4E95"/>
    <w:rsid w:val="445873A3"/>
    <w:rsid w:val="45E10B02"/>
    <w:rsid w:val="46B547C6"/>
    <w:rsid w:val="486F3408"/>
    <w:rsid w:val="49973CAE"/>
    <w:rsid w:val="4A2C1FD5"/>
    <w:rsid w:val="4A6C6EE9"/>
    <w:rsid w:val="4B6A37B8"/>
    <w:rsid w:val="4BAF1EBA"/>
    <w:rsid w:val="4BB23021"/>
    <w:rsid w:val="4CA74208"/>
    <w:rsid w:val="4D5F0F87"/>
    <w:rsid w:val="4D9825AC"/>
    <w:rsid w:val="4DD3102D"/>
    <w:rsid w:val="4E1C4782"/>
    <w:rsid w:val="4FC60E49"/>
    <w:rsid w:val="4FEE5DDD"/>
    <w:rsid w:val="51C40D49"/>
    <w:rsid w:val="5233653E"/>
    <w:rsid w:val="52AA6800"/>
    <w:rsid w:val="52B256B5"/>
    <w:rsid w:val="541A3860"/>
    <w:rsid w:val="559B40F3"/>
    <w:rsid w:val="56327239"/>
    <w:rsid w:val="586C4558"/>
    <w:rsid w:val="58A73D89"/>
    <w:rsid w:val="58F95A7C"/>
    <w:rsid w:val="591C7D2C"/>
    <w:rsid w:val="59505C28"/>
    <w:rsid w:val="595C637A"/>
    <w:rsid w:val="59B13702"/>
    <w:rsid w:val="59B30690"/>
    <w:rsid w:val="5B4D68C3"/>
    <w:rsid w:val="5B5D7C55"/>
    <w:rsid w:val="5B7001F3"/>
    <w:rsid w:val="5C337866"/>
    <w:rsid w:val="5C6C2D78"/>
    <w:rsid w:val="5C814A76"/>
    <w:rsid w:val="5D3A69D3"/>
    <w:rsid w:val="5D973E25"/>
    <w:rsid w:val="5DE30E18"/>
    <w:rsid w:val="5F372268"/>
    <w:rsid w:val="601B6F8F"/>
    <w:rsid w:val="6071095D"/>
    <w:rsid w:val="613376B9"/>
    <w:rsid w:val="61CD250B"/>
    <w:rsid w:val="62AA45FB"/>
    <w:rsid w:val="6498572D"/>
    <w:rsid w:val="65953340"/>
    <w:rsid w:val="65AD1404"/>
    <w:rsid w:val="66056182"/>
    <w:rsid w:val="665A00E6"/>
    <w:rsid w:val="667165ED"/>
    <w:rsid w:val="66D24120"/>
    <w:rsid w:val="67695573"/>
    <w:rsid w:val="67A13100"/>
    <w:rsid w:val="689478DF"/>
    <w:rsid w:val="68D423D1"/>
    <w:rsid w:val="69733998"/>
    <w:rsid w:val="69990F25"/>
    <w:rsid w:val="6A6E5F0E"/>
    <w:rsid w:val="6A7B707A"/>
    <w:rsid w:val="6A8D2838"/>
    <w:rsid w:val="6B122D3D"/>
    <w:rsid w:val="6B783FE3"/>
    <w:rsid w:val="6C011060"/>
    <w:rsid w:val="6C8163CC"/>
    <w:rsid w:val="6D321474"/>
    <w:rsid w:val="6D4318D3"/>
    <w:rsid w:val="6D547772"/>
    <w:rsid w:val="6D9D7236"/>
    <w:rsid w:val="6DAC0B3C"/>
    <w:rsid w:val="6DF1359C"/>
    <w:rsid w:val="6DF40E20"/>
    <w:rsid w:val="6EF32E85"/>
    <w:rsid w:val="6FD9651F"/>
    <w:rsid w:val="6FFB6495"/>
    <w:rsid w:val="70B44110"/>
    <w:rsid w:val="713C0B14"/>
    <w:rsid w:val="71B2527A"/>
    <w:rsid w:val="732D1E02"/>
    <w:rsid w:val="748A7DE8"/>
    <w:rsid w:val="75575F1C"/>
    <w:rsid w:val="756248C1"/>
    <w:rsid w:val="75AD0232"/>
    <w:rsid w:val="75C335B1"/>
    <w:rsid w:val="75ED6880"/>
    <w:rsid w:val="76045978"/>
    <w:rsid w:val="765B7F10"/>
    <w:rsid w:val="767911C8"/>
    <w:rsid w:val="769D2054"/>
    <w:rsid w:val="76BD5A0C"/>
    <w:rsid w:val="77A64F39"/>
    <w:rsid w:val="77D34342"/>
    <w:rsid w:val="7A613399"/>
    <w:rsid w:val="7A85352B"/>
    <w:rsid w:val="7B672C31"/>
    <w:rsid w:val="7C352D2F"/>
    <w:rsid w:val="7C5A4544"/>
    <w:rsid w:val="7D8201F6"/>
    <w:rsid w:val="7E096221"/>
    <w:rsid w:val="7E154BC6"/>
    <w:rsid w:val="7E386B07"/>
    <w:rsid w:val="7E9D794F"/>
    <w:rsid w:val="7F187CBE"/>
    <w:rsid w:val="7F7166CB"/>
    <w:rsid w:val="7F792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Body Text"/>
    <w:basedOn w:val="1"/>
    <w:semiHidden/>
    <w:qFormat/>
    <w:uiPriority w:val="0"/>
    <w:rPr>
      <w:rFonts w:ascii="仿宋" w:hAnsi="仿宋" w:eastAsia="仿宋" w:cs="仿宋"/>
      <w:sz w:val="28"/>
      <w:szCs w:val="28"/>
      <w:lang w:val="en-US" w:eastAsia="en-US" w:bidi="ar-SA"/>
    </w:rPr>
  </w:style>
  <w:style w:type="paragraph" w:styleId="5">
    <w:name w:val="toc 3"/>
    <w:basedOn w:val="1"/>
    <w:next w:val="1"/>
    <w:qFormat/>
    <w:uiPriority w:val="0"/>
    <w:pPr>
      <w:ind w:left="840" w:leftChars="400"/>
    </w:pPr>
  </w:style>
  <w:style w:type="paragraph" w:styleId="6">
    <w:name w:val="toc 1"/>
    <w:basedOn w:val="1"/>
    <w:next w:val="1"/>
    <w:uiPriority w:val="0"/>
  </w:style>
  <w:style w:type="paragraph" w:styleId="7">
    <w:name w:val="toc 2"/>
    <w:basedOn w:val="1"/>
    <w:next w:val="1"/>
    <w:uiPriority w:val="0"/>
    <w:pPr>
      <w:ind w:left="420" w:leftChars="200"/>
    </w:pPr>
  </w:style>
  <w:style w:type="paragraph" w:styleId="8">
    <w:name w:val="Normal (Web)"/>
    <w:basedOn w:val="1"/>
    <w:qFormat/>
    <w:uiPriority w:val="0"/>
    <w:rPr>
      <w:sz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Hyperlink"/>
    <w:basedOn w:val="11"/>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0" Type="http://schemas.openxmlformats.org/officeDocument/2006/relationships/fontTable" Target="fontTable.xml"/><Relationship Id="rId7" Type="http://schemas.openxmlformats.org/officeDocument/2006/relationships/image" Target="media/image2.png"/><Relationship Id="rId69" Type="http://schemas.openxmlformats.org/officeDocument/2006/relationships/numbering" Target="numbering.xml"/><Relationship Id="rId68" Type="http://schemas.openxmlformats.org/officeDocument/2006/relationships/image" Target="media/image41.png"/><Relationship Id="rId67" Type="http://schemas.openxmlformats.org/officeDocument/2006/relationships/image" Target="media/image40.png"/><Relationship Id="rId66" Type="http://schemas.openxmlformats.org/officeDocument/2006/relationships/image" Target="media/image39.png"/><Relationship Id="rId65" Type="http://schemas.openxmlformats.org/officeDocument/2006/relationships/image" Target="media/image38.png"/><Relationship Id="rId64" Type="http://schemas.openxmlformats.org/officeDocument/2006/relationships/image" Target="media/image37.wmf"/><Relationship Id="rId63" Type="http://schemas.openxmlformats.org/officeDocument/2006/relationships/oleObject" Target="embeddings/oleObject22.bin"/><Relationship Id="rId62" Type="http://schemas.openxmlformats.org/officeDocument/2006/relationships/image" Target="media/image36.wmf"/><Relationship Id="rId61" Type="http://schemas.openxmlformats.org/officeDocument/2006/relationships/oleObject" Target="embeddings/oleObject21.bin"/><Relationship Id="rId60" Type="http://schemas.openxmlformats.org/officeDocument/2006/relationships/image" Target="media/image35.wmf"/><Relationship Id="rId6" Type="http://schemas.openxmlformats.org/officeDocument/2006/relationships/image" Target="media/image1.png"/><Relationship Id="rId59" Type="http://schemas.openxmlformats.org/officeDocument/2006/relationships/oleObject" Target="embeddings/oleObject20.bin"/><Relationship Id="rId58" Type="http://schemas.openxmlformats.org/officeDocument/2006/relationships/image" Target="media/image34.wmf"/><Relationship Id="rId57" Type="http://schemas.openxmlformats.org/officeDocument/2006/relationships/oleObject" Target="embeddings/oleObject19.bin"/><Relationship Id="rId56" Type="http://schemas.openxmlformats.org/officeDocument/2006/relationships/image" Target="media/image33.wmf"/><Relationship Id="rId55" Type="http://schemas.openxmlformats.org/officeDocument/2006/relationships/oleObject" Target="embeddings/oleObject18.bin"/><Relationship Id="rId54" Type="http://schemas.openxmlformats.org/officeDocument/2006/relationships/image" Target="media/image32.wmf"/><Relationship Id="rId53" Type="http://schemas.openxmlformats.org/officeDocument/2006/relationships/oleObject" Target="embeddings/oleObject17.bin"/><Relationship Id="rId52" Type="http://schemas.openxmlformats.org/officeDocument/2006/relationships/image" Target="media/image31.wmf"/><Relationship Id="rId51" Type="http://schemas.openxmlformats.org/officeDocument/2006/relationships/oleObject" Target="embeddings/oleObject16.bin"/><Relationship Id="rId50" Type="http://schemas.openxmlformats.org/officeDocument/2006/relationships/image" Target="media/image30.wmf"/><Relationship Id="rId5" Type="http://schemas.openxmlformats.org/officeDocument/2006/relationships/theme" Target="theme/theme1.xml"/><Relationship Id="rId49" Type="http://schemas.openxmlformats.org/officeDocument/2006/relationships/oleObject" Target="embeddings/oleObject15.bin"/><Relationship Id="rId48" Type="http://schemas.openxmlformats.org/officeDocument/2006/relationships/image" Target="media/image29.wmf"/><Relationship Id="rId47" Type="http://schemas.openxmlformats.org/officeDocument/2006/relationships/oleObject" Target="embeddings/oleObject14.bin"/><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png"/><Relationship Id="rId43" Type="http://schemas.openxmlformats.org/officeDocument/2006/relationships/image" Target="media/image25.png"/><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png"/><Relationship Id="rId4" Type="http://schemas.openxmlformats.org/officeDocument/2006/relationships/endnotes" Target="endnotes.xml"/><Relationship Id="rId39" Type="http://schemas.openxmlformats.org/officeDocument/2006/relationships/image" Target="media/image21.png"/><Relationship Id="rId38" Type="http://schemas.openxmlformats.org/officeDocument/2006/relationships/image" Target="media/image20.wmf"/><Relationship Id="rId37" Type="http://schemas.openxmlformats.org/officeDocument/2006/relationships/oleObject" Target="embeddings/oleObject13.bin"/><Relationship Id="rId36" Type="http://schemas.openxmlformats.org/officeDocument/2006/relationships/image" Target="media/image19.wmf"/><Relationship Id="rId35" Type="http://schemas.openxmlformats.org/officeDocument/2006/relationships/oleObject" Target="embeddings/oleObject12.bin"/><Relationship Id="rId34" Type="http://schemas.openxmlformats.org/officeDocument/2006/relationships/image" Target="media/image18.wmf"/><Relationship Id="rId33" Type="http://schemas.openxmlformats.org/officeDocument/2006/relationships/oleObject" Target="embeddings/oleObject11.bin"/><Relationship Id="rId32" Type="http://schemas.openxmlformats.org/officeDocument/2006/relationships/image" Target="media/image17.wmf"/><Relationship Id="rId31" Type="http://schemas.openxmlformats.org/officeDocument/2006/relationships/oleObject" Target="embeddings/oleObject10.bin"/><Relationship Id="rId30" Type="http://schemas.openxmlformats.org/officeDocument/2006/relationships/image" Target="media/image16.wmf"/><Relationship Id="rId3" Type="http://schemas.openxmlformats.org/officeDocument/2006/relationships/footnotes" Target="footnotes.xml"/><Relationship Id="rId29" Type="http://schemas.openxmlformats.org/officeDocument/2006/relationships/oleObject" Target="embeddings/oleObject9.bin"/><Relationship Id="rId28" Type="http://schemas.openxmlformats.org/officeDocument/2006/relationships/image" Target="media/image15.wmf"/><Relationship Id="rId27" Type="http://schemas.openxmlformats.org/officeDocument/2006/relationships/oleObject" Target="embeddings/oleObject8.bin"/><Relationship Id="rId26" Type="http://schemas.openxmlformats.org/officeDocument/2006/relationships/image" Target="media/image14.png"/><Relationship Id="rId25" Type="http://schemas.openxmlformats.org/officeDocument/2006/relationships/image" Target="media/image13.wmf"/><Relationship Id="rId24" Type="http://schemas.openxmlformats.org/officeDocument/2006/relationships/oleObject" Target="embeddings/oleObject7.bin"/><Relationship Id="rId23" Type="http://schemas.openxmlformats.org/officeDocument/2006/relationships/image" Target="media/image12.wmf"/><Relationship Id="rId22" Type="http://schemas.openxmlformats.org/officeDocument/2006/relationships/oleObject" Target="embeddings/oleObject6.bin"/><Relationship Id="rId21" Type="http://schemas.openxmlformats.org/officeDocument/2006/relationships/image" Target="media/image11.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4.bin"/><Relationship Id="rId17" Type="http://schemas.openxmlformats.org/officeDocument/2006/relationships/image" Target="media/image9.wmf"/><Relationship Id="rId16" Type="http://schemas.openxmlformats.org/officeDocument/2006/relationships/oleObject" Target="embeddings/oleObject3.bin"/><Relationship Id="rId15" Type="http://schemas.openxmlformats.org/officeDocument/2006/relationships/image" Target="media/image8.wmf"/><Relationship Id="rId14" Type="http://schemas.openxmlformats.org/officeDocument/2006/relationships/oleObject" Target="embeddings/oleObject2.bin"/><Relationship Id="rId13" Type="http://schemas.openxmlformats.org/officeDocument/2006/relationships/image" Target="media/image7.wmf"/><Relationship Id="rId12" Type="http://schemas.openxmlformats.org/officeDocument/2006/relationships/oleObject" Target="embeddings/oleObject1.bin"/><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9686</Words>
  <Characters>16167</Characters>
  <Lines>0</Lines>
  <Paragraphs>0</Paragraphs>
  <TotalTime>0</TotalTime>
  <ScaleCrop>false</ScaleCrop>
  <LinksUpToDate>false</LinksUpToDate>
  <CharactersWithSpaces>17583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2026-03-29T00:25:00Z</dcterms:created>
  <dc:creator>HUAWEI</dc:creator>
  <cp:lastModifiedBy>王长明</cp:lastModifiedBy>
  <dcterms:modified xsi:type="dcterms:W3CDTF">2026-04-06T08:03:47Z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eyJoZGlkIjoiMzEwNTM5NzYwMDRjMzkwZTVkZjY2ODkwMGIxNGU0OTUiLCJ1c2VySWQiOiI0NTI0NTI3NDgifQ==</vt:lpwstr>
  </property>
  <property fmtid="{D5CDD505-2E9C-101B-9397-08002B2CF9AE}" pid="4" name="ICV">
    <vt:lpwstr>469E0C8075AB4FFEA92F5A2A7C08DCD0_13</vt:lpwstr>
  </property>
</Properties>
</file>