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Отображение цен в локальной валюте в Games Hub</w:t>
      </w:r>
    </w:p>
    <w:p>
      <w:pPr>
        <w:pStyle w:val="Heading1"/>
      </w:pPr>
      <w:r>
        <w:t>Цели</w:t>
      </w:r>
    </w:p>
    <w:p>
      <w:pPr>
        <w:pStyle w:val="Heading2"/>
      </w:pPr>
      <w:r>
        <w:t>Гипотеза 1 — снижение трения и рост конверсии в GH</w:t>
      </w:r>
    </w:p>
    <w:p>
      <w:r>
        <w:t>Если в GH показывать цены в локальной валюте игрока так же, как он видит их в приложении, то игрок будет быстрее распознавать знакомый tier и проще оценивать цену как нормальную, дорогую или выгодную, потому что ему не нужно переводить стоимость из долларов и заново проверять для себя, насколько предложение сопоставимо с привычной покупкой в игре. Это должно повысить вероятность первой покупки в GH и упростить повторные покупки.</w:t>
      </w:r>
    </w:p>
    <w:p>
      <w:pPr>
        <w:numPr>
          <w:ilvl w:val="0"/>
          <w:numId w:val="1"/>
        </w:numPr>
      </w:pPr>
      <w:r>
        <w:t>вырастет конверсия в первую покупку в GH;</w:t>
      </w:r>
    </w:p>
    <w:p>
      <w:pPr>
        <w:numPr>
          <w:ilvl w:val="0"/>
          <w:numId w:val="1"/>
        </w:numPr>
      </w:pPr>
      <w:r>
        <w:t>вырастет частота покупок в GH у пользователей, которые уже взаимодействуют с хабом;</w:t>
      </w:r>
    </w:p>
    <w:p>
      <w:pPr>
        <w:numPr>
          <w:ilvl w:val="0"/>
          <w:numId w:val="1"/>
        </w:numPr>
      </w:pPr>
      <w:r>
        <w:t>снизится когнитивное трение на этапе выбора оффера;</w:t>
      </w:r>
    </w:p>
    <w:p>
      <w:pPr>
        <w:numPr>
          <w:ilvl w:val="0"/>
          <w:numId w:val="1"/>
        </w:numPr>
      </w:pPr>
      <w:r>
        <w:t>вырастет средний чек, если понятная цена уменьшит барьер на покупку более дорогих tiers.</w:t>
      </w:r>
    </w:p>
    <w:p>
      <w:pPr>
        <w:pStyle w:val="Heading2"/>
      </w:pPr>
      <w:r>
        <w:t>Гипотеза 2 — рост доли GH в общей выручке и покупках</w:t>
      </w:r>
    </w:p>
    <w:p>
      <w:r>
        <w:t>Если игрок видит цену в привычной для себя валюте и может без дополнительного пересчета сопоставить предложение GH с ценой в приложении, то для части аудитории GH станет более понятным и более доверительным каналом оплаты. Это должно увеличить долю покупок и выручки GH от общей выручки по тем странам и валютам, где локальное отображение работает лучше всего.</w:t>
      </w:r>
    </w:p>
    <w:p>
      <w:pPr>
        <w:numPr>
          <w:ilvl w:val="0"/>
          <w:numId w:val="1"/>
        </w:numPr>
      </w:pPr>
      <w:r>
        <w:t>вырастет доля покупок GH от общего числа покупок на релевантной аудитории;</w:t>
      </w:r>
    </w:p>
    <w:p>
      <w:pPr>
        <w:numPr>
          <w:ilvl w:val="0"/>
          <w:numId w:val="1"/>
        </w:numPr>
      </w:pPr>
      <w:r>
        <w:t>вырастет доля revenue GH от общей выручки на релевантной аудитории;</w:t>
      </w:r>
    </w:p>
    <w:p>
      <w:pPr>
        <w:numPr>
          <w:ilvl w:val="0"/>
          <w:numId w:val="1"/>
        </w:numPr>
      </w:pPr>
      <w:r>
        <w:t>часть пользователей будет чаще выбирать GH вместо покупки в приложении.</w:t>
      </w:r>
    </w:p>
    <w:p>
      <w:pPr>
        <w:pStyle w:val="Heading2"/>
      </w:pPr>
      <w:r>
        <w:t>Дополнительная гипотеза — округление цен на карточках</w:t>
      </w:r>
    </w:p>
    <w:p>
      <w:r>
        <w:t>Если для top 5–10 валют по суммарной выручке GH округлять отображаемую цену на карточке до более привычных окончаний вроде .49 и .99, то восприятие цены может стать чище и понятнее, особенно в валютах, где прямое конвертирование дает визуально некрасивые окончания. Это может дополнительно поддержать конверсию и выручку.</w:t>
      </w:r>
    </w:p>
    <w:p>
      <w:pPr>
        <w:pStyle w:val="Heading2"/>
      </w:pPr>
      <w:r>
        <w:t>Почему такой сценарий подходит для проверки гипотезы</w:t>
      </w:r>
    </w:p>
    <w:p>
      <w:pPr>
        <w:numPr>
          <w:ilvl w:val="0"/>
          <w:numId w:val="1"/>
        </w:numPr>
      </w:pPr>
      <w:r>
        <w:t>Меняем только слой отображения цены в GH, а не весь платежный флоу, поэтому MVP проверяет именно эффект понятной локальной цены.</w:t>
      </w:r>
    </w:p>
    <w:p>
      <w:pPr>
        <w:numPr>
          <w:ilvl w:val="0"/>
          <w:numId w:val="1"/>
        </w:numPr>
      </w:pPr>
      <w:r>
        <w:t>Checkout остается без изменений, что снижает объем разработки и упрощает интерпретацию результатов.</w:t>
      </w:r>
    </w:p>
    <w:p>
      <w:pPr>
        <w:numPr>
          <w:ilvl w:val="0"/>
          <w:numId w:val="1"/>
        </w:numPr>
      </w:pPr>
      <w:r>
        <w:t>Логику можно включать и выключать по странам и валютам, поэтому при смешанном результате не нужно принимать бинарное решение на весь GH.</w:t>
      </w:r>
    </w:p>
    <w:p>
      <w:pPr>
        <w:numPr>
          <w:ilvl w:val="0"/>
          <w:numId w:val="1"/>
        </w:numPr>
      </w:pPr>
      <w:r>
        <w:t>Toffee и AppCharge анализируются отдельно, потому что поддерживают разный набор валют и могут показывать разный эффект.</w:t>
      </w:r>
    </w:p>
    <w:p>
      <w:pPr>
        <w:numPr>
          <w:ilvl w:val="0"/>
          <w:numId w:val="1"/>
        </w:numPr>
      </w:pPr>
      <w:r>
        <w:t>Отдельный слой округления можно протестировать как дополнительную вариацию внутри инициативы без переизобретения всей механики.</w:t>
      </w:r>
    </w:p>
    <w:p>
      <w:pPr>
        <w:pStyle w:val="Heading2"/>
      </w:pPr>
      <w:r>
        <w:t>Как принимается решение</w:t>
      </w:r>
    </w:p>
    <w:p>
      <w:pPr>
        <w:numPr>
          <w:ilvl w:val="0"/>
          <w:numId w:val="1"/>
        </w:numPr>
      </w:pPr>
      <w:r>
        <w:t>Success: пользователи начинают платить в GH чаще, средний чек растет, а доля GH в покупках и выручке увеличивается без существенного негатива по странам, провайдерам и support-сигналам.</w:t>
      </w:r>
    </w:p>
    <w:p>
      <w:pPr>
        <w:numPr>
          <w:ilvl w:val="0"/>
          <w:numId w:val="1"/>
        </w:numPr>
      </w:pPr>
      <w:r>
        <w:t>Partial success: общий результат смешанный, но в части стран, валют или у одного из провайдеров есть выраженный положительный эффект. В этом случае сохраняем локальное отображение только для выигрышных стран и валют.</w:t>
      </w:r>
    </w:p>
    <w:p>
      <w:pPr>
        <w:numPr>
          <w:ilvl w:val="0"/>
          <w:numId w:val="1"/>
        </w:numPr>
      </w:pPr>
      <w:r>
        <w:t>Fail: существенных положительных изменений нет или результат уходит в минус. В этом случае тест откатываем.</w:t>
      </w:r>
    </w:p>
    <w:p>
      <w:pPr>
        <w:numPr>
          <w:ilvl w:val="0"/>
          <w:numId w:val="1"/>
        </w:numPr>
      </w:pPr>
      <w:r>
        <w:t>Отдельно фиксируем support-жалобы и даем возможность вручную перемещать игроков между группами, если новое отображение вызывает критичные вопросы.</w:t>
      </w:r>
    </w:p>
    <w:p>
      <w:pPr>
        <w:pStyle w:val="Heading1"/>
      </w:pPr>
      <w:r>
        <w:t>Аналитика</w:t>
      </w:r>
    </w:p>
    <w:p>
      <w:pPr>
        <w:pStyle w:val="Heading2"/>
      </w:pPr>
      <w:r>
        <w:t>Предпосылки и данные</w:t>
      </w:r>
    </w:p>
    <w:p>
      <w:pPr>
        <w:numPr>
          <w:ilvl w:val="0"/>
          <w:numId w:val="1"/>
        </w:numPr>
      </w:pPr>
      <w:r>
        <w:t>В приложении игрок уже видит цены в локальной валюте и запоминает порядок цен на типовые tiers и повторяющиеся офферы.</w:t>
      </w:r>
    </w:p>
    <w:p>
      <w:pPr>
        <w:numPr>
          <w:ilvl w:val="0"/>
          <w:numId w:val="1"/>
        </w:numPr>
      </w:pPr>
      <w:r>
        <w:t>В GH цена сейчас отображается в долларах, из-за чего возникает когнитивное трение: игроку нужно переводить стоимость в уме или сравнивать ее с привычной ценой в игре.</w:t>
      </w:r>
    </w:p>
    <w:p>
      <w:pPr>
        <w:numPr>
          <w:ilvl w:val="0"/>
          <w:numId w:val="1"/>
        </w:numPr>
      </w:pPr>
      <w:r>
        <w:t>Дополнительно возникает доверительное трение: даже если в GH предложение выгоднее, игроку сложнее быстро поверить в выгоду, когда цена показана не в той валюте, к которой он привык.</w:t>
      </w:r>
    </w:p>
    <w:p>
      <w:pPr>
        <w:numPr>
          <w:ilvl w:val="0"/>
          <w:numId w:val="1"/>
        </w:numPr>
      </w:pPr>
      <w:r>
        <w:t>Toffee поддерживает только три локальные валюты: EUR, GBP и USD.</w:t>
      </w:r>
    </w:p>
    <w:p>
      <w:pPr>
        <w:numPr>
          <w:ilvl w:val="0"/>
          <w:numId w:val="1"/>
        </w:numPr>
      </w:pPr>
      <w:r>
        <w:t>AppCharge поддерживает 36 валют, поэтому эффект фичи и scope запуска для этого провайдера будут шире.</w:t>
      </w:r>
    </w:p>
    <w:p>
      <w:pPr>
        <w:numPr>
          <w:ilvl w:val="0"/>
          <w:numId w:val="1"/>
        </w:numPr>
      </w:pPr>
      <w:r>
        <w:t>В текущей реализации уже существует фиксированная таблица курсов, которая может быть использована как источник отображаемой локальной цены в MVP.</w:t>
      </w:r>
    </w:p>
    <w:p>
      <w:pPr>
        <w:pStyle w:val="Heading2"/>
      </w:pPr>
      <w:r>
        <w:t>Обязательные readouts для решения</w:t>
      </w:r>
    </w:p>
    <w:tbl>
      <w:tblPr>
        <w:tblStyle w:val="Table3"/>
        <w:tblW w:w="0" w:type="auto"/>
        <w:tblLook w:firstRow="1" w:lastRow="0" w:firstColumn="1" w:lastColumn="0" w:noHBand="0" w:noVBand="1" w:val="04A0"/>
      </w:tblPr>
      <w:tblGrid>
        <w:gridCol w:w="2500"/>
        <w:gridCol w:w="2800"/>
        <w:gridCol w:w="3200"/>
      </w:tblGrid>
      <w:tr>
        <w:tc>
          <w:tcPr>
            <w:tcW w:w="0" w:type="auto"/>
          </w:tcPr>
          <w:p>
            <w:r>
              <w:rPr>
                <w:b/>
                <w:bCs/>
              </w:rPr>
              <w:t>Readout</w:t>
            </w:r>
          </w:p>
        </w:tc>
        <w:tc>
          <w:tcPr>
            <w:tcW w:w="0" w:type="auto"/>
          </w:tcPr>
          <w:p>
            <w:r>
              <w:rPr>
                <w:b/>
                <w:bCs/>
              </w:rPr>
              <w:t>Разрез</w:t>
            </w:r>
          </w:p>
        </w:tc>
        <w:tc>
          <w:tcPr>
            <w:tcW w:w="0" w:type="auto"/>
          </w:tcPr>
          <w:p>
            <w:r>
              <w:rPr>
                <w:b/>
                <w:bCs/>
              </w:rPr>
              <w:t>Что нужно заполнить</w:t>
            </w:r>
          </w:p>
        </w:tc>
      </w:tr>
      <w:tr>
        <w:tc>
          <w:tcPr>
            <w:tcW w:w="0" w:type="auto"/>
          </w:tcPr>
          <w:p>
            <w:r>
              <w:t>Конверсия в первую покупку в GH</w:t>
            </w:r>
          </w:p>
        </w:tc>
        <w:tc>
          <w:tcPr>
            <w:tcW w:w="0" w:type="auto"/>
          </w:tcPr>
          <w:p>
            <w:r>
              <w:t>Отдельно по Toffee / AppCharge, странам и валютам</w:t>
            </w:r>
          </w:p>
        </w:tc>
        <w:tc>
          <w:tcPr>
            <w:tcW w:w="0" w:type="auto"/>
          </w:tcPr>
          <w:p>
            <w:r>
              <w:t>[Заполнить вручную: baseline и ожидаемое изменение]</w:t>
            </w:r>
          </w:p>
        </w:tc>
      </w:tr>
      <w:tr>
        <w:tc>
          <w:tcPr>
            <w:tcW w:w="0" w:type="auto"/>
          </w:tcPr>
          <w:p>
            <w:r>
              <w:t>Частота покупок в GH</w:t>
            </w:r>
          </w:p>
        </w:tc>
        <w:tc>
          <w:tcPr>
            <w:tcW w:w="0" w:type="auto"/>
          </w:tcPr>
          <w:p>
            <w:r>
              <w:t>Отдельно по Toffee / AppCharge, странам и валютам</w:t>
            </w:r>
          </w:p>
        </w:tc>
        <w:tc>
          <w:tcPr>
            <w:tcW w:w="0" w:type="auto"/>
          </w:tcPr>
          <w:p>
            <w:r>
              <w:t>[Заполнить вручную: baseline и ожидаемое изменение]</w:t>
            </w:r>
          </w:p>
        </w:tc>
      </w:tr>
      <w:tr>
        <w:tc>
          <w:tcPr>
            <w:tcW w:w="0" w:type="auto"/>
          </w:tcPr>
          <w:p>
            <w:r>
              <w:t>Средний чек</w:t>
            </w:r>
          </w:p>
        </w:tc>
        <w:tc>
          <w:tcPr>
            <w:tcW w:w="0" w:type="auto"/>
          </w:tcPr>
          <w:p>
            <w:r>
              <w:t>Отдельно по Toffee / AppCharge, странам и валютам</w:t>
            </w:r>
          </w:p>
        </w:tc>
        <w:tc>
          <w:tcPr>
            <w:tcW w:w="0" w:type="auto"/>
          </w:tcPr>
          <w:p>
            <w:r>
              <w:t>[Заполнить вручную: baseline и ожидаемое изменение]</w:t>
            </w:r>
          </w:p>
        </w:tc>
      </w:tr>
      <w:tr>
        <w:tc>
          <w:tcPr>
            <w:tcW w:w="0" w:type="auto"/>
          </w:tcPr>
          <w:p>
            <w:r>
              <w:t>Доля покупок GH и доля revenue GH от общего</w:t>
            </w:r>
          </w:p>
        </w:tc>
        <w:tc>
          <w:tcPr>
            <w:tcW w:w="0" w:type="auto"/>
          </w:tcPr>
          <w:p>
            <w:r>
              <w:t>Отдельно по странам / валютам и суммарно</w:t>
            </w:r>
          </w:p>
        </w:tc>
        <w:tc>
          <w:tcPr>
            <w:tcW w:w="0" w:type="auto"/>
          </w:tcPr>
          <w:p>
            <w:r>
              <w:t>[Заполнить вручную: baseline и ожидаемое изменение]</w:t>
            </w:r>
          </w:p>
        </w:tc>
      </w:tr>
      <w:tr>
        <w:tc>
          <w:tcPr>
            <w:tcW w:w="0" w:type="auto"/>
          </w:tcPr>
          <w:p>
            <w:r>
              <w:t>Support-сигналы и ручные переводы между группами</w:t>
            </w:r>
          </w:p>
        </w:tc>
        <w:tc>
          <w:tcPr>
            <w:tcW w:w="0" w:type="auto"/>
          </w:tcPr>
          <w:p>
            <w:r>
              <w:t>Суммарно и по странам</w:t>
            </w:r>
          </w:p>
        </w:tc>
        <w:tc>
          <w:tcPr>
            <w:tcW w:w="0" w:type="auto"/>
          </w:tcPr>
          <w:p>
            <w:r>
              <w:t>[Заполнить вручную: допустимый уровень и способ мониторинга]</w:t>
            </w:r>
          </w:p>
        </w:tc>
      </w:tr>
    </w:tbl>
    <w:p>
      <w:pPr>
        <w:pStyle w:val="Heading2"/>
      </w:pPr>
      <w:r>
        <w:t>Вопросы к аналитикам</w:t>
      </w:r>
    </w:p>
    <w:p>
      <w:pPr>
        <w:numPr>
          <w:ilvl w:val="0"/>
          <w:numId w:val="1"/>
        </w:numPr>
      </w:pPr>
      <w:r>
        <w:t>Какие 5–10 валют дают максимальную суммарную выручку GH и подходят для теста округления?</w:t>
      </w:r>
    </w:p>
    <w:p>
      <w:pPr>
        <w:numPr>
          <w:ilvl w:val="0"/>
          <w:numId w:val="1"/>
        </w:numPr>
      </w:pPr>
      <w:r>
        <w:t>Какой baseline по конверсии в первую покупку, частоте покупок и среднему чеку в GH по Toffee и AppCharge отдельно?</w:t>
      </w:r>
    </w:p>
    <w:p>
      <w:pPr>
        <w:numPr>
          <w:ilvl w:val="0"/>
          <w:numId w:val="1"/>
        </w:numPr>
      </w:pPr>
      <w:r>
        <w:t>Как выглядит текущая доля GH в общей выручке и покупках по странам, где доступна локальная валюта?</w:t>
      </w:r>
    </w:p>
    <w:p>
      <w:pPr>
        <w:numPr>
          <w:ilvl w:val="0"/>
          <w:numId w:val="1"/>
        </w:numPr>
      </w:pPr>
      <w:r>
        <w:t>Какие страны и валюты нужно исключить до запуска из-за низкого объема или нестабильных данных?</w:t>
      </w:r>
    </w:p>
    <w:p>
      <w:pPr>
        <w:numPr>
          <w:ilvl w:val="0"/>
          <w:numId w:val="1"/>
        </w:numPr>
      </w:pPr>
      <w:r>
        <w:t>Какой уровень support-жалоб и ручных переводов между группами считаем допустимым guardrail для теста?</w:t>
      </w:r>
    </w:p>
    <w:p>
      <w:pPr>
        <w:pStyle w:val="Heading2"/>
      </w:pPr>
      <w:r>
        <w:t>План обоснования метрик</w:t>
      </w:r>
    </w:p>
    <w:p>
      <w:r>
        <w:t>Все пороги успеха, длительность теста и список top 5–10 валют для округления должны быть подтверждены данными до запуска. [Заполнить вручную: baseline, target, sample size, критерий статистической значимости].</w:t>
      </w:r>
    </w:p>
    <w:p>
      <w:pPr>
        <w:pStyle w:val="Heading1"/>
      </w:pPr>
      <w:r>
        <w:t>User Story</w:t>
      </w:r>
    </w:p>
    <w:p>
      <w:pPr>
        <w:pStyle w:val="Heading2"/>
      </w:pPr>
      <w:r>
        <w:t>Точки входа</w:t>
      </w:r>
    </w:p>
    <w:p>
      <w:pPr>
        <w:numPr>
          <w:ilvl w:val="0"/>
          <w:numId w:val="1"/>
        </w:numPr>
      </w:pPr>
      <w:r>
        <w:t>Каталог товаров GH — основной сценарий: игрок заходит в магазин GH и видит карточки товаров.</w:t>
      </w:r>
    </w:p>
    <w:p>
      <w:pPr>
        <w:numPr>
          <w:ilvl w:val="0"/>
          <w:numId w:val="1"/>
        </w:numPr>
      </w:pPr>
      <w:r>
        <w:t>Повторный визит в GH — игрок уже знает типовые предложения и быстрее распознает цену, если она показана в привычной валюте.</w:t>
      </w:r>
    </w:p>
    <w:p>
      <w:pPr>
        <w:pStyle w:val="Heading2"/>
      </w:pPr>
      <w:r>
        <w:t>Core Loop</w:t>
      </w:r>
    </w:p>
    <w:p>
      <w:r>
        <w:t>1. Игрок открывает магазин в GH.</w:t>
      </w:r>
    </w:p>
    <w:p>
      <w:r>
        <w:t>2. На всех карточках товаров видит цену только в своей локальной валюте, без дублирования в USD.</w:t>
      </w:r>
    </w:p>
    <w:p>
      <w:r>
        <w:t>3. Сразу распознает знакомый tier и быстрее оценивает предложение относительно привычной цены в приложении.</w:t>
      </w:r>
    </w:p>
    <w:p>
      <w:r>
        <w:t>4. В выбранных top 5–10 валютах на карточке может отображаться округленная цена с более привычным окончанием.</w:t>
      </w:r>
    </w:p>
    <w:p>
      <w:r>
        <w:t>5. Игрок нажимает на карточку товара и переходит в текущий checkout без дополнительных изменений в платежном флоу.</w:t>
      </w:r>
    </w:p>
    <w:p>
      <w:r>
        <w:t>6. Если цена считывается как понятная и выгодная, игрок завершает покупку быстрее и с меньшим трением.</w:t>
      </w:r>
    </w:p>
    <w:p>
      <w:r>
        <w:t>7. После покупки поведение игрока оценивается по повторным покупкам, среднему чеку и выбору GH как канала оплаты.</w:t>
      </w:r>
    </w:p>
    <w:p>
      <w:pPr>
        <w:pStyle w:val="Heading2"/>
      </w:pPr>
      <w:r>
        <w:t>Ключевые экраны</w:t>
      </w:r>
    </w:p>
    <w:p>
      <w:pPr>
        <w:numPr>
          <w:ilvl w:val="0"/>
          <w:numId w:val="1"/>
        </w:numPr>
      </w:pPr>
      <w:r>
        <w:t>Карточка товара в GH: локальная цена, локальный символ валюты, адаптированное отображение под длину строки.</w:t>
      </w:r>
    </w:p>
    <w:p>
      <w:pPr>
        <w:numPr>
          <w:ilvl w:val="0"/>
          <w:numId w:val="1"/>
        </w:numPr>
      </w:pPr>
      <w:r>
        <w:t>Каталог GH в целом: все цены показаны в локальной валюте без дублирования в USD.</w:t>
      </w:r>
    </w:p>
    <w:p>
      <w:pPr>
        <w:numPr>
          <w:ilvl w:val="0"/>
          <w:numId w:val="1"/>
        </w:numPr>
      </w:pPr>
      <w:r>
        <w:t>Checkout: текущий сценарий без продуктовых изменений в рамках MVP.</w:t>
      </w:r>
    </w:p>
    <w:p>
      <w:pPr>
        <w:pStyle w:val="Heading2"/>
      </w:pPr>
      <w:r>
        <w:t>Edge Cases</w:t>
      </w:r>
    </w:p>
    <w:p>
      <w:pPr>
        <w:numPr>
          <w:ilvl w:val="0"/>
          <w:numId w:val="1"/>
        </w:numPr>
      </w:pPr>
      <w:r>
        <w:t>Для страны или провайдера локальная валюта не поддерживается — фича должна отключаться конфигом, а пользователь остается в текущем сценарии отображения.</w:t>
      </w:r>
    </w:p>
    <w:p>
      <w:pPr>
        <w:numPr>
          <w:ilvl w:val="0"/>
          <w:numId w:val="1"/>
        </w:numPr>
      </w:pPr>
      <w:r>
        <w:t>Одна и та же страна может поддерживаться по-разному в Toffee и AppCharge — анализ и управление должны идти отдельно по провайдерам.</w:t>
      </w:r>
    </w:p>
    <w:p>
      <w:pPr>
        <w:numPr>
          <w:ilvl w:val="0"/>
          <w:numId w:val="1"/>
        </w:numPr>
      </w:pPr>
      <w:r>
        <w:t>После прямого конвертирования локальная цена получается слишком длинной и не помещается в карточку — интерфейс карточки должен корректно адаптироваться под длину строки.</w:t>
      </w:r>
    </w:p>
    <w:p>
      <w:pPr>
        <w:numPr>
          <w:ilvl w:val="0"/>
          <w:numId w:val="1"/>
        </w:numPr>
      </w:pPr>
      <w:r>
        <w:t>На карточке применяется округление, а в checkout итоговая сумма остается расчетной — нужно отдельно контролировать допустимость такого расхождения по UX и support-сигналам.</w:t>
      </w:r>
    </w:p>
    <w:p>
      <w:pPr>
        <w:numPr>
          <w:ilvl w:val="0"/>
          <w:numId w:val="1"/>
        </w:numPr>
      </w:pPr>
      <w:r>
        <w:t>Игрок жалуется на новое отображение и просит вернуть старый вариант — support должен иметь понятный сценарий ручного перевода между группами теста.</w:t>
      </w:r>
    </w:p>
    <w:p>
      <w:pPr>
        <w:numPr>
          <w:ilvl w:val="0"/>
          <w:numId w:val="1"/>
        </w:numPr>
      </w:pPr>
      <w:r>
        <w:t>По части стран есть рост, по части стран есть минус — фича должна уметь оставаться включенной только для выигрышных стран и валют.</w:t>
      </w:r>
    </w:p>
    <w:p>
      <w:pPr>
        <w:pStyle w:val="Heading1"/>
      </w:pPr>
      <w:r>
        <w:t>Реализация</w:t>
      </w:r>
    </w:p>
    <w:p>
      <w:pPr>
        <w:pStyle w:val="Heading2"/>
      </w:pPr>
      <w:r>
        <w:t>Сервер</w:t>
      </w:r>
    </w:p>
    <w:p>
      <w:pPr>
        <w:numPr>
          <w:ilvl w:val="0"/>
          <w:numId w:val="1"/>
        </w:numPr>
      </w:pPr>
      <w:r>
        <w:t>Хранить и отдавать отображаемую локальную цену на основе текущей фиксированной таблицы курсов.</w:t>
      </w:r>
    </w:p>
    <w:p>
      <w:pPr>
        <w:numPr>
          <w:ilvl w:val="0"/>
          <w:numId w:val="1"/>
        </w:numPr>
      </w:pPr>
      <w:r>
        <w:t>Развести конфигурацию по провайдерам: Toffee и AppCharge управляются отдельно из-за разного набора поддерживаемых валют.</w:t>
      </w:r>
    </w:p>
    <w:p>
      <w:pPr>
        <w:numPr>
          <w:ilvl w:val="0"/>
          <w:numId w:val="1"/>
        </w:numPr>
      </w:pPr>
      <w:r>
        <w:t>Дать возможность включать и выключать локальное отображение по странам, валютам и провайдерам без изменения клиентской логики.</w:t>
      </w:r>
    </w:p>
    <w:p>
      <w:pPr>
        <w:numPr>
          <w:ilvl w:val="0"/>
          <w:numId w:val="1"/>
        </w:numPr>
      </w:pPr>
      <w:r>
        <w:t>Отдельно хранить список top 5–10 валют, где применяется округление отображаемой цены на карточке.</w:t>
      </w:r>
    </w:p>
    <w:p>
      <w:pPr>
        <w:numPr>
          <w:ilvl w:val="0"/>
          <w:numId w:val="1"/>
        </w:numPr>
      </w:pPr>
      <w:r>
        <w:t>Логировать: провайдер, страна, валюта, факт локального отображения, факт округления, вход в checkout, покупку, support-кейс по возврату в другую группу.</w:t>
      </w:r>
    </w:p>
    <w:p>
      <w:pPr>
        <w:pStyle w:val="Heading2"/>
      </w:pPr>
      <w:r>
        <w:t>Клиент</w:t>
      </w:r>
    </w:p>
    <w:p>
      <w:pPr>
        <w:numPr>
          <w:ilvl w:val="0"/>
          <w:numId w:val="1"/>
        </w:numPr>
      </w:pPr>
      <w:r>
        <w:t>На всех карточках товаров GH показывать только локальную валюту без дублирования USD.</w:t>
      </w:r>
    </w:p>
    <w:p>
      <w:pPr>
        <w:numPr>
          <w:ilvl w:val="0"/>
          <w:numId w:val="1"/>
        </w:numPr>
      </w:pPr>
      <w:r>
        <w:t>Подготовить карточки к разной длине валютной строки, количеству знаков и формату отображения.</w:t>
      </w:r>
    </w:p>
    <w:p>
      <w:pPr>
        <w:numPr>
          <w:ilvl w:val="0"/>
          <w:numId w:val="1"/>
        </w:numPr>
      </w:pPr>
      <w:r>
        <w:t>Не менять checkout в MVP: он остается текущим и нужен как стабильная точка сравнения.</w:t>
      </w:r>
    </w:p>
    <w:p>
      <w:pPr>
        <w:numPr>
          <w:ilvl w:val="0"/>
          <w:numId w:val="1"/>
        </w:numPr>
      </w:pPr>
      <w:r>
        <w:t>Поддержать отдельную визуальную логику для цен с округлением в top 5–10 валютах.</w:t>
      </w:r>
    </w:p>
    <w:p>
      <w:pPr>
        <w:pStyle w:val="Heading2"/>
      </w:pPr>
      <w:r>
        <w:t>Переиспользование</w:t>
      </w:r>
    </w:p>
    <w:p>
      <w:pPr>
        <w:numPr>
          <w:ilvl w:val="0"/>
          <w:numId w:val="1"/>
        </w:numPr>
      </w:pPr>
      <w:r>
        <w:t>Текущие карточки товаров GH.</w:t>
      </w:r>
    </w:p>
    <w:p>
      <w:pPr>
        <w:numPr>
          <w:ilvl w:val="0"/>
          <w:numId w:val="1"/>
        </w:numPr>
      </w:pPr>
      <w:r>
        <w:t>Текущий checkout.</w:t>
      </w:r>
    </w:p>
    <w:p>
      <w:pPr>
        <w:numPr>
          <w:ilvl w:val="0"/>
          <w:numId w:val="1"/>
        </w:numPr>
      </w:pPr>
      <w:r>
        <w:t>Существующая таблица фиксированных курсов.</w:t>
      </w:r>
    </w:p>
    <w:p>
      <w:pPr>
        <w:numPr>
          <w:ilvl w:val="0"/>
          <w:numId w:val="1"/>
        </w:numPr>
      </w:pPr>
      <w:r>
        <w:t>Стандартная инфраструктура A/B-тестов и разбиения пользователей на группы.</w:t>
      </w:r>
    </w:p>
    <w:p>
      <w:pPr>
        <w:pStyle w:val="Heading2"/>
      </w:pPr>
      <w:r>
        <w:t>Подход</w:t>
      </w:r>
    </w:p>
    <w:p>
      <w:r>
        <w:t>MVP минимально вмешивается в платежный флоу: мы меняем только отображение цен в GH и не трогаем checkout. Это позволяет быстро проверить, достаточно ли одного локального отображения, чтобы снизить трение и повлиять на monetization-метрики. Отдельная логика округления добавляется только для top 5–10 валют с наибольшей выручкой, чтобы быстрее получить статистически значимый результат.</w:t>
      </w:r>
    </w:p>
    <w:p>
      <w:pPr>
        <w:pStyle w:val="Heading1"/>
      </w:pPr>
      <w:r>
        <w:t>Оперирование</w:t>
      </w:r>
    </w:p>
    <w:p>
      <w:pPr>
        <w:pStyle w:val="Heading2"/>
      </w:pPr>
      <w:r>
        <w:t>Что нужно поддерживать после запуска</w:t>
      </w:r>
    </w:p>
    <w:tbl>
      <w:tblPr>
        <w:tblStyle w:val="Table3"/>
        <w:tblW w:w="0" w:type="auto"/>
        <w:tblLook w:firstRow="1" w:lastRow="0" w:firstColumn="1" w:lastColumn="0" w:noHBand="0" w:noVBand="1" w:val="04A0"/>
      </w:tblPr>
      <w:tblGrid>
        <w:gridCol w:w="2500"/>
        <w:gridCol w:w="2800"/>
        <w:gridCol w:w="3200"/>
      </w:tblGrid>
      <w:tr>
        <w:tc>
          <w:tcPr>
            <w:tcW w:w="0" w:type="auto"/>
          </w:tcPr>
          <w:p>
            <w:r>
              <w:rPr>
                <w:b/>
                <w:bCs/>
              </w:rPr>
              <w:t>Операция</w:t>
            </w:r>
          </w:p>
        </w:tc>
        <w:tc>
          <w:tcPr>
            <w:tcW w:w="0" w:type="auto"/>
          </w:tcPr>
          <w:p>
            <w:r>
              <w:rPr>
                <w:b/>
                <w:bCs/>
              </w:rPr>
              <w:t>Как управляется</w:t>
            </w:r>
          </w:p>
        </w:tc>
        <w:tc>
          <w:tcPr>
            <w:tcW w:w="0" w:type="auto"/>
          </w:tcPr>
          <w:p>
            <w:r>
              <w:rPr>
                <w:b/>
                <w:bCs/>
              </w:rPr>
              <w:t>Что нужно заполнить</w:t>
            </w:r>
          </w:p>
        </w:tc>
      </w:tr>
      <w:tr>
        <w:tc>
          <w:tcPr>
            <w:tcW w:w="0" w:type="auto"/>
          </w:tcPr>
          <w:p>
            <w:r>
              <w:t>Включение / выключение по странам и валютам</w:t>
            </w:r>
          </w:p>
        </w:tc>
        <w:tc>
          <w:tcPr>
            <w:tcW w:w="0" w:type="auto"/>
          </w:tcPr>
          <w:p>
            <w:r>
              <w:t>Через конфиг по провайдерам и странам</w:t>
            </w:r>
          </w:p>
        </w:tc>
        <w:tc>
          <w:tcPr>
            <w:tcW w:w="0" w:type="auto"/>
          </w:tcPr>
          <w:p>
            <w:r>
              <w:t>[Заполнить вручную: владелец и инструмент]</w:t>
            </w:r>
          </w:p>
        </w:tc>
      </w:tr>
      <w:tr>
        <w:tc>
          <w:tcPr>
            <w:tcW w:w="0" w:type="auto"/>
          </w:tcPr>
          <w:p>
            <w:r>
              <w:t>Таблица фиксированных курсов</w:t>
            </w:r>
          </w:p>
        </w:tc>
        <w:tc>
          <w:tcPr>
            <w:tcW w:w="0" w:type="auto"/>
          </w:tcPr>
          <w:p>
            <w:r>
              <w:t>Используется как источник локальной цены в MVP</w:t>
            </w:r>
          </w:p>
        </w:tc>
        <w:tc>
          <w:tcPr>
            <w:tcW w:w="0" w:type="auto"/>
          </w:tcPr>
          <w:p>
            <w:r>
              <w:t>[Заполнить вручную: нужно ли ручное обновление и как часто]</w:t>
            </w:r>
          </w:p>
        </w:tc>
      </w:tr>
      <w:tr>
        <w:tc>
          <w:tcPr>
            <w:tcW w:w="0" w:type="auto"/>
          </w:tcPr>
          <w:p>
            <w:r>
              <w:t>Список валют для округления</w:t>
            </w:r>
          </w:p>
        </w:tc>
        <w:tc>
          <w:tcPr>
            <w:tcW w:w="0" w:type="auto"/>
          </w:tcPr>
          <w:p>
            <w:r>
              <w:t>Формируется по top 5–10 валютам GH по выручке</w:t>
            </w:r>
          </w:p>
        </w:tc>
        <w:tc>
          <w:tcPr>
            <w:tcW w:w="0" w:type="auto"/>
          </w:tcPr>
          <w:p>
            <w:r>
              <w:t>[Заполнить вручную: финальный список стран / валют]</w:t>
            </w:r>
          </w:p>
        </w:tc>
      </w:tr>
      <w:tr>
        <w:tc>
          <w:tcPr>
            <w:tcW w:w="0" w:type="auto"/>
          </w:tcPr>
          <w:p>
            <w:r>
              <w:t>Support-кейсы</w:t>
            </w:r>
          </w:p>
        </w:tc>
        <w:tc>
          <w:tcPr>
            <w:tcW w:w="0" w:type="auto"/>
          </w:tcPr>
          <w:p>
            <w:r>
              <w:t>Ручной перевод игрока между группами при критичных запросах</w:t>
            </w:r>
          </w:p>
        </w:tc>
        <w:tc>
          <w:tcPr>
            <w:tcW w:w="0" w:type="auto"/>
          </w:tcPr>
          <w:p>
            <w:r>
              <w:t>[Заполнить вручную: процесс и ответственный]</w:t>
            </w:r>
          </w:p>
        </w:tc>
      </w:tr>
      <w:tr>
        <w:tc>
          <w:tcPr>
            <w:tcW w:w="0" w:type="auto"/>
          </w:tcPr>
          <w:p>
            <w:r>
              <w:t>Мониторинг эффекта</w:t>
            </w:r>
          </w:p>
        </w:tc>
        <w:tc>
          <w:tcPr>
            <w:tcW w:w="0" w:type="auto"/>
          </w:tcPr>
          <w:p>
            <w:r>
              <w:t>Дашборд по странам, валютам и провайдерам</w:t>
            </w:r>
          </w:p>
        </w:tc>
        <w:tc>
          <w:tcPr>
            <w:tcW w:w="0" w:type="auto"/>
          </w:tcPr>
          <w:p>
            <w:r>
              <w:t>[Заполнить вручную: основной отчет / дашборд]</w:t>
            </w:r>
          </w:p>
        </w:tc>
      </w:tr>
    </w:tbl>
    <w:p>
      <w:pPr>
        <w:pStyle w:val="Heading2"/>
      </w:pPr>
      <w:r>
        <w:t>Дальнейшие возможности для развития</w:t>
      </w:r>
    </w:p>
    <w:p>
      <w:pPr>
        <w:numPr>
          <w:ilvl w:val="0"/>
          <w:numId w:val="1"/>
        </w:numPr>
      </w:pPr>
      <w:r>
        <w:t>Расширить округление за пределы top 5–10 валют, если увидим, что визуально более привычные окончания реально улучшают метрики.</w:t>
      </w:r>
    </w:p>
    <w:p>
      <w:pPr>
        <w:numPr>
          <w:ilvl w:val="0"/>
          <w:numId w:val="1"/>
        </w:numPr>
      </w:pPr>
      <w:r>
        <w:t>Перейти от фиксированного курса к более динамическому управлению ценами, если позже возникнет проблема сильного дрейфа курса и потери денег.</w:t>
      </w:r>
    </w:p>
    <w:p>
      <w:pPr>
        <w:numPr>
          <w:ilvl w:val="0"/>
          <w:numId w:val="1"/>
        </w:numPr>
      </w:pPr>
      <w:r>
        <w:t>Использовать результаты теста для селективного раската только на те страны и валюты, где локальное отображение реально улучшает показатели.</w:t>
      </w:r>
    </w:p>
    <w:p>
      <w:pPr>
        <w:pStyle w:val="Heading1"/>
      </w:pPr>
      <w:r>
        <w:t>Как будет запускаться фича?</w:t>
      </w:r>
    </w:p>
    <w:p>
      <w:pPr>
        <w:pStyle w:val="Heading2"/>
      </w:pPr>
      <w:r>
        <w:t>Стратегия запуска</w:t>
      </w:r>
    </w:p>
    <w:p>
      <w:pPr>
        <w:numPr>
          <w:ilvl w:val="0"/>
          <w:numId w:val="1"/>
        </w:numPr>
      </w:pPr>
      <w:r>
        <w:t>Запускать отдельно по Toffee и AppCharge, потому что покрытие валют и возможный эффект различаются.</w:t>
      </w:r>
    </w:p>
    <w:p>
      <w:pPr>
        <w:numPr>
          <w:ilvl w:val="0"/>
          <w:numId w:val="1"/>
        </w:numPr>
      </w:pPr>
      <w:r>
        <w:t>MVP можно включать для всех пользователей GH, но управление доступностью должно сохраняться на уровне стран и валют.</w:t>
      </w:r>
    </w:p>
    <w:p>
      <w:pPr>
        <w:numPr>
          <w:ilvl w:val="0"/>
          <w:numId w:val="1"/>
        </w:numPr>
      </w:pPr>
      <w:r>
        <w:t>Маркетинговое сопровождение не требуется: фича меняет восприятие цены внутри существующего GH-магазина.</w:t>
      </w:r>
    </w:p>
    <w:p>
      <w:pPr>
        <w:numPr>
          <w:ilvl w:val="0"/>
          <w:numId w:val="1"/>
        </w:numPr>
      </w:pPr>
      <w:r>
        <w:t>До запуска нужно вручную зафиксировать длительность теста, unit of randomization, sample size и минимальный набор обязательных readouts. [Заполнить вручную]</w:t>
      </w:r>
    </w:p>
    <w:p>
      <w:pPr>
        <w:pStyle w:val="Heading2"/>
      </w:pPr>
      <w:r>
        <w:t>Rollout</w:t>
      </w:r>
    </w:p>
    <w:p>
      <w:pPr>
        <w:numPr>
          <w:ilvl w:val="0"/>
          <w:numId w:val="1"/>
        </w:numPr>
      </w:pPr>
      <w:r>
        <w:t>Фаза 1: техническая проверка отображения, длины строк, корректности разбиения по провайдерам и странам.</w:t>
      </w:r>
    </w:p>
    <w:p>
      <w:pPr>
        <w:numPr>
          <w:ilvl w:val="0"/>
          <w:numId w:val="1"/>
        </w:numPr>
      </w:pPr>
      <w:r>
        <w:t>Фаза 2: основной A/B-тест локального отображения цен против текущего USD-сценария.</w:t>
      </w:r>
    </w:p>
    <w:p>
      <w:pPr>
        <w:numPr>
          <w:ilvl w:val="0"/>
          <w:numId w:val="1"/>
        </w:numPr>
      </w:pPr>
      <w:r>
        <w:t>Фаза 3: дополнительный тест округления в top 5–10 валютах с наибольшей выручкой.</w:t>
      </w:r>
    </w:p>
    <w:p>
      <w:pPr>
        <w:numPr>
          <w:ilvl w:val="0"/>
          <w:numId w:val="1"/>
        </w:numPr>
      </w:pPr>
      <w:r>
        <w:t>Фаза 4: селективный rollout только на те страны / валюты / провайдеры, где эффект положительный.</w:t>
      </w:r>
    </w:p>
    <w:p>
      <w:pPr>
        <w:pStyle w:val="Heading1"/>
      </w:pPr>
      <w:r>
        <w:t>Какие будут АБ-тесты?</w:t>
      </w:r>
    </w:p>
    <w:p>
      <w:pPr>
        <w:pStyle w:val="Heading2"/>
      </w:pPr>
      <w:r>
        <w:t>Тест 1 — локальная валюта против USD</w:t>
      </w:r>
    </w:p>
    <w:tbl>
      <w:tblPr>
        <w:tblStyle w:val="Table3"/>
        <w:tblW w:w="0" w:type="auto"/>
        <w:tblLook w:firstRow="1" w:lastRow="0" w:firstColumn="1" w:lastColumn="0" w:noHBand="0" w:noVBand="1" w:val="04A0"/>
      </w:tblPr>
      <w:tblGrid>
        <w:gridCol w:w="2200"/>
        <w:gridCol w:w="2200"/>
      </w:tblGrid>
      <w:tr>
        <w:tc>
          <w:tcPr>
            <w:tcW w:w="0" w:type="auto"/>
          </w:tcPr>
          <w:p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</w:tcPr>
          <w:p>
            <w:r>
              <w:rPr>
                <w:b/>
                <w:bCs/>
              </w:rPr>
              <w:t>Значение</w:t>
            </w:r>
          </w:p>
        </w:tc>
      </w:tr>
      <w:tr>
        <w:tc>
          <w:tcPr>
            <w:tcW w:w="0" w:type="auto"/>
          </w:tcPr>
          <w:p>
            <w:r>
              <w:t>Control</w:t>
            </w:r>
          </w:p>
        </w:tc>
        <w:tc>
          <w:tcPr>
            <w:tcW w:w="0" w:type="auto"/>
          </w:tcPr>
          <w:p>
            <w:r>
              <w:t>Текущий GH со стоимостью в USD</w:t>
            </w:r>
          </w:p>
        </w:tc>
      </w:tr>
      <w:tr>
        <w:tc>
          <w:tcPr>
            <w:tcW w:w="0" w:type="auto"/>
          </w:tcPr>
          <w:p>
            <w:r>
              <w:t>Test</w:t>
            </w:r>
          </w:p>
        </w:tc>
        <w:tc>
          <w:tcPr>
            <w:tcW w:w="0" w:type="auto"/>
          </w:tcPr>
          <w:p>
            <w:r>
              <w:t>GH с отображением цен только в локальной валюте</w:t>
            </w:r>
          </w:p>
        </w:tc>
      </w:tr>
      <w:tr>
        <w:tc>
          <w:tcPr>
            <w:tcW w:w="0" w:type="auto"/>
          </w:tcPr>
          <w:p>
            <w:r>
              <w:t>Обязательные разрезы</w:t>
            </w:r>
          </w:p>
        </w:tc>
        <w:tc>
          <w:tcPr>
            <w:tcW w:w="0" w:type="auto"/>
          </w:tcPr>
          <w:p>
            <w:r>
              <w:t>Toffee и AppCharge отдельно; внутри — страны и валюты</w:t>
            </w:r>
          </w:p>
        </w:tc>
      </w:tr>
      <w:tr>
        <w:tc>
          <w:tcPr>
            <w:tcW w:w="0" w:type="auto"/>
          </w:tcPr>
          <w:p>
            <w:r>
              <w:t>Что проверяем</w:t>
            </w:r>
          </w:p>
        </w:tc>
        <w:tc>
          <w:tcPr>
            <w:tcW w:w="0" w:type="auto"/>
          </w:tcPr>
          <w:p>
            <w:r>
              <w:t>Конверсию в первую покупку, частоту покупок, средний чек, долю покупок GH и долю revenue GH от общего</w:t>
            </w:r>
          </w:p>
        </w:tc>
      </w:tr>
      <w:tr>
        <w:tc>
          <w:tcPr>
            <w:tcW w:w="0" w:type="auto"/>
          </w:tcPr>
          <w:p>
            <w:r>
              <w:t>Критерий успеха</w:t>
            </w:r>
          </w:p>
        </w:tc>
        <w:tc>
          <w:tcPr>
            <w:tcW w:w="0" w:type="auto"/>
          </w:tcPr>
          <w:p>
            <w:r>
              <w:t>[Заполнить вручную: primary metrics, пороги, stat sig, guardrails]</w:t>
            </w:r>
          </w:p>
        </w:tc>
      </w:tr>
      <w:tr>
        <w:tc>
          <w:tcPr>
            <w:tcW w:w="0" w:type="auto"/>
          </w:tcPr>
          <w:p>
            <w:r>
              <w:t>Длительность</w:t>
            </w:r>
          </w:p>
        </w:tc>
        <w:tc>
          <w:tcPr>
            <w:tcW w:w="0" w:type="auto"/>
          </w:tcPr>
          <w:p>
            <w:r>
              <w:t>[Заполнить вручную]</w:t>
            </w:r>
          </w:p>
        </w:tc>
      </w:tr>
    </w:tbl>
    <w:p>
      <w:pPr>
        <w:pStyle w:val="Heading2"/>
      </w:pPr>
      <w:r>
        <w:t>Тест 2 — округление отображаемой цены</w:t>
      </w:r>
    </w:p>
    <w:tbl>
      <w:tblPr>
        <w:tblStyle w:val="Table3"/>
        <w:tblW w:w="0" w:type="auto"/>
        <w:tblLook w:firstRow="1" w:lastRow="0" w:firstColumn="1" w:lastColumn="0" w:noHBand="0" w:noVBand="1" w:val="04A0"/>
      </w:tblPr>
      <w:tblGrid>
        <w:gridCol w:w="2200"/>
        <w:gridCol w:w="2200"/>
      </w:tblGrid>
      <w:tr>
        <w:tc>
          <w:tcPr>
            <w:tcW w:w="0" w:type="auto"/>
          </w:tcPr>
          <w:p>
            <w:r>
              <w:rPr>
                <w:b/>
                <w:bCs/>
              </w:rPr>
              <w:t>Параметр</w:t>
            </w:r>
          </w:p>
        </w:tc>
        <w:tc>
          <w:tcPr>
            <w:tcW w:w="0" w:type="auto"/>
          </w:tcPr>
          <w:p>
            <w:r>
              <w:rPr>
                <w:b/>
                <w:bCs/>
              </w:rPr>
              <w:t>Значение</w:t>
            </w:r>
          </w:p>
        </w:tc>
      </w:tr>
      <w:tr>
        <w:tc>
          <w:tcPr>
            <w:tcW w:w="0" w:type="auto"/>
          </w:tcPr>
          <w:p>
            <w:r>
              <w:t>Control</w:t>
            </w:r>
          </w:p>
        </w:tc>
        <w:tc>
          <w:tcPr>
            <w:tcW w:w="0" w:type="auto"/>
          </w:tcPr>
          <w:p>
            <w:r>
              <w:t>Локальная цена без дополнительного округления</w:t>
            </w:r>
          </w:p>
        </w:tc>
      </w:tr>
      <w:tr>
        <w:tc>
          <w:tcPr>
            <w:tcW w:w="0" w:type="auto"/>
          </w:tcPr>
          <w:p>
            <w:r>
              <w:t>Test</w:t>
            </w:r>
          </w:p>
        </w:tc>
        <w:tc>
          <w:tcPr>
            <w:tcW w:w="0" w:type="auto"/>
          </w:tcPr>
          <w:p>
            <w:r>
              <w:t>Локальная цена с округлением на карточке до .49 / .99</w:t>
            </w:r>
          </w:p>
        </w:tc>
      </w:tr>
      <w:tr>
        <w:tc>
          <w:tcPr>
            <w:tcW w:w="0" w:type="auto"/>
          </w:tcPr>
          <w:p>
            <w:r>
              <w:t>Аудитория</w:t>
            </w:r>
          </w:p>
        </w:tc>
        <w:tc>
          <w:tcPr>
            <w:tcW w:w="0" w:type="auto"/>
          </w:tcPr>
          <w:p>
            <w:r>
              <w:t>Top 5–10 валют GH по суммарной выручке</w:t>
            </w:r>
          </w:p>
        </w:tc>
      </w:tr>
      <w:tr>
        <w:tc>
          <w:tcPr>
            <w:tcW w:w="0" w:type="auto"/>
          </w:tcPr>
          <w:p>
            <w:r>
              <w:t>Что проверяем</w:t>
            </w:r>
          </w:p>
        </w:tc>
        <w:tc>
          <w:tcPr>
            <w:tcW w:w="0" w:type="auto"/>
          </w:tcPr>
          <w:p>
            <w:r>
              <w:t>Влияет ли более чистое окончание цены на конверсию, средний чек и восприятие цены</w:t>
            </w:r>
          </w:p>
        </w:tc>
      </w:tr>
      <w:tr>
        <w:tc>
          <w:tcPr>
            <w:tcW w:w="0" w:type="auto"/>
          </w:tcPr>
          <w:p>
            <w:r>
              <w:t>Критерий успеха</w:t>
            </w:r>
          </w:p>
        </w:tc>
        <w:tc>
          <w:tcPr>
            <w:tcW w:w="0" w:type="auto"/>
          </w:tcPr>
          <w:p>
            <w:r>
              <w:t>[Заполнить вручную: primary metrics, пороги, stat sig, acceptable support impact]</w:t>
            </w:r>
          </w:p>
        </w:tc>
      </w:tr>
      <w:tr>
        <w:tc>
          <w:tcPr>
            <w:tcW w:w="0" w:type="auto"/>
          </w:tcPr>
          <w:p>
            <w:r>
              <w:t>Длительность</w:t>
            </w:r>
          </w:p>
        </w:tc>
        <w:tc>
          <w:tcPr>
            <w:tcW w:w="0" w:type="auto"/>
          </w:tcPr>
          <w:p>
            <w:r>
              <w:t>[Заполнить вручную]</w:t>
            </w:r>
          </w:p>
        </w:tc>
      </w:tr>
    </w:tbl>
    <w:p>
      <w:pPr>
        <w:pStyle w:val="Heading2"/>
      </w:pPr>
      <w:r>
        <w:t>Что делаем по итогам тестов</w:t>
      </w:r>
    </w:p>
    <w:p>
      <w:pPr>
        <w:numPr>
          <w:ilvl w:val="0"/>
          <w:numId w:val="1"/>
        </w:numPr>
      </w:pPr>
      <w:r>
        <w:t>Если локальная валюта дает устойчивый рост, раскатываем ее шире.</w:t>
      </w:r>
    </w:p>
    <w:p>
      <w:pPr>
        <w:numPr>
          <w:ilvl w:val="0"/>
          <w:numId w:val="1"/>
        </w:numPr>
      </w:pPr>
      <w:r>
        <w:t>Если эффект смешанный, сохраняем фичу только для части стран, валют и провайдеров.</w:t>
      </w:r>
    </w:p>
    <w:p>
      <w:pPr>
        <w:numPr>
          <w:ilvl w:val="0"/>
          <w:numId w:val="1"/>
        </w:numPr>
      </w:pPr>
      <w:r>
        <w:t>Если округление не дает заметного прироста или создает support-проблемы, оставляем локальную валюту без него.</w:t>
      </w:r>
    </w:p>
    <w:p>
      <w:pPr>
        <w:numPr>
          <w:ilvl w:val="0"/>
          <w:numId w:val="1"/>
        </w:numPr>
      </w:pPr>
      <w:r>
        <w:t>Если существенных изменений нет или результат отрицательный, тест откатываем.</w:t>
      </w:r>
    </w:p>
    <w:p>
      <w:pPr>
        <w:pStyle w:val="Heading1"/>
      </w:pPr>
      <w:r>
        <w:t>Сложности</w:t>
      </w:r>
    </w:p>
    <w:tbl>
      <w:tblPr>
        <w:tblStyle w:val="Table3"/>
        <w:tblW w:w="0" w:type="auto"/>
        <w:tblLook w:firstRow="1" w:lastRow="0" w:firstColumn="1" w:lastColumn="0" w:noHBand="0" w:noVBand="1" w:val="04A0"/>
      </w:tblPr>
      <w:tblGrid>
        <w:gridCol w:w="2400"/>
        <w:gridCol w:w="2800"/>
        <w:gridCol w:w="3000"/>
      </w:tblGrid>
      <w:tr>
        <w:tc>
          <w:tcPr>
            <w:tcW w:w="0" w:type="auto"/>
          </w:tcPr>
          <w:p>
            <w:r>
              <w:rPr>
                <w:b/>
                <w:bCs/>
              </w:rPr>
              <w:t>Сложность</w:t>
            </w:r>
          </w:p>
        </w:tc>
        <w:tc>
          <w:tcPr>
            <w:tcW w:w="0" w:type="auto"/>
          </w:tcPr>
          <w:p>
            <w:r>
              <w:rPr>
                <w:b/>
                <w:bCs/>
              </w:rPr>
              <w:t>Описание</w:t>
            </w:r>
          </w:p>
        </w:tc>
        <w:tc>
          <w:tcPr>
            <w:tcW w:w="0" w:type="auto"/>
          </w:tcPr>
          <w:p>
            <w:r>
              <w:rPr>
                <w:b/>
                <w:bCs/>
              </w:rPr>
              <w:t>Что требует проработки</w:t>
            </w:r>
          </w:p>
        </w:tc>
      </w:tr>
      <w:tr>
        <w:tc>
          <w:tcPr>
            <w:tcW w:w="0" w:type="auto"/>
          </w:tcPr>
          <w:p>
            <w:r>
              <w:t>Разный валютный coverage у провайдеров</w:t>
            </w:r>
          </w:p>
        </w:tc>
        <w:tc>
          <w:tcPr>
            <w:tcW w:w="0" w:type="auto"/>
          </w:tcPr>
          <w:p>
            <w:r>
              <w:t>Toffee и AppCharge поддерживают разный набор валют, поэтому общий эффект нельзя интерпретировать как единый.</w:t>
            </w:r>
          </w:p>
        </w:tc>
        <w:tc>
          <w:tcPr>
            <w:tcW w:w="0" w:type="auto"/>
          </w:tcPr>
          <w:p>
            <w:r>
              <w:t>Нужно заранее зафиксировать отдельную аналитику и rollout-логику по провайдерам.</w:t>
            </w:r>
          </w:p>
        </w:tc>
      </w:tr>
      <w:tr>
        <w:tc>
          <w:tcPr>
            <w:tcW w:w="0" w:type="auto"/>
          </w:tcPr>
          <w:p>
            <w:r>
              <w:t>Некрасивые и длинные цены после конвертации</w:t>
            </w:r>
          </w:p>
        </w:tc>
        <w:tc>
          <w:tcPr>
            <w:tcW w:w="0" w:type="auto"/>
          </w:tcPr>
          <w:p>
            <w:r>
              <w:t>Прямой пересчет в локальную валюту может давать визуально неприятные окончания и длинные строки.</w:t>
            </w:r>
          </w:p>
        </w:tc>
        <w:tc>
          <w:tcPr>
            <w:tcW w:w="0" w:type="auto"/>
          </w:tcPr>
          <w:p>
            <w:r>
              <w:t>Нужно проверить адаптацию карточек и scope округления.</w:t>
            </w:r>
          </w:p>
        </w:tc>
      </w:tr>
      <w:tr>
        <w:tc>
          <w:tcPr>
            <w:tcW w:w="0" w:type="auto"/>
          </w:tcPr>
          <w:p>
            <w:r>
              <w:t>Расхождение между карточкой и checkout при округлении</w:t>
            </w:r>
          </w:p>
        </w:tc>
        <w:tc>
          <w:tcPr>
            <w:tcW w:w="0" w:type="auto"/>
          </w:tcPr>
          <w:p>
            <w:r>
              <w:t>В MVP checkout не меняется, а округление предполагается только на карточке товара.</w:t>
            </w:r>
          </w:p>
        </w:tc>
        <w:tc>
          <w:tcPr>
            <w:tcW w:w="0" w:type="auto"/>
          </w:tcPr>
          <w:p>
            <w:r>
              <w:t>Нужно согласовать допустимость такого расхождения и способ обработки support-кейсов.</w:t>
            </w:r>
          </w:p>
        </w:tc>
      </w:tr>
      <w:tr>
        <w:tc>
          <w:tcPr>
            <w:tcW w:w="0" w:type="auto"/>
          </w:tcPr>
          <w:p>
            <w:r>
              <w:t>Support-запросы на возврат в USD</w:t>
            </w:r>
          </w:p>
        </w:tc>
        <w:tc>
          <w:tcPr>
            <w:tcW w:w="0" w:type="auto"/>
          </w:tcPr>
          <w:p>
            <w:r>
              <w:t>Часть игроков может воспринимать новое отображение как менее привычное и просить вернуть старый вариант.</w:t>
            </w:r>
          </w:p>
        </w:tc>
        <w:tc>
          <w:tcPr>
            <w:tcW w:w="0" w:type="auto"/>
          </w:tcPr>
          <w:p>
            <w:r>
              <w:t>Нужен понятный процесс ручного перевода между группами и учет таких случаев.</w:t>
            </w:r>
          </w:p>
        </w:tc>
      </w:tr>
      <w:tr>
        <w:tc>
          <w:tcPr>
            <w:tcW w:w="0" w:type="auto"/>
          </w:tcPr>
          <w:p>
            <w:r>
              <w:t>Смешанный результат по странам</w:t>
            </w:r>
          </w:p>
        </w:tc>
        <w:tc>
          <w:tcPr>
            <w:tcW w:w="0" w:type="auto"/>
          </w:tcPr>
          <w:p>
            <w:r>
              <w:t>Одна часть стран может показать рост, другая — отрицательный эффект.</w:t>
            </w:r>
          </w:p>
        </w:tc>
        <w:tc>
          <w:tcPr>
            <w:tcW w:w="0" w:type="auto"/>
          </w:tcPr>
          <w:p>
            <w:r>
              <w:t>Нужна возможность быстро оставить фичу только для выигрышных стран и валют.</w:t>
            </w:r>
          </w:p>
        </w:tc>
      </w:tr>
      <w:tr>
        <w:tc>
          <w:tcPr>
            <w:tcW w:w="0" w:type="auto"/>
          </w:tcPr>
          <w:p>
            <w:r>
              <w:t>Фиксированный курс</w:t>
            </w:r>
          </w:p>
        </w:tc>
        <w:tc>
          <w:tcPr>
            <w:tcW w:w="0" w:type="auto"/>
          </w:tcPr>
          <w:p>
            <w:r>
              <w:t>При заметном дрейфе курса текущий подход может начать ухудшать perceived value или экономику.</w:t>
            </w:r>
          </w:p>
        </w:tc>
        <w:tc>
          <w:tcPr>
            <w:tcW w:w="0" w:type="auto"/>
          </w:tcPr>
          <w:p>
            <w:r>
              <w:t>Нужно заранее решить, считаем ли это допустимым ограничением MVP и как часто пересматриваем курс. [Заполнить вручную]</w:t>
            </w:r>
          </w:p>
        </w:tc>
      </w:tr>
    </w:tbl>
    <w:p>
      <w:pPr>
        <w:pStyle w:val="Heading2"/>
      </w:pPr>
      <w:r>
        <w:t>Открытые вопросы</w:t>
      </w:r>
    </w:p>
    <w:p>
      <w:pPr>
        <w:numPr>
          <w:ilvl w:val="0"/>
          <w:numId w:val="1"/>
        </w:numPr>
      </w:pPr>
      <w:r>
        <w:t>Финальный список стран и валют для теста округления. [Заполнить вручную]</w:t>
      </w:r>
    </w:p>
    <w:p>
      <w:pPr>
        <w:numPr>
          <w:ilvl w:val="0"/>
          <w:numId w:val="1"/>
        </w:numPr>
      </w:pPr>
      <w:r>
        <w:t>Порог по support-жалобам и ручным переводам между группами. [Заполнить вручную]</w:t>
      </w:r>
    </w:p>
    <w:p>
      <w:pPr>
        <w:numPr>
          <w:ilvl w:val="0"/>
          <w:numId w:val="1"/>
        </w:numPr>
      </w:pPr>
      <w:r>
        <w:t>Cadence пересмотра фиксированных курсов. [Заполнить вручную]</w:t>
      </w:r>
    </w:p>
    <w:p>
      <w:pPr>
        <w:numPr>
          <w:ilvl w:val="0"/>
          <w:numId w:val="1"/>
        </w:numPr>
      </w:pPr>
      <w:r>
        <w:t>Финальные thresholds для success / partial success / fail по каждой основной метрике. [Заполнить вручную]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72b4d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