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sz w:val="52"/>
          <w:szCs w:val="52"/>
          <w:lang w:eastAsia="zh-CN"/>
        </w:rPr>
      </w:pPr>
      <w:r>
        <w:rPr>
          <w:sz w:val="5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-315595</wp:posOffset>
                </wp:positionH>
                <wp:positionV relativeFrom="paragraph">
                  <wp:posOffset>521970</wp:posOffset>
                </wp:positionV>
                <wp:extent cx="634365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17880" y="1716405"/>
                          <a:ext cx="63436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4.85pt;margin-top:41.1pt;height:0pt;width:499.5pt;z-index:251658240;mso-width-relative:page;mso-height-relative:page;" filled="f" stroked="t" coordsize="21600,21600" o:gfxdata="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BkGhrHZAAAACQEAAA8AAAAA&#10;AAAAAQAgAAAAIgAAAGRycy9kb3ducmV2LnhtbFBLAQIUABQAAAAIAIdO4kDapN902gEAAG8DAAAO&#10;AAAAAAAAAAEAIAAAACgBAABkcnMvZTJvRG9jLnhtbFBLBQYAAAAABgAGAFkBAAB0BQAAAAA=&#10;">
                <v:fill on="f" focussize="0,0"/>
                <v:stroke weight="1.5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b/>
          <w:bCs/>
          <w:sz w:val="52"/>
          <w:szCs w:val="52"/>
          <w:lang w:eastAsia="zh-CN"/>
        </w:rPr>
        <w:t>资料分析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截位直除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选项差距大：（截两位）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1.首位不同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2.首位相同但次位差 &gt;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选项差距小：（截三位）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首位相同但次位差 &lt;= 首位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一步除法：只截分母（例 12345 / 34567 ），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多步除法：分子分母都截（例 12345/34567 * 2345/1287），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截完之后一般都可以约分</w:t>
      </w:r>
    </w:p>
    <w:p>
      <w:pPr>
        <w:numPr>
          <w:ilvl w:val="0"/>
          <w:numId w:val="0"/>
        </w:numPr>
        <w:ind w:firstLine="1500" w:firstLine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转为分数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609975" cy="1304925"/>
            <wp:effectExtent l="0" t="0" r="9525" b="9525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 xml:space="preserve">分数比大小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分子大分母小，则分数大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同大同小：1.直接除、2.分子分母分别比快慢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比较下列数大小：</w:t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343400" cy="6096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076325" cy="590550"/>
            <wp:effectExtent l="0" t="0" r="9525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323975" cy="5238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421765"/>
            <wp:effectExtent l="0" t="0" r="5080" b="698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1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基期与现期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内容：基期公式、化除为乘、基期和差、现期公式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基期公式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- 增长量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基期 = 现期 /  (1 + r)  （r是增长率，可正可负）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化除为乘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什么时候用：求基期，选项差距小，增长率|r| &lt;= 5%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怎么用：要变号，开括号</w:t>
      </w: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3848100" cy="157162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 </w:t>
      </w:r>
      <w:r>
        <w:drawing>
          <wp:inline distT="0" distB="0" distL="114300" distR="114300">
            <wp:extent cx="2447925" cy="714375"/>
            <wp:effectExtent l="0" t="0" r="9525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同比：与上年同期相比</w:t>
      </w:r>
    </w:p>
    <w:p>
      <w:pPr>
        <w:numPr>
          <w:ilvl w:val="0"/>
          <w:numId w:val="0"/>
        </w:numPr>
        <w:ind w:firstLine="600" w:firstLineChars="2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环比： 与紧紧相邻的上一统计周期相比（月环比、季环比）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现期公式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现期 = 基期 + 增长量 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= 基期 * (1 + r)  （r表示增长率）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4310" cy="1971040"/>
            <wp:effectExtent l="0" t="0" r="2540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1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增长率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普通增长率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比较增长率大小（如求：增长最快、最慢）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286250" cy="72390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如果给出了增长量，则用 增长量/基期量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如果给出的是现期与基期，则用  现期量/基期量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间隔增长率 </w:t>
      </w:r>
    </w:p>
    <w:p>
      <w:pPr>
        <w:numPr>
          <w:ilvl w:val="0"/>
          <w:numId w:val="0"/>
        </w:numPr>
        <w:ind w:firstLine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中间隔一年，求增长率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例：已知某企业2016年主营业务收入为A， 2015年相对于2014年的增长率为r1，2016年相对于2015年的增长率为r2。</w:t>
      </w:r>
    </w:p>
    <w:p>
      <w:pPr>
        <w:numPr>
          <w:ilvl w:val="0"/>
          <w:numId w:val="0"/>
        </w:numPr>
        <w:ind w:left="1196" w:leftChars="284" w:hanging="600" w:hangingChars="2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求2016年相对于2014年的增长率？</w:t>
      </w:r>
    </w:p>
    <w:p>
      <w:pPr>
        <w:numPr>
          <w:ilvl w:val="0"/>
          <w:numId w:val="0"/>
        </w:numPr>
        <w:ind w:left="1193" w:leftChars="568" w:firstLine="0" w:firstLine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间隔增长率r = r1 + r2 + r1 * r2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求2014年的主营业务收入是多少？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--&gt; 间隔基期量 = 现期量 /  (1 + 间隔增长率r)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= 现期量 /  (1 + r1 + r2 + r1 * r2)</w:t>
      </w:r>
    </w:p>
    <w:p>
      <w:pPr>
        <w:numPr>
          <w:ilvl w:val="0"/>
          <w:numId w:val="0"/>
        </w:numPr>
        <w:ind w:firstLine="1200" w:firstLineChars="4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速算技巧： 当r1与r2都小于10%时，r1*r2可以忽略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年均增长率</w:t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年均增长率最快/排序</w:t>
      </w:r>
    </w:p>
    <w:p>
      <w:pPr>
        <w:numPr>
          <w:ilvl w:val="0"/>
          <w:numId w:val="0"/>
        </w:numPr>
        <w:ind w:leftChars="0" w:firstLine="600"/>
        <w:jc w:val="both"/>
      </w:pPr>
      <w:r>
        <w:drawing>
          <wp:inline distT="0" distB="0" distL="114300" distR="114300">
            <wp:extent cx="5271770" cy="1590675"/>
            <wp:effectExtent l="0" t="0" r="5080" b="952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60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446020"/>
            <wp:effectExtent l="0" t="0" r="4445" b="1143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>混合增长率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FF0000"/>
          <w:sz w:val="30"/>
          <w:szCs w:val="30"/>
          <w:lang w:val="en-US" w:eastAsia="zh-CN"/>
        </w:rPr>
        <w:t xml:space="preserve">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题型识别：部分增速与整体增速之间的关系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整体与部分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例： 房产、地产 --&gt;  房地产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税收、其它收入  --&gt; 财政总收入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        进口、出口  --&gt;  进出口</w:t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整体增长率介于部分增长率之间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例：某地2016年上半年GDP同比增速为8%，下半年同比增速为15%，求2016年全年GDP同比增速范围？</w:t>
      </w:r>
    </w:p>
    <w:p>
      <w:pPr>
        <w:numPr>
          <w:ilvl w:val="0"/>
          <w:numId w:val="0"/>
        </w:numPr>
        <w:ind w:left="1200" w:leftChars="0" w:hanging="1200" w:hangingChars="4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答：全年增速在 8% 至 15%之间。同时全年增速会比较靠近基期比较大的一边。如：上半年GDP比下半年大，则全年增速会靠近8%一边，介于8%至11.5%之间。（11.5%是8%与15%的中点）</w:t>
      </w:r>
    </w:p>
    <w:p>
      <w:pPr>
        <w:numPr>
          <w:ilvl w:val="0"/>
          <w:numId w:val="0"/>
        </w:numPr>
        <w:ind w:firstLine="300" w:firstLineChars="1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线段法：用于求混合增长率问题（距离与量成反比）</w:t>
      </w:r>
    </w:p>
    <w:p>
      <w:pPr>
        <w:numPr>
          <w:ilvl w:val="0"/>
          <w:numId w:val="0"/>
        </w:numPr>
        <w:ind w:left="1198" w:leftChars="142" w:hanging="900" w:hangingChars="3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例：某地2016年上半年GDP为804亿元，同比增速为8%，下半年GDP为1489亿元，同比增速为15%，求2016年全年GDP同比增长率？</w:t>
      </w:r>
    </w:p>
    <w:p>
      <w:pPr>
        <w:numPr>
          <w:ilvl w:val="0"/>
          <w:numId w:val="0"/>
        </w:numPr>
        <w:ind w:left="2098" w:leftChars="142" w:hanging="1800" w:hangingChars="6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 1489 / 804 略小于2，因此将线段分为3段，</w:t>
      </w:r>
    </w:p>
    <w:p>
      <w:pPr>
        <w:numPr>
          <w:ilvl w:val="0"/>
          <w:numId w:val="0"/>
        </w:numPr>
        <w:ind w:left="2087" w:leftChars="994" w:firstLine="0" w:firstLineChars="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则全年增长率 = 15% - 7%/3</w:t>
      </w:r>
    </w:p>
    <w:p>
      <w:pPr>
        <w:numPr>
          <w:ilvl w:val="0"/>
          <w:numId w:val="0"/>
        </w:numPr>
        <w:ind w:left="1198" w:leftChars="142" w:hanging="900" w:hangingChars="300"/>
        <w:jc w:val="both"/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</w:t>
      </w:r>
      <w:r>
        <w:drawing>
          <wp:inline distT="0" distB="0" distL="114300" distR="114300">
            <wp:extent cx="3752850" cy="1066800"/>
            <wp:effectExtent l="0" t="0" r="0" b="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both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**线段法的原理： 将线段看成一根杠杆，要找出支点，使得杠杆两边保持平衡</w:t>
      </w:r>
    </w:p>
    <w:p>
      <w:pPr>
        <w:numPr>
          <w:ilvl w:val="0"/>
          <w:numId w:val="0"/>
        </w:numPr>
        <w:ind w:left="1798" w:leftChars="142" w:hanging="1500" w:hangingChars="5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*容液混合问题也是用线段法解决（因为也属于整体与部分之间的关系）</w:t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  <w:r>
        <w:drawing>
          <wp:inline distT="0" distB="0" distL="114300" distR="114300">
            <wp:extent cx="5273675" cy="2887345"/>
            <wp:effectExtent l="0" t="0" r="3175" b="825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887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ind w:left="1348" w:leftChars="142" w:hanging="1050" w:hangingChars="500"/>
        <w:jc w:val="both"/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756920"/>
            <wp:effectExtent l="0" t="0" r="6985" b="508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考查形式：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已知现期量、基期量， 则增长量 = 现期量 - 基期量</w:t>
      </w:r>
    </w:p>
    <w:p>
      <w:pPr>
        <w:numPr>
          <w:ilvl w:val="0"/>
          <w:numId w:val="0"/>
        </w:numPr>
        <w:ind w:left="5398" w:leftChars="142" w:hanging="5100" w:hangingChars="1700"/>
        <w:jc w:val="both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已知现期量、增长率r， 则增长量 = 现期量 * r / (1 + r)</w:t>
      </w:r>
    </w:p>
    <w:p>
      <w:pPr>
        <w:numPr>
          <w:ilvl w:val="0"/>
          <w:numId w:val="0"/>
        </w:numPr>
        <w:ind w:left="5398" w:leftChars="142" w:hanging="5100" w:hangingChars="17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例： 2015年小明每月零花钱为70元，同比增长率为16.7%，</w:t>
      </w:r>
    </w:p>
    <w:p>
      <w:pPr>
        <w:numPr>
          <w:ilvl w:val="0"/>
          <w:numId w:val="0"/>
        </w:numPr>
        <w:ind w:left="5393" w:leftChars="568" w:hanging="4200" w:hangingChars="1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则小明2015年每月零花钱比2014年增长了多少钱？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3743325" cy="1419225"/>
            <wp:effectExtent l="0" t="0" r="9525" b="9525"/>
            <wp:docPr id="20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3868" w:leftChars="142" w:hanging="3570" w:hangingChars="1700"/>
        <w:jc w:val="right"/>
      </w:pPr>
      <w:r>
        <w:drawing>
          <wp:inline distT="0" distB="0" distL="114300" distR="114300">
            <wp:extent cx="5271135" cy="3949700"/>
            <wp:effectExtent l="0" t="0" r="5715" b="12700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取中：10.5% 是1/10 与1/9的中点，因此约为1/9.5</w:t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已知现期量、r求减少量：（r为负）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48275" cy="1409700"/>
            <wp:effectExtent l="0" t="0" r="9525" b="0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00" w:firstLineChars="2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ind w:firstLine="60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2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0500" cy="1239520"/>
            <wp:effectExtent l="0" t="0" r="6350" b="17780"/>
            <wp:docPr id="24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增长量比大小</w:t>
      </w: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题型：已知现期量、增长率r，比较增长量的大小</w:t>
      </w: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若：现期量大，同时|r|也大，则其增长量/减少量也大</w:t>
      </w:r>
    </w:p>
    <w:p>
      <w:pPr>
        <w:numPr>
          <w:ilvl w:val="0"/>
          <w:numId w:val="0"/>
        </w:numPr>
        <w:ind w:left="1200" w:hanging="1200" w:hangingChars="4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若：一大一小（现期量大而r小，或现期量小而r大），则无结果，只能计算</w:t>
      </w:r>
    </w:p>
    <w:p>
      <w:pPr>
        <w:numPr>
          <w:ilvl w:val="0"/>
          <w:numId w:val="0"/>
        </w:numPr>
        <w:ind w:left="1200" w:hanging="840" w:hangingChars="400"/>
        <w:jc w:val="left"/>
      </w:pPr>
      <w:r>
        <w:drawing>
          <wp:inline distT="0" distB="0" distL="114300" distR="114300">
            <wp:extent cx="5269865" cy="1858645"/>
            <wp:effectExtent l="0" t="0" r="698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58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*资料分析中的利润率 =  利润 / 营收 （不是除以成本）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部分的基期比重（部分占整体的比重）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题型识别：问的是基期，部分占总体的比重</w:t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4733925" cy="733425"/>
            <wp:effectExtent l="0" t="0" r="9525" b="952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2867025" cy="752475"/>
            <wp:effectExtent l="0" t="0" r="9525" b="9525"/>
            <wp:docPr id="1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0"/>
        </w:numPr>
        <w:ind w:firstLine="300" w:firstLineChars="1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速算：1.先截位直除算出现期比重</w:t>
      </w:r>
    </w:p>
    <w:p>
      <w:pPr>
        <w:numPr>
          <w:ilvl w:val="0"/>
          <w:numId w:val="0"/>
        </w:numPr>
        <w:ind w:firstLine="1200" w:firstLineChars="4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2.再看公式后面一部分的大小，是小于1还是大于1</w:t>
      </w:r>
    </w:p>
    <w:p>
      <w:pPr>
        <w:numPr>
          <w:ilvl w:val="0"/>
          <w:numId w:val="0"/>
        </w:numPr>
        <w:ind w:left="300" w:hanging="300" w:hangingChars="1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对比以上两个比重公式可知，部分增长率大于总体增长率时，基期比重到现期比重是上升的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 w:eastAsiaTheme="minor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例：2015年某地水果产量358万吨，同比增长5.6%，其中苹果产量26万吨，同比增长7.2%，问2014年苹果产量占水果产量的比重是多少？与去年相比，2015年苹果产量比重是上升还是下降了？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答：苹果增长率7.2%大于水果增长率5.6%，因此与去年相比，2015年的苹果比重上升。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     2014年苹果比重 = 26 / 358 * (1 + 5.6%) / (1 + 7.8%)</w:t>
      </w:r>
    </w:p>
    <w:p>
      <w:pPr>
        <w:numPr>
          <w:ilvl w:val="0"/>
          <w:numId w:val="0"/>
        </w:numPr>
        <w:ind w:left="900" w:hanging="900" w:hangingChars="300"/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0000FF"/>
          <w:sz w:val="30"/>
          <w:szCs w:val="30"/>
          <w:lang w:val="en-US" w:eastAsia="zh-CN"/>
        </w:rPr>
      </w:pPr>
      <w:r>
        <w:rPr>
          <w:rFonts w:hint="eastAsia"/>
          <w:b/>
          <w:bCs/>
          <w:color w:val="0000FF"/>
          <w:sz w:val="30"/>
          <w:szCs w:val="30"/>
          <w:lang w:val="en-US" w:eastAsia="zh-CN"/>
        </w:rPr>
        <w:t>两期比重比较（升降）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 xml:space="preserve">  题型识别： 两个年份，一个比重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19700" cy="10096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注： 增长率是可正可负的，公式中要代入正负号</w:t>
      </w: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drawing>
          <wp:inline distT="0" distB="0" distL="114300" distR="114300">
            <wp:extent cx="5273040" cy="2506980"/>
            <wp:effectExtent l="0" t="0" r="3810" b="7620"/>
            <wp:docPr id="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</w:pPr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A超过B的n</w:t>
      </w:r>
      <w:bookmarkStart w:id="0" w:name="_GoBack"/>
      <w:bookmarkEnd w:id="0"/>
      <w:r>
        <w:rPr>
          <w:rFonts w:hint="eastAsia"/>
          <w:b w:val="0"/>
          <w:bCs w:val="0"/>
          <w:color w:val="auto"/>
          <w:sz w:val="30"/>
          <w:szCs w:val="30"/>
          <w:lang w:val="en-US" w:eastAsia="zh-CN"/>
        </w:rPr>
        <w:t>倍：A &gt; B * n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30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305036"/>
    <w:multiLevelType w:val="singleLevel"/>
    <w:tmpl w:val="6430503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20C2D"/>
    <w:rsid w:val="00126CD8"/>
    <w:rsid w:val="005C6282"/>
    <w:rsid w:val="007636F1"/>
    <w:rsid w:val="00823B5B"/>
    <w:rsid w:val="00E56FE1"/>
    <w:rsid w:val="012106F1"/>
    <w:rsid w:val="012F2005"/>
    <w:rsid w:val="0191452F"/>
    <w:rsid w:val="02181B3A"/>
    <w:rsid w:val="02243742"/>
    <w:rsid w:val="02546327"/>
    <w:rsid w:val="0266044F"/>
    <w:rsid w:val="02FE598A"/>
    <w:rsid w:val="032D74D4"/>
    <w:rsid w:val="035B36F4"/>
    <w:rsid w:val="03737F77"/>
    <w:rsid w:val="0375133B"/>
    <w:rsid w:val="03E46812"/>
    <w:rsid w:val="03E8456B"/>
    <w:rsid w:val="04125E01"/>
    <w:rsid w:val="0444197A"/>
    <w:rsid w:val="048F6273"/>
    <w:rsid w:val="04986F2C"/>
    <w:rsid w:val="04AD0F72"/>
    <w:rsid w:val="04B80D46"/>
    <w:rsid w:val="04DB2AC7"/>
    <w:rsid w:val="0519014F"/>
    <w:rsid w:val="05500DB6"/>
    <w:rsid w:val="058528BC"/>
    <w:rsid w:val="05CB550F"/>
    <w:rsid w:val="061358CD"/>
    <w:rsid w:val="06675462"/>
    <w:rsid w:val="066C6BCD"/>
    <w:rsid w:val="068510EB"/>
    <w:rsid w:val="068675F4"/>
    <w:rsid w:val="06A64C67"/>
    <w:rsid w:val="070C4156"/>
    <w:rsid w:val="070D7D92"/>
    <w:rsid w:val="07323831"/>
    <w:rsid w:val="073F23ED"/>
    <w:rsid w:val="07844D7C"/>
    <w:rsid w:val="078E4534"/>
    <w:rsid w:val="07DB2198"/>
    <w:rsid w:val="0807373B"/>
    <w:rsid w:val="082558FE"/>
    <w:rsid w:val="082D0B0D"/>
    <w:rsid w:val="082E7777"/>
    <w:rsid w:val="08554C79"/>
    <w:rsid w:val="09225ECA"/>
    <w:rsid w:val="096979A0"/>
    <w:rsid w:val="09A253A8"/>
    <w:rsid w:val="09AE5ED5"/>
    <w:rsid w:val="09DC2C7E"/>
    <w:rsid w:val="0A110BD2"/>
    <w:rsid w:val="0A301D0A"/>
    <w:rsid w:val="0A416AC1"/>
    <w:rsid w:val="0A4F621C"/>
    <w:rsid w:val="0AA27766"/>
    <w:rsid w:val="0B3C17C6"/>
    <w:rsid w:val="0B3C7448"/>
    <w:rsid w:val="0B7E01E8"/>
    <w:rsid w:val="0B9544CC"/>
    <w:rsid w:val="0BDA2DDB"/>
    <w:rsid w:val="0CB04E24"/>
    <w:rsid w:val="0CB65BCA"/>
    <w:rsid w:val="0CD84F79"/>
    <w:rsid w:val="0CE23BE3"/>
    <w:rsid w:val="0D2249E6"/>
    <w:rsid w:val="0D4A4113"/>
    <w:rsid w:val="0D6B11A0"/>
    <w:rsid w:val="0DBA4E85"/>
    <w:rsid w:val="0E0F0EBF"/>
    <w:rsid w:val="0E4C1735"/>
    <w:rsid w:val="0ED27313"/>
    <w:rsid w:val="0F0732A5"/>
    <w:rsid w:val="0F532A48"/>
    <w:rsid w:val="0F541FF6"/>
    <w:rsid w:val="0F6A1DB7"/>
    <w:rsid w:val="0FA27CE2"/>
    <w:rsid w:val="0FBA365B"/>
    <w:rsid w:val="0FCD2AAB"/>
    <w:rsid w:val="101E20F6"/>
    <w:rsid w:val="10521D3B"/>
    <w:rsid w:val="105B7EC3"/>
    <w:rsid w:val="10804B47"/>
    <w:rsid w:val="11000892"/>
    <w:rsid w:val="11107112"/>
    <w:rsid w:val="1134490C"/>
    <w:rsid w:val="1158542C"/>
    <w:rsid w:val="11D86C4F"/>
    <w:rsid w:val="12390E88"/>
    <w:rsid w:val="124D062E"/>
    <w:rsid w:val="125058B0"/>
    <w:rsid w:val="12544A64"/>
    <w:rsid w:val="125F122A"/>
    <w:rsid w:val="129544E9"/>
    <w:rsid w:val="12C23AE6"/>
    <w:rsid w:val="12D33A89"/>
    <w:rsid w:val="13181FB4"/>
    <w:rsid w:val="132C168D"/>
    <w:rsid w:val="13321FC3"/>
    <w:rsid w:val="134C1D7C"/>
    <w:rsid w:val="136E0E05"/>
    <w:rsid w:val="1388650D"/>
    <w:rsid w:val="145D4D72"/>
    <w:rsid w:val="14787E3E"/>
    <w:rsid w:val="14810CB3"/>
    <w:rsid w:val="14906390"/>
    <w:rsid w:val="14A9144F"/>
    <w:rsid w:val="14BA0BCF"/>
    <w:rsid w:val="14FE3CBE"/>
    <w:rsid w:val="15037F59"/>
    <w:rsid w:val="153A10B0"/>
    <w:rsid w:val="15C33F12"/>
    <w:rsid w:val="15E777B0"/>
    <w:rsid w:val="16065770"/>
    <w:rsid w:val="16532263"/>
    <w:rsid w:val="16583592"/>
    <w:rsid w:val="16986984"/>
    <w:rsid w:val="16A903F3"/>
    <w:rsid w:val="16CD2E9F"/>
    <w:rsid w:val="17091E29"/>
    <w:rsid w:val="17261036"/>
    <w:rsid w:val="17606C6C"/>
    <w:rsid w:val="178A6EB6"/>
    <w:rsid w:val="17BC7748"/>
    <w:rsid w:val="17C0508F"/>
    <w:rsid w:val="18271048"/>
    <w:rsid w:val="18311DAA"/>
    <w:rsid w:val="18492B65"/>
    <w:rsid w:val="18620B26"/>
    <w:rsid w:val="1862137F"/>
    <w:rsid w:val="18634E72"/>
    <w:rsid w:val="18CE1CAC"/>
    <w:rsid w:val="18EC69B3"/>
    <w:rsid w:val="1903730C"/>
    <w:rsid w:val="19081C0C"/>
    <w:rsid w:val="19655A22"/>
    <w:rsid w:val="19DE0FEC"/>
    <w:rsid w:val="1A403932"/>
    <w:rsid w:val="1A407E65"/>
    <w:rsid w:val="1AB37744"/>
    <w:rsid w:val="1AD942C4"/>
    <w:rsid w:val="1B0F6834"/>
    <w:rsid w:val="1B8D459D"/>
    <w:rsid w:val="1B905286"/>
    <w:rsid w:val="1B974B02"/>
    <w:rsid w:val="1C1B1A6E"/>
    <w:rsid w:val="1C3F4101"/>
    <w:rsid w:val="1C405D04"/>
    <w:rsid w:val="1C774A4B"/>
    <w:rsid w:val="1CA041B0"/>
    <w:rsid w:val="1CA607EB"/>
    <w:rsid w:val="1CDB2121"/>
    <w:rsid w:val="1CDD38A3"/>
    <w:rsid w:val="1D022FB2"/>
    <w:rsid w:val="1D710D64"/>
    <w:rsid w:val="1DB43123"/>
    <w:rsid w:val="1DF7062A"/>
    <w:rsid w:val="1E240F51"/>
    <w:rsid w:val="1E3F5C35"/>
    <w:rsid w:val="1E5C5565"/>
    <w:rsid w:val="1E7F7CA3"/>
    <w:rsid w:val="1ECB2D5C"/>
    <w:rsid w:val="1F151F27"/>
    <w:rsid w:val="1F265478"/>
    <w:rsid w:val="1F325690"/>
    <w:rsid w:val="1F4C4967"/>
    <w:rsid w:val="1F555303"/>
    <w:rsid w:val="1F846F7E"/>
    <w:rsid w:val="1FD350EC"/>
    <w:rsid w:val="1FDD30F4"/>
    <w:rsid w:val="20290B3E"/>
    <w:rsid w:val="203C695B"/>
    <w:rsid w:val="210A223C"/>
    <w:rsid w:val="210B772C"/>
    <w:rsid w:val="211C3FF3"/>
    <w:rsid w:val="21245F85"/>
    <w:rsid w:val="214911E5"/>
    <w:rsid w:val="21637F3F"/>
    <w:rsid w:val="2192442E"/>
    <w:rsid w:val="21AE0357"/>
    <w:rsid w:val="21BF00DE"/>
    <w:rsid w:val="21EC2771"/>
    <w:rsid w:val="22000A6B"/>
    <w:rsid w:val="225A2BAE"/>
    <w:rsid w:val="225F51B3"/>
    <w:rsid w:val="228F786E"/>
    <w:rsid w:val="22DA6E7A"/>
    <w:rsid w:val="22F76F70"/>
    <w:rsid w:val="2315120B"/>
    <w:rsid w:val="236C6EC1"/>
    <w:rsid w:val="237D2F42"/>
    <w:rsid w:val="23F01F33"/>
    <w:rsid w:val="2412756C"/>
    <w:rsid w:val="245A3F0A"/>
    <w:rsid w:val="249F0152"/>
    <w:rsid w:val="24F10C36"/>
    <w:rsid w:val="250B4575"/>
    <w:rsid w:val="255D4A11"/>
    <w:rsid w:val="256E4C1D"/>
    <w:rsid w:val="25966273"/>
    <w:rsid w:val="259D1B8B"/>
    <w:rsid w:val="25F70EF0"/>
    <w:rsid w:val="261E3A53"/>
    <w:rsid w:val="26703E91"/>
    <w:rsid w:val="267A0F66"/>
    <w:rsid w:val="268E41CA"/>
    <w:rsid w:val="26DE65D0"/>
    <w:rsid w:val="26E1170A"/>
    <w:rsid w:val="27630422"/>
    <w:rsid w:val="277749D2"/>
    <w:rsid w:val="27A834C4"/>
    <w:rsid w:val="27AA09C4"/>
    <w:rsid w:val="27AE67CF"/>
    <w:rsid w:val="27BA1AD6"/>
    <w:rsid w:val="27D7265A"/>
    <w:rsid w:val="281E1143"/>
    <w:rsid w:val="28220CA2"/>
    <w:rsid w:val="284306D4"/>
    <w:rsid w:val="28431FDB"/>
    <w:rsid w:val="28585CA9"/>
    <w:rsid w:val="28F826B2"/>
    <w:rsid w:val="29362DD4"/>
    <w:rsid w:val="293D5D4D"/>
    <w:rsid w:val="29617D1A"/>
    <w:rsid w:val="2983558F"/>
    <w:rsid w:val="29EF5FE4"/>
    <w:rsid w:val="2A487F59"/>
    <w:rsid w:val="2A8175CB"/>
    <w:rsid w:val="2AE21797"/>
    <w:rsid w:val="2AF667E1"/>
    <w:rsid w:val="2AFD6538"/>
    <w:rsid w:val="2B102A6B"/>
    <w:rsid w:val="2B1228F8"/>
    <w:rsid w:val="2B2D0018"/>
    <w:rsid w:val="2B305D79"/>
    <w:rsid w:val="2B3E5E82"/>
    <w:rsid w:val="2B636F92"/>
    <w:rsid w:val="2BC75F79"/>
    <w:rsid w:val="2C084B8A"/>
    <w:rsid w:val="2C09089B"/>
    <w:rsid w:val="2C4C1C4F"/>
    <w:rsid w:val="2D2E5E2E"/>
    <w:rsid w:val="2D39197D"/>
    <w:rsid w:val="2D4A7732"/>
    <w:rsid w:val="2D4E2FCA"/>
    <w:rsid w:val="2DC07CB3"/>
    <w:rsid w:val="2E1A6555"/>
    <w:rsid w:val="2E5A131D"/>
    <w:rsid w:val="2E6831E2"/>
    <w:rsid w:val="2ED92A01"/>
    <w:rsid w:val="2F0D023A"/>
    <w:rsid w:val="2F2D2605"/>
    <w:rsid w:val="2FCA50DD"/>
    <w:rsid w:val="2FDA2F4E"/>
    <w:rsid w:val="2FDE3A14"/>
    <w:rsid w:val="2FDF6CC9"/>
    <w:rsid w:val="3033318A"/>
    <w:rsid w:val="30E824C4"/>
    <w:rsid w:val="31A35BF0"/>
    <w:rsid w:val="31C54371"/>
    <w:rsid w:val="31E0736F"/>
    <w:rsid w:val="31E214EA"/>
    <w:rsid w:val="31E925C5"/>
    <w:rsid w:val="3201635F"/>
    <w:rsid w:val="321B3B1F"/>
    <w:rsid w:val="32241CEB"/>
    <w:rsid w:val="32377FA6"/>
    <w:rsid w:val="32493B2C"/>
    <w:rsid w:val="32AF56C5"/>
    <w:rsid w:val="32D46443"/>
    <w:rsid w:val="337E7274"/>
    <w:rsid w:val="338B4133"/>
    <w:rsid w:val="338C5F53"/>
    <w:rsid w:val="339219D4"/>
    <w:rsid w:val="33F9394A"/>
    <w:rsid w:val="34056128"/>
    <w:rsid w:val="34157B00"/>
    <w:rsid w:val="3429110E"/>
    <w:rsid w:val="346C190D"/>
    <w:rsid w:val="349C2A4C"/>
    <w:rsid w:val="34B64D69"/>
    <w:rsid w:val="351A06D3"/>
    <w:rsid w:val="35432DC6"/>
    <w:rsid w:val="35F75D77"/>
    <w:rsid w:val="36200738"/>
    <w:rsid w:val="36206861"/>
    <w:rsid w:val="36317D2B"/>
    <w:rsid w:val="364E0DF8"/>
    <w:rsid w:val="36E45E24"/>
    <w:rsid w:val="375B7A81"/>
    <w:rsid w:val="378C64FC"/>
    <w:rsid w:val="37B1671F"/>
    <w:rsid w:val="37D962D5"/>
    <w:rsid w:val="37DB4672"/>
    <w:rsid w:val="37E30762"/>
    <w:rsid w:val="37E7779F"/>
    <w:rsid w:val="37FC3B5E"/>
    <w:rsid w:val="38387B65"/>
    <w:rsid w:val="384A40E2"/>
    <w:rsid w:val="388B4D2D"/>
    <w:rsid w:val="38A201D1"/>
    <w:rsid w:val="38AB2D72"/>
    <w:rsid w:val="38EC73D2"/>
    <w:rsid w:val="38ED3287"/>
    <w:rsid w:val="39283AFE"/>
    <w:rsid w:val="39332063"/>
    <w:rsid w:val="39801D5C"/>
    <w:rsid w:val="39864CB2"/>
    <w:rsid w:val="39B074F3"/>
    <w:rsid w:val="39B522FC"/>
    <w:rsid w:val="39E94BAE"/>
    <w:rsid w:val="39F26F9C"/>
    <w:rsid w:val="3A6230A5"/>
    <w:rsid w:val="3A8B6409"/>
    <w:rsid w:val="3A9A5EE2"/>
    <w:rsid w:val="3ADC52A0"/>
    <w:rsid w:val="3B0464ED"/>
    <w:rsid w:val="3B386AD7"/>
    <w:rsid w:val="3B4F77CD"/>
    <w:rsid w:val="3B9D3DFD"/>
    <w:rsid w:val="3BE70FC7"/>
    <w:rsid w:val="3C0526C4"/>
    <w:rsid w:val="3C17099E"/>
    <w:rsid w:val="3C5447D8"/>
    <w:rsid w:val="3CC54C13"/>
    <w:rsid w:val="3D032DA6"/>
    <w:rsid w:val="3D2404A0"/>
    <w:rsid w:val="3D9C6353"/>
    <w:rsid w:val="3DB537E3"/>
    <w:rsid w:val="3E830438"/>
    <w:rsid w:val="3EA62FFA"/>
    <w:rsid w:val="3F580684"/>
    <w:rsid w:val="3F6F6F3C"/>
    <w:rsid w:val="3F8B2C02"/>
    <w:rsid w:val="3FBF290A"/>
    <w:rsid w:val="3FC45F0F"/>
    <w:rsid w:val="407B37CE"/>
    <w:rsid w:val="40980AC0"/>
    <w:rsid w:val="40A21979"/>
    <w:rsid w:val="40D84EFE"/>
    <w:rsid w:val="411109F7"/>
    <w:rsid w:val="414A6C92"/>
    <w:rsid w:val="41903C04"/>
    <w:rsid w:val="41A929B6"/>
    <w:rsid w:val="421D3B24"/>
    <w:rsid w:val="42740DCD"/>
    <w:rsid w:val="42B76AD2"/>
    <w:rsid w:val="42B85B6E"/>
    <w:rsid w:val="42D729BD"/>
    <w:rsid w:val="43303A52"/>
    <w:rsid w:val="43460F73"/>
    <w:rsid w:val="435B2E2B"/>
    <w:rsid w:val="43644CC3"/>
    <w:rsid w:val="43AA6E98"/>
    <w:rsid w:val="43B103FB"/>
    <w:rsid w:val="43B4769A"/>
    <w:rsid w:val="43C43F09"/>
    <w:rsid w:val="44452F9F"/>
    <w:rsid w:val="44486436"/>
    <w:rsid w:val="447A4056"/>
    <w:rsid w:val="450A355E"/>
    <w:rsid w:val="45107609"/>
    <w:rsid w:val="451111FA"/>
    <w:rsid w:val="45EE36C2"/>
    <w:rsid w:val="4672027C"/>
    <w:rsid w:val="46790D4E"/>
    <w:rsid w:val="468C32FF"/>
    <w:rsid w:val="46A02239"/>
    <w:rsid w:val="46D1040D"/>
    <w:rsid w:val="4712330B"/>
    <w:rsid w:val="471929AC"/>
    <w:rsid w:val="474D6E1B"/>
    <w:rsid w:val="478A5475"/>
    <w:rsid w:val="479E75AC"/>
    <w:rsid w:val="47B74E2A"/>
    <w:rsid w:val="47C16776"/>
    <w:rsid w:val="48006B0B"/>
    <w:rsid w:val="481B597F"/>
    <w:rsid w:val="481C275D"/>
    <w:rsid w:val="485F42F2"/>
    <w:rsid w:val="48A1298E"/>
    <w:rsid w:val="48A67D02"/>
    <w:rsid w:val="49420991"/>
    <w:rsid w:val="49443877"/>
    <w:rsid w:val="496857F2"/>
    <w:rsid w:val="496B41E6"/>
    <w:rsid w:val="4990682D"/>
    <w:rsid w:val="49911664"/>
    <w:rsid w:val="49BF1B82"/>
    <w:rsid w:val="49C4444F"/>
    <w:rsid w:val="49D64A49"/>
    <w:rsid w:val="49D9690D"/>
    <w:rsid w:val="4A3D2930"/>
    <w:rsid w:val="4A897504"/>
    <w:rsid w:val="4AEA02B1"/>
    <w:rsid w:val="4B332774"/>
    <w:rsid w:val="4B643EAF"/>
    <w:rsid w:val="4B8A1417"/>
    <w:rsid w:val="4B8F31CC"/>
    <w:rsid w:val="4C6F0FB1"/>
    <w:rsid w:val="4C7A51E2"/>
    <w:rsid w:val="4C7A659E"/>
    <w:rsid w:val="4C904EAE"/>
    <w:rsid w:val="4CE07267"/>
    <w:rsid w:val="4D2E0AFF"/>
    <w:rsid w:val="4D667DD8"/>
    <w:rsid w:val="4DA46EAF"/>
    <w:rsid w:val="4DB771F5"/>
    <w:rsid w:val="4DD83451"/>
    <w:rsid w:val="4DFD4A6A"/>
    <w:rsid w:val="4E0E5E31"/>
    <w:rsid w:val="4E28471C"/>
    <w:rsid w:val="4E8E3870"/>
    <w:rsid w:val="4EF23A21"/>
    <w:rsid w:val="4F587C55"/>
    <w:rsid w:val="4FA837A4"/>
    <w:rsid w:val="4FBD38A2"/>
    <w:rsid w:val="4FCC5143"/>
    <w:rsid w:val="50075116"/>
    <w:rsid w:val="50225129"/>
    <w:rsid w:val="50360623"/>
    <w:rsid w:val="5074187D"/>
    <w:rsid w:val="50B863AD"/>
    <w:rsid w:val="50BB4BBC"/>
    <w:rsid w:val="50DD4D41"/>
    <w:rsid w:val="51656ED5"/>
    <w:rsid w:val="51E96BE3"/>
    <w:rsid w:val="5257448C"/>
    <w:rsid w:val="529763AD"/>
    <w:rsid w:val="52A52801"/>
    <w:rsid w:val="532A0443"/>
    <w:rsid w:val="53BE4779"/>
    <w:rsid w:val="53ED3545"/>
    <w:rsid w:val="53FC3D96"/>
    <w:rsid w:val="540A708F"/>
    <w:rsid w:val="54153A5A"/>
    <w:rsid w:val="54416595"/>
    <w:rsid w:val="54584C2A"/>
    <w:rsid w:val="547D4A70"/>
    <w:rsid w:val="54B06DE8"/>
    <w:rsid w:val="556F2BDE"/>
    <w:rsid w:val="55DA68D2"/>
    <w:rsid w:val="55DD3084"/>
    <w:rsid w:val="562212C3"/>
    <w:rsid w:val="57772BD5"/>
    <w:rsid w:val="57A24239"/>
    <w:rsid w:val="57A326E9"/>
    <w:rsid w:val="57AF6302"/>
    <w:rsid w:val="57E23F75"/>
    <w:rsid w:val="586B1A29"/>
    <w:rsid w:val="58A02A5F"/>
    <w:rsid w:val="58B57551"/>
    <w:rsid w:val="58B63BA3"/>
    <w:rsid w:val="58FA6280"/>
    <w:rsid w:val="59295FFF"/>
    <w:rsid w:val="592D34C0"/>
    <w:rsid w:val="59597449"/>
    <w:rsid w:val="59F848AB"/>
    <w:rsid w:val="59FE0E4B"/>
    <w:rsid w:val="5A0B55C1"/>
    <w:rsid w:val="5A121065"/>
    <w:rsid w:val="5A173A60"/>
    <w:rsid w:val="5A2015B4"/>
    <w:rsid w:val="5A2F4F2C"/>
    <w:rsid w:val="5A680450"/>
    <w:rsid w:val="5A6F2812"/>
    <w:rsid w:val="5AEC3607"/>
    <w:rsid w:val="5B225E35"/>
    <w:rsid w:val="5B58301F"/>
    <w:rsid w:val="5B6868D7"/>
    <w:rsid w:val="5B9D0FA0"/>
    <w:rsid w:val="5BAD514C"/>
    <w:rsid w:val="5BB1152A"/>
    <w:rsid w:val="5BC73BD0"/>
    <w:rsid w:val="5C0E6A42"/>
    <w:rsid w:val="5CB81607"/>
    <w:rsid w:val="5CD91F03"/>
    <w:rsid w:val="5D0909AE"/>
    <w:rsid w:val="5D0D5387"/>
    <w:rsid w:val="5D2028A2"/>
    <w:rsid w:val="5D312368"/>
    <w:rsid w:val="5D43702B"/>
    <w:rsid w:val="5D560948"/>
    <w:rsid w:val="5DE46DB5"/>
    <w:rsid w:val="5E09116E"/>
    <w:rsid w:val="5E1E2CCB"/>
    <w:rsid w:val="5E423EAB"/>
    <w:rsid w:val="5E6D5686"/>
    <w:rsid w:val="5E936E3D"/>
    <w:rsid w:val="5EB05D5A"/>
    <w:rsid w:val="5EF42FA0"/>
    <w:rsid w:val="5F206B51"/>
    <w:rsid w:val="5F2B579E"/>
    <w:rsid w:val="5F400B5D"/>
    <w:rsid w:val="5F94176B"/>
    <w:rsid w:val="60421185"/>
    <w:rsid w:val="604A76D4"/>
    <w:rsid w:val="60603D5D"/>
    <w:rsid w:val="61D66C50"/>
    <w:rsid w:val="61DF64BA"/>
    <w:rsid w:val="62010F08"/>
    <w:rsid w:val="62404574"/>
    <w:rsid w:val="62B80CDA"/>
    <w:rsid w:val="62C019F6"/>
    <w:rsid w:val="62E03710"/>
    <w:rsid w:val="62EF4B47"/>
    <w:rsid w:val="631911E6"/>
    <w:rsid w:val="633207A6"/>
    <w:rsid w:val="635B03B6"/>
    <w:rsid w:val="639C6E32"/>
    <w:rsid w:val="63A97BDC"/>
    <w:rsid w:val="64061A5B"/>
    <w:rsid w:val="643C2766"/>
    <w:rsid w:val="64980EB1"/>
    <w:rsid w:val="64EC0F5F"/>
    <w:rsid w:val="6561631B"/>
    <w:rsid w:val="657774D5"/>
    <w:rsid w:val="65C94BF9"/>
    <w:rsid w:val="661236EB"/>
    <w:rsid w:val="66141DBB"/>
    <w:rsid w:val="668774A9"/>
    <w:rsid w:val="66DB16FA"/>
    <w:rsid w:val="66F26581"/>
    <w:rsid w:val="671F5A36"/>
    <w:rsid w:val="67425DB1"/>
    <w:rsid w:val="67622497"/>
    <w:rsid w:val="679F79D0"/>
    <w:rsid w:val="67A015FD"/>
    <w:rsid w:val="67ED7739"/>
    <w:rsid w:val="6807119A"/>
    <w:rsid w:val="6852396B"/>
    <w:rsid w:val="68785486"/>
    <w:rsid w:val="68B319ED"/>
    <w:rsid w:val="690B4060"/>
    <w:rsid w:val="69374E69"/>
    <w:rsid w:val="69375133"/>
    <w:rsid w:val="6A012053"/>
    <w:rsid w:val="6A36082E"/>
    <w:rsid w:val="6B147D25"/>
    <w:rsid w:val="6B334DCD"/>
    <w:rsid w:val="6B427E0B"/>
    <w:rsid w:val="6B5A7800"/>
    <w:rsid w:val="6B877152"/>
    <w:rsid w:val="6BAC1076"/>
    <w:rsid w:val="6BC65705"/>
    <w:rsid w:val="6BCF438D"/>
    <w:rsid w:val="6BD31549"/>
    <w:rsid w:val="6BDC7608"/>
    <w:rsid w:val="6C282683"/>
    <w:rsid w:val="6C972754"/>
    <w:rsid w:val="6CED528B"/>
    <w:rsid w:val="6D063BEA"/>
    <w:rsid w:val="6D245A56"/>
    <w:rsid w:val="6D3A1A02"/>
    <w:rsid w:val="6D5E2F06"/>
    <w:rsid w:val="6D7B7C96"/>
    <w:rsid w:val="6DC54645"/>
    <w:rsid w:val="6DC97426"/>
    <w:rsid w:val="6E303241"/>
    <w:rsid w:val="6E3F4FE2"/>
    <w:rsid w:val="6E6637E4"/>
    <w:rsid w:val="6E71308B"/>
    <w:rsid w:val="6EAD4A45"/>
    <w:rsid w:val="6EC3790F"/>
    <w:rsid w:val="6ECA01CD"/>
    <w:rsid w:val="6F670D5F"/>
    <w:rsid w:val="6FBE1DB6"/>
    <w:rsid w:val="6FD5183C"/>
    <w:rsid w:val="6FE833B7"/>
    <w:rsid w:val="702B0000"/>
    <w:rsid w:val="705B3CC3"/>
    <w:rsid w:val="706420CF"/>
    <w:rsid w:val="706E4003"/>
    <w:rsid w:val="70BC21D7"/>
    <w:rsid w:val="71CD7C68"/>
    <w:rsid w:val="720E7860"/>
    <w:rsid w:val="723341B4"/>
    <w:rsid w:val="72440BEA"/>
    <w:rsid w:val="725D774E"/>
    <w:rsid w:val="726218AF"/>
    <w:rsid w:val="72C864CC"/>
    <w:rsid w:val="72D15B37"/>
    <w:rsid w:val="734076E8"/>
    <w:rsid w:val="73701564"/>
    <w:rsid w:val="73784A25"/>
    <w:rsid w:val="73D277E1"/>
    <w:rsid w:val="74330326"/>
    <w:rsid w:val="74420E94"/>
    <w:rsid w:val="7499332B"/>
    <w:rsid w:val="74AD34E5"/>
    <w:rsid w:val="74D20203"/>
    <w:rsid w:val="74F82032"/>
    <w:rsid w:val="7529729F"/>
    <w:rsid w:val="75307211"/>
    <w:rsid w:val="759E156D"/>
    <w:rsid w:val="75A40B94"/>
    <w:rsid w:val="75DC3B62"/>
    <w:rsid w:val="76296CA9"/>
    <w:rsid w:val="765F0D83"/>
    <w:rsid w:val="768179F3"/>
    <w:rsid w:val="768E45B1"/>
    <w:rsid w:val="76D23E15"/>
    <w:rsid w:val="76FC13F3"/>
    <w:rsid w:val="774367EF"/>
    <w:rsid w:val="774C1F73"/>
    <w:rsid w:val="774C4FC7"/>
    <w:rsid w:val="77504DED"/>
    <w:rsid w:val="77633CAD"/>
    <w:rsid w:val="78647964"/>
    <w:rsid w:val="786B7CA6"/>
    <w:rsid w:val="78AF5FC4"/>
    <w:rsid w:val="78F4580D"/>
    <w:rsid w:val="791028E6"/>
    <w:rsid w:val="793903FE"/>
    <w:rsid w:val="79956DD4"/>
    <w:rsid w:val="79BE7055"/>
    <w:rsid w:val="7A153621"/>
    <w:rsid w:val="7A383967"/>
    <w:rsid w:val="7A604230"/>
    <w:rsid w:val="7A6A00BA"/>
    <w:rsid w:val="7AF573FD"/>
    <w:rsid w:val="7AF71672"/>
    <w:rsid w:val="7B710A0F"/>
    <w:rsid w:val="7B712636"/>
    <w:rsid w:val="7B902B1F"/>
    <w:rsid w:val="7B9448DA"/>
    <w:rsid w:val="7B9C405E"/>
    <w:rsid w:val="7BB4728E"/>
    <w:rsid w:val="7BCD5167"/>
    <w:rsid w:val="7C277BFF"/>
    <w:rsid w:val="7C292737"/>
    <w:rsid w:val="7C2A7C4E"/>
    <w:rsid w:val="7C730D29"/>
    <w:rsid w:val="7C8D1771"/>
    <w:rsid w:val="7CB73ECD"/>
    <w:rsid w:val="7CDF5FA7"/>
    <w:rsid w:val="7D5F7669"/>
    <w:rsid w:val="7D702CB7"/>
    <w:rsid w:val="7D707EA8"/>
    <w:rsid w:val="7DC31816"/>
    <w:rsid w:val="7DD46881"/>
    <w:rsid w:val="7E385325"/>
    <w:rsid w:val="7E6402A9"/>
    <w:rsid w:val="7E7152DE"/>
    <w:rsid w:val="7E91614B"/>
    <w:rsid w:val="7EA418D2"/>
    <w:rsid w:val="7ED76577"/>
    <w:rsid w:val="7F1005FE"/>
    <w:rsid w:val="7F433417"/>
    <w:rsid w:val="7FAE3D2F"/>
    <w:rsid w:val="7FB7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ME</dc:creator>
  <cp:lastModifiedBy>IBM</cp:lastModifiedBy>
  <dcterms:modified xsi:type="dcterms:W3CDTF">2019-04-12T11:47:50Z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