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FFC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C000"/>
          <w:sz w:val="30"/>
          <w:szCs w:val="30"/>
          <w:lang w:eastAsia="zh-CN"/>
        </w:rPr>
        <w:t>模态命题</w:t>
      </w:r>
      <w:r>
        <w:rPr>
          <w:rFonts w:hint="eastAsia"/>
          <w:b/>
          <w:bCs/>
          <w:color w:val="FFC000"/>
          <w:sz w:val="30"/>
          <w:szCs w:val="30"/>
          <w:lang w:val="en-US" w:eastAsia="zh-CN"/>
        </w:rPr>
        <w:t xml:space="preserve"> 与 直言命题 </w:t>
      </w:r>
    </w:p>
    <w:p>
      <w:pPr>
        <w:rPr>
          <w:rFonts w:hint="eastAsia"/>
          <w:b/>
          <w:bCs/>
          <w:color w:val="FFC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C000"/>
          <w:sz w:val="30"/>
          <w:szCs w:val="30"/>
          <w:lang w:val="en-US" w:eastAsia="zh-CN"/>
        </w:rPr>
        <w:t>（必然 = 一定）   （必然非 = 一定不是 = 不可能）</w:t>
      </w:r>
    </w:p>
    <w:p>
      <w:pPr>
        <w:rPr>
          <w:rFonts w:hint="eastAsia" w:eastAsiaTheme="minorEastAsia"/>
          <w:b/>
          <w:bCs/>
          <w:color w:val="FFC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C000"/>
          <w:sz w:val="30"/>
          <w:szCs w:val="30"/>
          <w:lang w:val="en-US" w:eastAsia="zh-CN"/>
        </w:rPr>
        <w:t>（并非 = 不， 并非可能 = 不可能）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1、必然P  等价于  所有都是P 。例：所有运动员都是健壮的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2、不可能P（必然非P） 等价于 所有都不是P。</w:t>
      </w:r>
    </w:p>
    <w:p>
      <w:pPr>
        <w:ind w:left="420" w:leftChars="0" w:firstLine="420" w:firstLineChars="0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例：所有小学生都不是团员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可能P 等价于 有的是P  例：有的大学生是党员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可能非P 等价于 有的不是P   例：有的公务员不是大学生</w:t>
      </w:r>
    </w:p>
    <w:p>
      <w:pPr>
        <w:rPr>
          <w:rFonts w:hint="eastAsia" w:eastAsiaTheme="minorEastAsia"/>
          <w:b/>
          <w:bCs/>
          <w:color w:val="FFC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C000"/>
          <w:sz w:val="30"/>
          <w:szCs w:val="30"/>
          <w:lang w:val="en-US" w:eastAsia="zh-CN"/>
        </w:rPr>
        <w:t>根据矛盾关系推理： （&lt;==&gt; 表示等价于）</w:t>
      </w:r>
    </w:p>
    <w:p>
      <w:pPr>
        <w:numPr>
          <w:ilvl w:val="0"/>
          <w:numId w:val="2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必然P  &lt;==&gt;  并非可能非P </w:t>
      </w:r>
    </w:p>
    <w:p>
      <w:pPr>
        <w:numPr>
          <w:numId w:val="0"/>
        </w:numPr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</w:t>
      </w:r>
      <w:r>
        <w:rPr>
          <w:rFonts w:hint="eastAsia"/>
          <w:color w:val="00B0F0"/>
          <w:sz w:val="30"/>
          <w:szCs w:val="30"/>
          <w:lang w:val="en-US" w:eastAsia="zh-CN"/>
        </w:rPr>
        <w:t>一定P  &lt;==&gt;   不可能不是P</w:t>
      </w:r>
    </w:p>
    <w:p>
      <w:pPr>
        <w:numPr>
          <w:ilvl w:val="0"/>
          <w:numId w:val="2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必然非P    &lt;==&gt;  并非可能P </w:t>
      </w:r>
    </w:p>
    <w:p>
      <w:pPr>
        <w:numPr>
          <w:ilvl w:val="0"/>
          <w:numId w:val="0"/>
        </w:numPr>
        <w:rPr>
          <w:rFonts w:hint="default"/>
          <w:color w:val="00B0F0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</w:t>
      </w:r>
      <w:r>
        <w:rPr>
          <w:rFonts w:hint="eastAsia"/>
          <w:color w:val="00B0F0"/>
          <w:sz w:val="30"/>
          <w:szCs w:val="30"/>
          <w:lang w:val="en-US" w:eastAsia="zh-CN"/>
        </w:rPr>
        <w:t xml:space="preserve"> 一定不是P  &lt;==&gt;   不可能是P</w:t>
      </w:r>
    </w:p>
    <w:p>
      <w:pPr>
        <w:numPr>
          <w:ilvl w:val="0"/>
          <w:numId w:val="2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可能P  &lt;==&gt;  并非必然非P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</w:t>
      </w:r>
      <w:r>
        <w:rPr>
          <w:rFonts w:hint="eastAsia"/>
          <w:color w:val="00B0F0"/>
          <w:sz w:val="30"/>
          <w:szCs w:val="30"/>
          <w:lang w:val="en-US" w:eastAsia="zh-CN"/>
        </w:rPr>
        <w:t>可能P  &lt;==&gt;  不一定不是P</w:t>
      </w:r>
    </w:p>
    <w:p>
      <w:pPr>
        <w:numPr>
          <w:ilvl w:val="0"/>
          <w:numId w:val="2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可能非P  &lt;==&gt; 并非必然P  </w:t>
      </w:r>
    </w:p>
    <w:p>
      <w:pPr>
        <w:numPr>
          <w:numId w:val="0"/>
        </w:numPr>
        <w:rPr>
          <w:rFonts w:hint="eastAsia"/>
          <w:color w:val="00B0F0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</w:t>
      </w:r>
      <w:r>
        <w:rPr>
          <w:rFonts w:hint="eastAsia"/>
          <w:color w:val="00B0F0"/>
          <w:sz w:val="30"/>
          <w:szCs w:val="30"/>
          <w:lang w:val="en-US" w:eastAsia="zh-CN"/>
        </w:rPr>
        <w:t>可能不是P  &lt;==&gt;  不一定是P</w:t>
      </w:r>
    </w:p>
    <w:p>
      <w:pPr>
        <w:numPr>
          <w:numId w:val="0"/>
        </w:numPr>
        <w:rPr>
          <w:rFonts w:hint="eastAsia"/>
          <w:color w:val="00B0F0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eastAsia"/>
          <w:color w:val="00B0F0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eastAsia"/>
          <w:color w:val="00B0F0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eastAsia"/>
          <w:color w:val="00B0F0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eastAsia"/>
          <w:color w:val="00B0F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C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C000"/>
          <w:sz w:val="30"/>
          <w:szCs w:val="30"/>
          <w:lang w:val="en-US" w:eastAsia="zh-CN"/>
        </w:rPr>
        <w:t>总结：</w:t>
      </w:r>
    </w:p>
    <w:p>
      <w:r>
        <w:drawing>
          <wp:inline distT="0" distB="0" distL="114300" distR="114300">
            <wp:extent cx="3333750" cy="2352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矛盾关系：一真，另一个必假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反对关系：一真，另一个必假；一假，另一个则真假不定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下反对关系： 一假，另一个必真；一真，另一个则真假不定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从属关系：</w:t>
      </w:r>
    </w:p>
    <w:p>
      <w:pPr>
        <w:ind w:firstLine="300" w:firstLineChars="100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“可能P”包含“一定P”，“可能不P”包含“一定不P”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“一定P”为真，则“可能P”为真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“一定P”为假，则“可能P”真假不定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“可能P</w:t>
      </w:r>
      <w:bookmarkStart w:id="0" w:name="_GoBack"/>
      <w:bookmarkEnd w:id="0"/>
      <w:r>
        <w:rPr>
          <w:rFonts w:hint="eastAsia"/>
          <w:sz w:val="30"/>
          <w:szCs w:val="30"/>
          <w:lang w:val="en-US" w:eastAsia="zh-CN"/>
        </w:rPr>
        <w:t>”为真，则“一定P”真假不定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“可能P”为假，则“一定P”为假</w:t>
      </w:r>
    </w:p>
    <w:p>
      <w:pPr>
        <w:rPr>
          <w:rFonts w:hint="eastAsia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CCB335"/>
    <w:multiLevelType w:val="singleLevel"/>
    <w:tmpl w:val="F5CCB335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FA50AF0F"/>
    <w:multiLevelType w:val="singleLevel"/>
    <w:tmpl w:val="FA50AF0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75834"/>
    <w:rsid w:val="00D40461"/>
    <w:rsid w:val="023A2554"/>
    <w:rsid w:val="02794E17"/>
    <w:rsid w:val="02B87472"/>
    <w:rsid w:val="02D45670"/>
    <w:rsid w:val="03456EA1"/>
    <w:rsid w:val="03DA299F"/>
    <w:rsid w:val="03E82BAB"/>
    <w:rsid w:val="043818D7"/>
    <w:rsid w:val="04920CF1"/>
    <w:rsid w:val="04BE7021"/>
    <w:rsid w:val="05356210"/>
    <w:rsid w:val="05532464"/>
    <w:rsid w:val="05B96669"/>
    <w:rsid w:val="06F65DC2"/>
    <w:rsid w:val="0720614A"/>
    <w:rsid w:val="07426598"/>
    <w:rsid w:val="08B974A0"/>
    <w:rsid w:val="098C031C"/>
    <w:rsid w:val="0A024F1C"/>
    <w:rsid w:val="0B1A0145"/>
    <w:rsid w:val="0B9E5B74"/>
    <w:rsid w:val="0BB356A1"/>
    <w:rsid w:val="0BFC1A2E"/>
    <w:rsid w:val="0CD72526"/>
    <w:rsid w:val="0CE43FA9"/>
    <w:rsid w:val="0CFA19F1"/>
    <w:rsid w:val="0D2E0F57"/>
    <w:rsid w:val="0D5D3EA3"/>
    <w:rsid w:val="0D891E4D"/>
    <w:rsid w:val="0DBC6612"/>
    <w:rsid w:val="0E6402CD"/>
    <w:rsid w:val="0E9C4624"/>
    <w:rsid w:val="0EE60074"/>
    <w:rsid w:val="0F2C24F4"/>
    <w:rsid w:val="0F6553C6"/>
    <w:rsid w:val="10123C44"/>
    <w:rsid w:val="1014026D"/>
    <w:rsid w:val="10742D54"/>
    <w:rsid w:val="11606B81"/>
    <w:rsid w:val="117E3578"/>
    <w:rsid w:val="129E7A45"/>
    <w:rsid w:val="138C1679"/>
    <w:rsid w:val="13B26B83"/>
    <w:rsid w:val="13F70DD4"/>
    <w:rsid w:val="14A44C3F"/>
    <w:rsid w:val="14E93963"/>
    <w:rsid w:val="152F6F14"/>
    <w:rsid w:val="1570632F"/>
    <w:rsid w:val="16340C36"/>
    <w:rsid w:val="167050AF"/>
    <w:rsid w:val="16880854"/>
    <w:rsid w:val="16B62C5A"/>
    <w:rsid w:val="174657CC"/>
    <w:rsid w:val="17522E35"/>
    <w:rsid w:val="17822997"/>
    <w:rsid w:val="17977B02"/>
    <w:rsid w:val="17ED155C"/>
    <w:rsid w:val="18392059"/>
    <w:rsid w:val="18917641"/>
    <w:rsid w:val="18D516C7"/>
    <w:rsid w:val="195152CD"/>
    <w:rsid w:val="19A8708C"/>
    <w:rsid w:val="1A3750A3"/>
    <w:rsid w:val="1A632B69"/>
    <w:rsid w:val="1A733D1B"/>
    <w:rsid w:val="1A8E76EF"/>
    <w:rsid w:val="1AA927F4"/>
    <w:rsid w:val="1AF1193A"/>
    <w:rsid w:val="1B2F029E"/>
    <w:rsid w:val="1B3568E8"/>
    <w:rsid w:val="1B900143"/>
    <w:rsid w:val="1BDF2499"/>
    <w:rsid w:val="1BE4450D"/>
    <w:rsid w:val="1D307E16"/>
    <w:rsid w:val="1D8C5D70"/>
    <w:rsid w:val="1D8E538C"/>
    <w:rsid w:val="1E0077F8"/>
    <w:rsid w:val="1E0F1D30"/>
    <w:rsid w:val="1E41070F"/>
    <w:rsid w:val="1F0610CC"/>
    <w:rsid w:val="1F381788"/>
    <w:rsid w:val="1FD22F00"/>
    <w:rsid w:val="20554AFE"/>
    <w:rsid w:val="20E96D09"/>
    <w:rsid w:val="21CB1487"/>
    <w:rsid w:val="223D0408"/>
    <w:rsid w:val="22702102"/>
    <w:rsid w:val="229815B1"/>
    <w:rsid w:val="22CD6127"/>
    <w:rsid w:val="2366500B"/>
    <w:rsid w:val="23884AF1"/>
    <w:rsid w:val="238A17DA"/>
    <w:rsid w:val="23F43EC9"/>
    <w:rsid w:val="248B3E24"/>
    <w:rsid w:val="24AF3CD9"/>
    <w:rsid w:val="2531232D"/>
    <w:rsid w:val="25986DF7"/>
    <w:rsid w:val="25A50E33"/>
    <w:rsid w:val="25C41EF1"/>
    <w:rsid w:val="26105056"/>
    <w:rsid w:val="273372ED"/>
    <w:rsid w:val="28847279"/>
    <w:rsid w:val="28D822B2"/>
    <w:rsid w:val="295C008A"/>
    <w:rsid w:val="2A0A4D5F"/>
    <w:rsid w:val="2A52437D"/>
    <w:rsid w:val="2AEE6853"/>
    <w:rsid w:val="2B641487"/>
    <w:rsid w:val="2B644DD9"/>
    <w:rsid w:val="2BBA0940"/>
    <w:rsid w:val="2BEB2A80"/>
    <w:rsid w:val="2C9C6D2E"/>
    <w:rsid w:val="2CA73912"/>
    <w:rsid w:val="2CC03D0B"/>
    <w:rsid w:val="2CDA03EE"/>
    <w:rsid w:val="2D03291F"/>
    <w:rsid w:val="2D1515DB"/>
    <w:rsid w:val="2E1D6D7D"/>
    <w:rsid w:val="2F8C6C0E"/>
    <w:rsid w:val="300D5022"/>
    <w:rsid w:val="307F00F8"/>
    <w:rsid w:val="307F231C"/>
    <w:rsid w:val="30816590"/>
    <w:rsid w:val="30CE6296"/>
    <w:rsid w:val="30D23802"/>
    <w:rsid w:val="30DA7102"/>
    <w:rsid w:val="31545A33"/>
    <w:rsid w:val="315E7D72"/>
    <w:rsid w:val="318C2C30"/>
    <w:rsid w:val="31BE4321"/>
    <w:rsid w:val="3219313B"/>
    <w:rsid w:val="3418694B"/>
    <w:rsid w:val="349253B4"/>
    <w:rsid w:val="353779C4"/>
    <w:rsid w:val="356D2038"/>
    <w:rsid w:val="36FD5524"/>
    <w:rsid w:val="37890D96"/>
    <w:rsid w:val="37931E2C"/>
    <w:rsid w:val="37A13963"/>
    <w:rsid w:val="37EB0042"/>
    <w:rsid w:val="38924AB4"/>
    <w:rsid w:val="38AC1FB3"/>
    <w:rsid w:val="38EE6544"/>
    <w:rsid w:val="38F05E9B"/>
    <w:rsid w:val="396A543F"/>
    <w:rsid w:val="39E0016B"/>
    <w:rsid w:val="3A091836"/>
    <w:rsid w:val="3A3F4628"/>
    <w:rsid w:val="3B187382"/>
    <w:rsid w:val="3B23216E"/>
    <w:rsid w:val="3B463115"/>
    <w:rsid w:val="3BD51746"/>
    <w:rsid w:val="3C627F74"/>
    <w:rsid w:val="3CD62F39"/>
    <w:rsid w:val="3CED2FAB"/>
    <w:rsid w:val="3CF20EBB"/>
    <w:rsid w:val="3D2D6087"/>
    <w:rsid w:val="3D4711CF"/>
    <w:rsid w:val="3D767ECE"/>
    <w:rsid w:val="3DBC673E"/>
    <w:rsid w:val="3DFE2225"/>
    <w:rsid w:val="3E750520"/>
    <w:rsid w:val="3F680733"/>
    <w:rsid w:val="3F9D64B0"/>
    <w:rsid w:val="401251D7"/>
    <w:rsid w:val="40317D95"/>
    <w:rsid w:val="406C6291"/>
    <w:rsid w:val="40E14E15"/>
    <w:rsid w:val="418E3C3C"/>
    <w:rsid w:val="41FD4938"/>
    <w:rsid w:val="4244356B"/>
    <w:rsid w:val="4305066C"/>
    <w:rsid w:val="432E02D7"/>
    <w:rsid w:val="43515CAC"/>
    <w:rsid w:val="43603850"/>
    <w:rsid w:val="43EA04E9"/>
    <w:rsid w:val="447F0FEF"/>
    <w:rsid w:val="448F08FB"/>
    <w:rsid w:val="44A927DB"/>
    <w:rsid w:val="44CE0A63"/>
    <w:rsid w:val="45F64997"/>
    <w:rsid w:val="46E15BB0"/>
    <w:rsid w:val="47D6295D"/>
    <w:rsid w:val="48140BD4"/>
    <w:rsid w:val="489C3993"/>
    <w:rsid w:val="49343024"/>
    <w:rsid w:val="4953197B"/>
    <w:rsid w:val="499C21CF"/>
    <w:rsid w:val="49C279AC"/>
    <w:rsid w:val="4A373925"/>
    <w:rsid w:val="4A430C34"/>
    <w:rsid w:val="4AAE5B35"/>
    <w:rsid w:val="4AC959CC"/>
    <w:rsid w:val="4B7D0993"/>
    <w:rsid w:val="4C960588"/>
    <w:rsid w:val="4D58577F"/>
    <w:rsid w:val="4D637E3D"/>
    <w:rsid w:val="4D7D7F79"/>
    <w:rsid w:val="4E53362F"/>
    <w:rsid w:val="4E55126E"/>
    <w:rsid w:val="4EFF1BDE"/>
    <w:rsid w:val="4F8F5020"/>
    <w:rsid w:val="502774FB"/>
    <w:rsid w:val="502E13E4"/>
    <w:rsid w:val="509D1BEC"/>
    <w:rsid w:val="50F73769"/>
    <w:rsid w:val="51123A6B"/>
    <w:rsid w:val="51540715"/>
    <w:rsid w:val="52AE6309"/>
    <w:rsid w:val="53267D54"/>
    <w:rsid w:val="533F1248"/>
    <w:rsid w:val="53B00A61"/>
    <w:rsid w:val="5527628B"/>
    <w:rsid w:val="5551347B"/>
    <w:rsid w:val="555249C6"/>
    <w:rsid w:val="55616E24"/>
    <w:rsid w:val="558A530B"/>
    <w:rsid w:val="55FD3E75"/>
    <w:rsid w:val="563D09A3"/>
    <w:rsid w:val="5720110D"/>
    <w:rsid w:val="57991500"/>
    <w:rsid w:val="58627FEC"/>
    <w:rsid w:val="58EE0778"/>
    <w:rsid w:val="59333B74"/>
    <w:rsid w:val="5A426F27"/>
    <w:rsid w:val="5A7549DE"/>
    <w:rsid w:val="5AA206CE"/>
    <w:rsid w:val="5AD9726F"/>
    <w:rsid w:val="5AFB1C77"/>
    <w:rsid w:val="5CAD164E"/>
    <w:rsid w:val="5CED4E93"/>
    <w:rsid w:val="5D2018D9"/>
    <w:rsid w:val="5D4461E6"/>
    <w:rsid w:val="5D4E50B1"/>
    <w:rsid w:val="5DAC7A67"/>
    <w:rsid w:val="5DC46F96"/>
    <w:rsid w:val="5E1E6946"/>
    <w:rsid w:val="5EBD45E7"/>
    <w:rsid w:val="5F070D41"/>
    <w:rsid w:val="5F330A7C"/>
    <w:rsid w:val="60C61127"/>
    <w:rsid w:val="60CF6850"/>
    <w:rsid w:val="61BD39C0"/>
    <w:rsid w:val="61E7748D"/>
    <w:rsid w:val="62426D9A"/>
    <w:rsid w:val="625E5A85"/>
    <w:rsid w:val="632961D6"/>
    <w:rsid w:val="63765A85"/>
    <w:rsid w:val="63D16E4B"/>
    <w:rsid w:val="64057D60"/>
    <w:rsid w:val="64726A15"/>
    <w:rsid w:val="64B37B2E"/>
    <w:rsid w:val="64E638D7"/>
    <w:rsid w:val="65BB51F7"/>
    <w:rsid w:val="66A11355"/>
    <w:rsid w:val="66B11D9D"/>
    <w:rsid w:val="677A11EB"/>
    <w:rsid w:val="677E6AD5"/>
    <w:rsid w:val="68A96BCB"/>
    <w:rsid w:val="68E3793C"/>
    <w:rsid w:val="696430D4"/>
    <w:rsid w:val="6A4E6AC7"/>
    <w:rsid w:val="6A7B2A60"/>
    <w:rsid w:val="6ADD222C"/>
    <w:rsid w:val="6B6C5017"/>
    <w:rsid w:val="6BE8393E"/>
    <w:rsid w:val="6BFD2C3E"/>
    <w:rsid w:val="6C6C3EFE"/>
    <w:rsid w:val="6C8E7C07"/>
    <w:rsid w:val="6D6242D3"/>
    <w:rsid w:val="6ED45505"/>
    <w:rsid w:val="6F3F3399"/>
    <w:rsid w:val="6F43188F"/>
    <w:rsid w:val="7043287F"/>
    <w:rsid w:val="70F75D87"/>
    <w:rsid w:val="713B5E88"/>
    <w:rsid w:val="71F5100F"/>
    <w:rsid w:val="733B258E"/>
    <w:rsid w:val="73494F8A"/>
    <w:rsid w:val="73A92B67"/>
    <w:rsid w:val="73CE7564"/>
    <w:rsid w:val="73DC1AC3"/>
    <w:rsid w:val="73E63FF6"/>
    <w:rsid w:val="73FC4E4D"/>
    <w:rsid w:val="74A150DC"/>
    <w:rsid w:val="74A336A8"/>
    <w:rsid w:val="751A2B6D"/>
    <w:rsid w:val="75582778"/>
    <w:rsid w:val="76F76FDE"/>
    <w:rsid w:val="77127004"/>
    <w:rsid w:val="774038DD"/>
    <w:rsid w:val="77922454"/>
    <w:rsid w:val="7795170F"/>
    <w:rsid w:val="78336A24"/>
    <w:rsid w:val="786B6902"/>
    <w:rsid w:val="78987288"/>
    <w:rsid w:val="78D474EF"/>
    <w:rsid w:val="79436AAE"/>
    <w:rsid w:val="79882A03"/>
    <w:rsid w:val="79D974B9"/>
    <w:rsid w:val="7A782CB5"/>
    <w:rsid w:val="7ADF39C2"/>
    <w:rsid w:val="7B5C6702"/>
    <w:rsid w:val="7B71226A"/>
    <w:rsid w:val="7B8339E2"/>
    <w:rsid w:val="7BBE4519"/>
    <w:rsid w:val="7C340B90"/>
    <w:rsid w:val="7D3B0021"/>
    <w:rsid w:val="7E400085"/>
    <w:rsid w:val="7E4546C3"/>
    <w:rsid w:val="7E9E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1203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IBM</dc:creator>
  <cp:lastModifiedBy>IBM</cp:lastModifiedBy>
  <dcterms:modified xsi:type="dcterms:W3CDTF">2019-08-14T02:49:16Z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