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1" w:after="120"/>
        <w:jc w:val="center"/>
      </w:pPr>
      <w:r>
        <w:rPr>
          <w:rFonts w:ascii="Arial" w:hAnsi="Arial"/>
          <w:b/>
          <w:color w:val="1A375E"/>
          <w:sz w:val="44"/>
        </w:rPr>
        <w:t>СРО ИНДУСТРИИ СЕМЕЙНЫХ РАЗВЛЕЧЕНИЙ</w:t>
      </w:r>
    </w:p>
    <w:p>
      <w:pPr>
        <w:spacing w:after="80"/>
        <w:jc w:val="center"/>
      </w:pPr>
      <w:r>
        <w:rPr>
          <w:rFonts w:ascii="Arial" w:hAnsi="Arial"/>
          <w:i/>
          <w:color w:val="1F72C4"/>
          <w:sz w:val="28"/>
        </w:rPr>
        <w:t>Предпроектные материалы для согласования</w:t>
      </w:r>
    </w:p>
    <w:p>
      <w:pPr>
        <w:pBdr>
          <w:bottom w:val="single" w:sz="6" w:space="1" w:color="1F72C4"/>
        </w:pBdr>
        <w:spacing w:after="80"/>
      </w:pPr>
    </w:p>
    <w:p>
      <w:pPr>
        <w:spacing w:before="120"/>
        <w:jc w:val="center"/>
      </w:pPr>
      <w:r>
        <w:rPr>
          <w:rFonts w:ascii="Arial" w:hAnsi="Arial"/>
          <w:color w:val="1A1A2E"/>
          <w:sz w:val="22"/>
        </w:rPr>
        <w:t>Охват: развлекательные центры · тематические парки · аквапарки</w:t>
        <w:br/>
        <w:t>батутные центры · активити-парки · аттракционы · игровые зоны</w:t>
      </w:r>
    </w:p>
    <w:p>
      <w:pPr>
        <w:spacing w:before="160"/>
        <w:jc w:val="center"/>
      </w:pPr>
      <w:r>
        <w:rPr>
          <w:rFonts w:ascii="Arial" w:hAnsi="Arial"/>
          <w:color w:val="888888"/>
          <w:sz w:val="22"/>
        </w:rPr>
        <w:t>Апрель 2026</w:t>
      </w:r>
    </w:p>
    <w:p/>
    <w:p>
      <w:pPr>
        <w:pBdr>
          <w:bottom w:val="single" w:sz="6" w:space="1" w:color="F07B1B"/>
        </w:pBdr>
        <w:spacing w:after="80"/>
      </w:pPr>
    </w:p>
    <w:p>
      <w:pPr>
        <w:spacing w:before="200"/>
      </w:pPr>
      <w:r>
        <w:rPr>
          <w:rFonts w:ascii="Arial" w:hAnsi="Arial"/>
          <w:b/>
          <w:color w:val="F07B1B"/>
          <w:sz w:val="24"/>
        </w:rPr>
        <w:t>О ДОКУМЕНТЕ</w:t>
      </w:r>
    </w:p>
    <w:p>
      <w:r>
        <w:rPr>
          <w:rFonts w:ascii="Arial" w:hAnsi="Arial"/>
          <w:color w:val="1A1A2E"/>
          <w:sz w:val="21"/>
        </w:rPr>
        <w:t>Пакет предпроектных материалов для согласования руководством: состав экспертной команды, нормативно-правовая база и структура документов СРО.</w:t>
        <w:br/>
        <w:br/>
        <w:t>Ключевые принципы:</w:t>
        <w:br/>
        <w:t>1. СРО не дублирует государственный надзор — только проверяет наличие документов госорганов.</w:t>
        <w:br/>
        <w:t>2. Содержательные требования направлены в зоны без жёсткого госрегулирования: управление, персонал, сервис.</w:t>
        <w:br/>
        <w:t>3. Проверка СРО — это бизнес-диагностика: владелец получает не только акт соответствия, но и карту рисков и точек роста.</w:t>
      </w:r>
    </w:p>
    <w:p>
      <w:r>
        <w:br w:type="page"/>
      </w:r>
    </w:p>
    <w:p>
      <w:pPr>
        <w:spacing w:after="200"/>
      </w:pPr>
      <w:r>
        <w:rPr>
          <w:rFonts w:ascii="Arial" w:hAnsi="Arial"/>
          <w:b/>
          <w:color w:val="1A375E"/>
          <w:sz w:val="28"/>
        </w:rPr>
        <w:t>СОДЕРЖАНИЕ</w:t>
      </w:r>
    </w:p>
    <w:p>
      <w:pPr>
        <w:pBdr>
          <w:bottom w:val="single" w:sz="6" w:space="1" w:color="1A375E"/>
        </w:pBdr>
        <w:spacing w:after="80"/>
      </w:pPr>
    </w:p>
    <w:p>
      <w:pPr>
        <w:spacing w:after="40"/>
      </w:pPr>
      <w:r>
        <w:rPr>
          <w:rFonts w:ascii="Arial" w:hAnsi="Arial"/>
          <w:b/>
          <w:color w:val="1A375E"/>
          <w:sz w:val="21"/>
        </w:rPr>
        <w:t>1.  Принцип разграничения с государственным контролем</w:t>
      </w:r>
    </w:p>
    <w:p>
      <w:pPr>
        <w:spacing w:after="40"/>
      </w:pPr>
      <w:r>
        <w:rPr>
          <w:rFonts w:ascii="Arial" w:hAnsi="Arial"/>
          <w:b/>
          <w:color w:val="1A375E"/>
          <w:sz w:val="21"/>
        </w:rPr>
        <w:t>2.  Экспертная команда</w:t>
      </w:r>
    </w:p>
    <w:p>
      <w:pPr>
        <w:spacing w:after="40"/>
      </w:pPr>
      <w:r>
        <w:rPr>
          <w:rFonts w:ascii="Arial" w:hAnsi="Arial"/>
          <w:b/>
          <w:color w:val="1A375E"/>
          <w:sz w:val="21"/>
        </w:rPr>
        <w:t>3.  Нормативно-правовая база</w:t>
      </w:r>
    </w:p>
    <w:p>
      <w:pPr>
        <w:spacing w:after="40"/>
      </w:pPr>
      <w:r>
        <w:rPr>
          <w:rFonts w:ascii="Arial" w:hAnsi="Arial"/>
          <w:b/>
          <w:color w:val="1A375E"/>
          <w:sz w:val="21"/>
        </w:rPr>
        <w:t>4.  Структура Документа 1: Внутренний стандарт СРО</w:t>
      </w:r>
    </w:p>
    <w:p>
      <w:pPr>
        <w:spacing w:after="40"/>
      </w:pPr>
      <w:r>
        <w:rPr>
          <w:rFonts w:ascii="Arial" w:hAnsi="Arial"/>
          <w:b w:val="0"/>
          <w:color w:val="1A1A2E"/>
          <w:sz w:val="21"/>
        </w:rPr>
        <w:t xml:space="preserve">   4.1  Преамбула и классификация объектов</w:t>
      </w:r>
    </w:p>
    <w:p>
      <w:pPr>
        <w:spacing w:after="40"/>
      </w:pPr>
      <w:r>
        <w:rPr>
          <w:rFonts w:ascii="Arial" w:hAnsi="Arial"/>
          <w:b w:val="0"/>
          <w:color w:val="1A1A2E"/>
          <w:sz w:val="21"/>
        </w:rPr>
        <w:t xml:space="preserve">   4.2  Раздел 3: Документарное соответствие (госорганы)</w:t>
      </w:r>
    </w:p>
    <w:p>
      <w:pPr>
        <w:spacing w:after="40"/>
      </w:pPr>
      <w:r>
        <w:rPr>
          <w:rFonts w:ascii="Arial" w:hAnsi="Arial"/>
          <w:b w:val="0"/>
          <w:color w:val="1A1A2E"/>
          <w:sz w:val="21"/>
        </w:rPr>
        <w:t xml:space="preserve">   4.3  Раздел 4: Система управления ★</w:t>
      </w:r>
    </w:p>
    <w:p>
      <w:pPr>
        <w:spacing w:after="40"/>
      </w:pPr>
      <w:r>
        <w:rPr>
          <w:rFonts w:ascii="Arial" w:hAnsi="Arial"/>
          <w:b w:val="0"/>
          <w:color w:val="1A1A2E"/>
          <w:sz w:val="21"/>
        </w:rPr>
        <w:t xml:space="preserve">   4.4  Раздел 5: Персонал и квалификация ★</w:t>
      </w:r>
    </w:p>
    <w:p>
      <w:pPr>
        <w:spacing w:after="40"/>
      </w:pPr>
      <w:r>
        <w:rPr>
          <w:rFonts w:ascii="Arial" w:hAnsi="Arial"/>
          <w:b w:val="0"/>
          <w:color w:val="1A1A2E"/>
          <w:sz w:val="21"/>
        </w:rPr>
        <w:t xml:space="preserve">   4.5  Раздел 6: Клиентский опыт и коммерческая эффективность ★</w:t>
      </w:r>
    </w:p>
    <w:p>
      <w:pPr>
        <w:spacing w:after="40"/>
      </w:pPr>
      <w:r>
        <w:rPr>
          <w:rFonts w:ascii="Arial" w:hAnsi="Arial"/>
          <w:b w:val="0"/>
          <w:color w:val="1A1A2E"/>
          <w:sz w:val="21"/>
        </w:rPr>
        <w:t xml:space="preserve">   4.6  Раздел 7: Специфические форматы без госрегулирования ★</w:t>
      </w:r>
    </w:p>
    <w:p>
      <w:pPr>
        <w:spacing w:after="40"/>
      </w:pPr>
      <w:r>
        <w:rPr>
          <w:rFonts w:ascii="Arial" w:hAnsi="Arial"/>
          <w:b/>
          <w:color w:val="1A375E"/>
          <w:sz w:val="21"/>
        </w:rPr>
        <w:t>5.  Структура Документа 2: Правила контроля</w:t>
      </w:r>
    </w:p>
    <w:p>
      <w:pPr>
        <w:spacing w:after="40"/>
      </w:pPr>
      <w:r>
        <w:rPr>
          <w:rFonts w:ascii="Arial" w:hAnsi="Arial"/>
          <w:b w:val="0"/>
          <w:color w:val="1A1A2E"/>
          <w:sz w:val="21"/>
        </w:rPr>
        <w:t xml:space="preserve">   5.1  Виды мероприятий и структура проверки</w:t>
      </w:r>
    </w:p>
    <w:p>
      <w:pPr>
        <w:spacing w:after="40"/>
      </w:pPr>
      <w:r>
        <w:rPr>
          <w:rFonts w:ascii="Arial" w:hAnsi="Arial"/>
          <w:b w:val="0"/>
          <w:color w:val="1A1A2E"/>
          <w:sz w:val="21"/>
        </w:rPr>
        <w:t xml:space="preserve">   5.2  Оценка: соответствие + карта точек роста</w:t>
      </w:r>
    </w:p>
    <w:p>
      <w:pPr>
        <w:spacing w:after="40"/>
      </w:pPr>
      <w:r>
        <w:rPr>
          <w:rFonts w:ascii="Arial" w:hAnsi="Arial"/>
          <w:b w:val="0"/>
          <w:color w:val="1A1A2E"/>
          <w:sz w:val="21"/>
        </w:rPr>
        <w:t xml:space="preserve">   5.3  Меры реагирования</w:t>
      </w:r>
    </w:p>
    <w:p>
      <w:pPr>
        <w:spacing w:after="40"/>
      </w:pPr>
      <w:r>
        <w:rPr>
          <w:rFonts w:ascii="Arial" w:hAnsi="Arial"/>
          <w:b/>
          <w:color w:val="1A375E"/>
          <w:sz w:val="21"/>
        </w:rPr>
        <w:t>6.  Календарный план разработки</w:t>
      </w:r>
    </w:p>
    <w:p>
      <w:pPr>
        <w:spacing w:after="40"/>
      </w:pPr>
      <w:r>
        <w:rPr>
          <w:rFonts w:ascii="Arial" w:hAnsi="Arial"/>
          <w:b/>
          <w:color w:val="1A375E"/>
          <w:sz w:val="21"/>
        </w:rPr>
        <w:t>7.  Лист согласования</w:t>
      </w:r>
    </w:p>
    <w:p>
      <w:r>
        <w:br w:type="page"/>
      </w:r>
    </w:p>
    <w:p>
      <w:pPr>
        <w:spacing w:before="400" w:after="120"/>
      </w:pPr>
      <w:r>
        <w:rPr>
          <w:rFonts w:ascii="Arial" w:hAnsi="Arial"/>
          <w:b/>
          <w:color w:val="1A375E"/>
          <w:sz w:val="30"/>
        </w:rPr>
        <w:t>1. ПРИНЦИП РАЗГРАНИЧЕНИЯ С ГОСУДАРСТВЕННЫМ КОНТРОЛЕМ</w:t>
      </w:r>
    </w:p>
    <w:p>
      <w:pPr>
        <w:pBdr>
          <w:bottom w:val="single" w:sz="6" w:space="1" w:color="1A375E"/>
        </w:pBdr>
        <w:spacing w:after="80"/>
      </w:pPr>
    </w:p>
    <w:p>
      <w:pPr>
        <w:spacing w:after="100"/>
      </w:pPr>
      <w:r>
        <w:rPr>
          <w:rFonts w:ascii="Arial" w:hAnsi="Arial"/>
          <w:color w:val="1A1A2E"/>
          <w:sz w:val="21"/>
        </w:rPr>
        <w:t>Стандарт СРО построен на чётком разграничении с государственным надзором. Каждый орган выполняет свою функцию — СРО её не дублирует.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1A375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Что проверяет государство</w:t>
            </w:r>
          </w:p>
        </w:tc>
        <w:tc>
          <w:tcPr>
            <w:tcW w:type="dxa" w:w="3135"/>
            <w:vAlign w:val="center"/>
            <w:shd w:val="clear" w:color="auto" w:fill="1A375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Роль СРО</w:t>
            </w:r>
          </w:p>
        </w:tc>
        <w:tc>
          <w:tcPr>
            <w:tcW w:type="dxa" w:w="3135"/>
            <w:vAlign w:val="center"/>
            <w:shd w:val="clear" w:color="auto" w:fill="1A375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Приоритетная зона СРО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Ростехнадзор: безопасность аттракционов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Проверить наличие актов и сертификатов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Нет</w:t>
            </w:r>
          </w:p>
        </w:tc>
      </w:tr>
      <w:tr>
        <w:tc>
          <w:tcPr>
            <w:tcW w:type="dxa" w:w="3135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МЧС: пожарная безопасность</w:t>
            </w:r>
          </w:p>
        </w:tc>
        <w:tc>
          <w:tcPr>
            <w:tcW w:type="dxa" w:w="3135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Проверить наличие актов и журналов</w:t>
            </w:r>
          </w:p>
        </w:tc>
        <w:tc>
          <w:tcPr>
            <w:tcW w:type="dxa" w:w="3135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Нет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Роспотребнадзор: санитарные нормы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Проверить наличие заключений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Нет</w:t>
            </w:r>
          </w:p>
        </w:tc>
      </w:tr>
      <w:tr>
        <w:tc>
          <w:tcPr>
            <w:tcW w:type="dxa" w:w="3135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Трудовая инспекция: охрана труда</w:t>
            </w:r>
          </w:p>
        </w:tc>
        <w:tc>
          <w:tcPr>
            <w:tcW w:type="dxa" w:w="3135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Проверить наличие журналов и СОУТ</w:t>
            </w:r>
          </w:p>
        </w:tc>
        <w:tc>
          <w:tcPr>
            <w:tcW w:type="dxa" w:w="3135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Нет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</w:r>
            <w:r>
              <w:rPr>
                <w:rFonts w:ascii="Arial" w:hAnsi="Arial"/>
                <w:b/>
                <w:color w:val="1A1A2E"/>
                <w:sz w:val="20"/>
              </w:rPr>
              <w:t>Система управления объектом</w:t>
            </w:r>
            <w:r>
              <w:rPr>
                <w:rFonts w:ascii="Arial" w:hAnsi="Arial"/>
                <w:color w:val="1A1A2E"/>
                <w:sz w:val="20"/>
              </w:rPr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</w:r>
            <w:r>
              <w:rPr>
                <w:rFonts w:ascii="Arial" w:hAnsi="Arial"/>
                <w:b/>
                <w:color w:val="1A1A2E"/>
                <w:sz w:val="20"/>
              </w:rPr>
              <w:t>Устанавливает требования</w:t>
            </w:r>
            <w:r>
              <w:rPr>
                <w:rFonts w:ascii="Arial" w:hAnsi="Arial"/>
                <w:color w:val="1A1A2E"/>
                <w:sz w:val="20"/>
              </w:rPr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</w:r>
            <w:r>
              <w:rPr>
                <w:rFonts w:ascii="Arial" w:hAnsi="Arial"/>
                <w:b/>
                <w:color w:val="1A1A2E"/>
                <w:sz w:val="20"/>
              </w:rPr>
              <w:t>Да</w:t>
            </w:r>
            <w:r>
              <w:rPr>
                <w:rFonts w:ascii="Arial" w:hAnsi="Arial"/>
                <w:color w:val="1A1A2E"/>
                <w:sz w:val="20"/>
              </w:rPr>
            </w:r>
          </w:p>
        </w:tc>
      </w:tr>
      <w:tr>
        <w:tc>
          <w:tcPr>
            <w:tcW w:type="dxa" w:w="3135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</w:r>
            <w:r>
              <w:rPr>
                <w:rFonts w:ascii="Arial" w:hAnsi="Arial"/>
                <w:b/>
                <w:color w:val="1A1A2E"/>
                <w:sz w:val="20"/>
              </w:rPr>
              <w:t>Квалификация персонала</w:t>
            </w:r>
            <w:r>
              <w:rPr>
                <w:rFonts w:ascii="Arial" w:hAnsi="Arial"/>
                <w:color w:val="1A1A2E"/>
                <w:sz w:val="20"/>
              </w:rPr>
            </w:r>
          </w:p>
        </w:tc>
        <w:tc>
          <w:tcPr>
            <w:tcW w:type="dxa" w:w="3135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</w:r>
            <w:r>
              <w:rPr>
                <w:rFonts w:ascii="Arial" w:hAnsi="Arial"/>
                <w:b/>
                <w:color w:val="1A1A2E"/>
                <w:sz w:val="20"/>
              </w:rPr>
              <w:t>Устанавливает требования</w:t>
            </w:r>
            <w:r>
              <w:rPr>
                <w:rFonts w:ascii="Arial" w:hAnsi="Arial"/>
                <w:color w:val="1A1A2E"/>
                <w:sz w:val="20"/>
              </w:rPr>
            </w:r>
          </w:p>
        </w:tc>
        <w:tc>
          <w:tcPr>
            <w:tcW w:type="dxa" w:w="3135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</w:r>
            <w:r>
              <w:rPr>
                <w:rFonts w:ascii="Arial" w:hAnsi="Arial"/>
                <w:b/>
                <w:color w:val="1A1A2E"/>
                <w:sz w:val="20"/>
              </w:rPr>
              <w:t>Да</w:t>
            </w:r>
            <w:r>
              <w:rPr>
                <w:rFonts w:ascii="Arial" w:hAnsi="Arial"/>
                <w:color w:val="1A1A2E"/>
                <w:sz w:val="20"/>
              </w:rPr>
            </w:r>
          </w:p>
        </w:tc>
      </w:tr>
      <w:tr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</w:r>
            <w:r>
              <w:rPr>
                <w:rFonts w:ascii="Arial" w:hAnsi="Arial"/>
                <w:b/>
                <w:color w:val="1A1A2E"/>
                <w:sz w:val="20"/>
              </w:rPr>
              <w:t>Клиентский опыт и сервис</w:t>
            </w:r>
            <w:r>
              <w:rPr>
                <w:rFonts w:ascii="Arial" w:hAnsi="Arial"/>
                <w:color w:val="1A1A2E"/>
                <w:sz w:val="20"/>
              </w:rPr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</w:r>
            <w:r>
              <w:rPr>
                <w:rFonts w:ascii="Arial" w:hAnsi="Arial"/>
                <w:b/>
                <w:color w:val="1A1A2E"/>
                <w:sz w:val="20"/>
              </w:rPr>
              <w:t>Устанавливает требования</w:t>
            </w:r>
            <w:r>
              <w:rPr>
                <w:rFonts w:ascii="Arial" w:hAnsi="Arial"/>
                <w:color w:val="1A1A2E"/>
                <w:sz w:val="20"/>
              </w:rPr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</w:r>
            <w:r>
              <w:rPr>
                <w:rFonts w:ascii="Arial" w:hAnsi="Arial"/>
                <w:b/>
                <w:color w:val="1A1A2E"/>
                <w:sz w:val="20"/>
              </w:rPr>
              <w:t>Да</w:t>
            </w:r>
            <w:r>
              <w:rPr>
                <w:rFonts w:ascii="Arial" w:hAnsi="Arial"/>
                <w:color w:val="1A1A2E"/>
                <w:sz w:val="20"/>
              </w:rPr>
            </w:r>
          </w:p>
        </w:tc>
      </w:tr>
      <w:tr>
        <w:tc>
          <w:tcPr>
            <w:tcW w:type="dxa" w:w="3135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</w:r>
            <w:r>
              <w:rPr>
                <w:rFonts w:ascii="Arial" w:hAnsi="Arial"/>
                <w:b/>
                <w:color w:val="1A1A2E"/>
                <w:sz w:val="20"/>
              </w:rPr>
              <w:t>Инцидент-менеджмент (культура)</w:t>
            </w:r>
            <w:r>
              <w:rPr>
                <w:rFonts w:ascii="Arial" w:hAnsi="Arial"/>
                <w:color w:val="1A1A2E"/>
                <w:sz w:val="20"/>
              </w:rPr>
            </w:r>
          </w:p>
        </w:tc>
        <w:tc>
          <w:tcPr>
            <w:tcW w:type="dxa" w:w="3135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</w:r>
            <w:r>
              <w:rPr>
                <w:rFonts w:ascii="Arial" w:hAnsi="Arial"/>
                <w:b/>
                <w:color w:val="1A1A2E"/>
                <w:sz w:val="20"/>
              </w:rPr>
              <w:t>Устанавливает требования</w:t>
            </w:r>
            <w:r>
              <w:rPr>
                <w:rFonts w:ascii="Arial" w:hAnsi="Arial"/>
                <w:color w:val="1A1A2E"/>
                <w:sz w:val="20"/>
              </w:rPr>
            </w:r>
          </w:p>
        </w:tc>
        <w:tc>
          <w:tcPr>
            <w:tcW w:type="dxa" w:w="3135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</w:r>
            <w:r>
              <w:rPr>
                <w:rFonts w:ascii="Arial" w:hAnsi="Arial"/>
                <w:b/>
                <w:color w:val="1A1A2E"/>
                <w:sz w:val="20"/>
              </w:rPr>
              <w:t>Да</w:t>
            </w:r>
            <w:r>
              <w:rPr>
                <w:rFonts w:ascii="Arial" w:hAnsi="Arial"/>
                <w:color w:val="1A1A2E"/>
                <w:sz w:val="20"/>
              </w:rPr>
            </w:r>
          </w:p>
        </w:tc>
      </w:tr>
      <w:tr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</w:r>
            <w:r>
              <w:rPr>
                <w:rFonts w:ascii="Arial" w:hAnsi="Arial"/>
                <w:b/>
                <w:color w:val="1A1A2E"/>
                <w:sz w:val="20"/>
              </w:rPr>
              <w:t>Форматы без жёсткого госстандарта</w:t>
            </w:r>
            <w:r>
              <w:rPr>
                <w:rFonts w:ascii="Arial" w:hAnsi="Arial"/>
                <w:color w:val="1A1A2E"/>
                <w:sz w:val="20"/>
              </w:rPr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</w:r>
            <w:r>
              <w:rPr>
                <w:rFonts w:ascii="Arial" w:hAnsi="Arial"/>
                <w:b/>
                <w:color w:val="1A1A2E"/>
                <w:sz w:val="20"/>
              </w:rPr>
              <w:t>Устанавливает требования</w:t>
            </w:r>
            <w:r>
              <w:rPr>
                <w:rFonts w:ascii="Arial" w:hAnsi="Arial"/>
                <w:color w:val="1A1A2E"/>
                <w:sz w:val="20"/>
              </w:rPr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</w:r>
            <w:r>
              <w:rPr>
                <w:rFonts w:ascii="Arial" w:hAnsi="Arial"/>
                <w:b/>
                <w:color w:val="1A1A2E"/>
                <w:sz w:val="20"/>
              </w:rPr>
              <w:t>Да</w:t>
            </w:r>
            <w:r>
              <w:rPr>
                <w:rFonts w:ascii="Arial" w:hAnsi="Arial"/>
                <w:color w:val="1A1A2E"/>
                <w:sz w:val="20"/>
              </w:rPr>
            </w:r>
          </w:p>
        </w:tc>
      </w:tr>
    </w:tbl>
    <w:p>
      <w:pPr>
        <w:spacing w:after="80"/>
      </w:pPr>
    </w:p>
    <w:p>
      <w:pPr>
        <w:spacing w:before="60" w:after="100"/>
        <w:ind w:left="360"/>
        <w:pBdr>
          <w:left w:val="single" w:sz="8" w:space="10" w:color="2E96D4"/>
        </w:pBdr>
      </w:pPr>
      <w:r>
        <w:rPr>
          <w:rFonts w:ascii="Arial" w:hAnsi="Arial"/>
          <w:i/>
          <w:color w:val="555577"/>
          <w:sz w:val="20"/>
        </w:rPr>
        <w:t>Раздел проверки госдокументов — это защита бизнеса: отсутствие просроченных документов исключает внезапные штрафы и приостановки работы. Всё содержательное регулирование СРО направлено туда, где государство пробел не закрыло.</w:t>
      </w:r>
    </w:p>
    <w:p>
      <w:r>
        <w:br w:type="page"/>
      </w:r>
    </w:p>
    <w:p>
      <w:pPr>
        <w:spacing w:before="400" w:after="120"/>
      </w:pPr>
      <w:r>
        <w:rPr>
          <w:rFonts w:ascii="Arial" w:hAnsi="Arial"/>
          <w:b/>
          <w:color w:val="1A375E"/>
          <w:sz w:val="30"/>
        </w:rPr>
        <w:t>2. ЭКСПЕРТНАЯ КОМАНДА</w:t>
      </w:r>
    </w:p>
    <w:p>
      <w:pPr>
        <w:pBdr>
          <w:bottom w:val="single" w:sz="6" w:space="1" w:color="1A375E"/>
        </w:pBdr>
        <w:spacing w:after="80"/>
      </w:pPr>
    </w:p>
    <w:p>
      <w:pPr>
        <w:spacing w:after="100"/>
      </w:pPr>
      <w:r>
        <w:rPr>
          <w:rFonts w:ascii="Arial" w:hAnsi="Arial"/>
          <w:color w:val="1A1A2E"/>
          <w:sz w:val="21"/>
        </w:rPr>
        <w:t>Межфункциональная команда из 8 специалистов. Каждый отвечает за конкретный блок.</w:t>
      </w:r>
    </w:p>
    <w:p>
      <w:pPr>
        <w:spacing w:before="200" w:after="60"/>
      </w:pPr>
      <w:r>
        <w:rPr>
          <w:rFonts w:ascii="Arial" w:hAnsi="Arial"/>
          <w:b/>
          <w:color w:val="2E96D4"/>
          <w:sz w:val="23"/>
        </w:rPr>
        <w:t>1. Руководитель проекта / Архитектор стандарта</w:t>
      </w:r>
    </w:p>
    <w:p>
      <w:pPr>
        <w:spacing w:after="40"/>
        <w:ind w:left="288"/>
      </w:pPr>
      <w:r>
        <w:rPr>
          <w:rFonts w:ascii="Arial" w:hAnsi="Arial"/>
          <w:b/>
          <w:color w:val="1A375E"/>
          <w:sz w:val="21"/>
        </w:rPr>
        <w:t xml:space="preserve">Роль: </w:t>
      </w:r>
      <w:r>
        <w:rPr>
          <w:rFonts w:ascii="Arial" w:hAnsi="Arial"/>
          <w:color w:val="1A1A2E"/>
          <w:sz w:val="21"/>
        </w:rPr>
        <w:t>Координация, структура документов, финальная редакция.</w:t>
      </w:r>
    </w:p>
    <w:p>
      <w:pPr>
        <w:spacing w:after="40"/>
        <w:ind w:left="720" w:hanging="288"/>
      </w:pPr>
      <w:r>
        <w:rPr>
          <w:rFonts w:ascii="Arial" w:hAnsi="Arial"/>
          <w:color w:val="2E96D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Разработка нормативных документов (ISO, ГОСТ, отраслевые)</w:t>
      </w:r>
    </w:p>
    <w:p>
      <w:pPr>
        <w:spacing w:after="40"/>
        <w:ind w:left="720" w:hanging="288"/>
      </w:pPr>
      <w:r>
        <w:rPr>
          <w:rFonts w:ascii="Arial" w:hAnsi="Arial"/>
          <w:color w:val="2E96D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Принципы работы СРО (ФЗ-315)</w:t>
      </w:r>
    </w:p>
    <w:p>
      <w:pPr>
        <w:spacing w:after="40"/>
        <w:ind w:left="720" w:hanging="288"/>
      </w:pPr>
      <w:r>
        <w:rPr>
          <w:rFonts w:ascii="Arial" w:hAnsi="Arial"/>
          <w:color w:val="2E96D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Стратегическое знание индустрии развлечений</w:t>
      </w:r>
    </w:p>
    <w:p>
      <w:pPr>
        <w:spacing w:before="200" w:after="60"/>
      </w:pPr>
      <w:r>
        <w:rPr>
          <w:rFonts w:ascii="Arial" w:hAnsi="Arial"/>
          <w:b/>
          <w:color w:val="2E96D4"/>
          <w:sz w:val="23"/>
        </w:rPr>
        <w:t>2. Эксперт по нормативному соответствию</w:t>
      </w:r>
    </w:p>
    <w:p>
      <w:pPr>
        <w:spacing w:after="40"/>
        <w:ind w:left="288"/>
      </w:pPr>
      <w:r>
        <w:rPr>
          <w:rFonts w:ascii="Arial" w:hAnsi="Arial"/>
          <w:b/>
          <w:color w:val="1A375E"/>
          <w:sz w:val="21"/>
        </w:rPr>
        <w:t xml:space="preserve">Роль: </w:t>
      </w:r>
      <w:r>
        <w:rPr>
          <w:rFonts w:ascii="Arial" w:hAnsi="Arial"/>
          <w:color w:val="1A1A2E"/>
          <w:sz w:val="21"/>
        </w:rPr>
        <w:t>Формирует перечень документов госорганов, которые обязан иметь объект. Не оценивает технику — определяет, что проверять.</w:t>
      </w:r>
    </w:p>
    <w:p>
      <w:pPr>
        <w:spacing w:after="40"/>
        <w:ind w:left="720" w:hanging="288"/>
      </w:pPr>
      <w:r>
        <w:rPr>
          <w:rFonts w:ascii="Arial" w:hAnsi="Arial"/>
          <w:color w:val="2E96D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ТР ЕАЭС 038/2016 и 042/2017: какие документы обязан иметь объект</w:t>
      </w:r>
    </w:p>
    <w:p>
      <w:pPr>
        <w:spacing w:after="40"/>
        <w:ind w:left="720" w:hanging="288"/>
      </w:pPr>
      <w:r>
        <w:rPr>
          <w:rFonts w:ascii="Arial" w:hAnsi="Arial"/>
          <w:color w:val="2E96D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Регламенты и формы документов Ростехнадзора, МЧС, Роспотребнадзора, ГИТ</w:t>
      </w:r>
    </w:p>
    <w:p>
      <w:pPr>
        <w:spacing w:after="40"/>
        <w:ind w:left="720" w:hanging="288"/>
      </w:pPr>
      <w:r>
        <w:rPr>
          <w:rFonts w:ascii="Arial" w:hAnsi="Arial"/>
          <w:color w:val="2E96D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Сроки действия разрешительных документов</w:t>
      </w:r>
    </w:p>
    <w:p>
      <w:pPr>
        <w:spacing w:after="40"/>
        <w:ind w:left="720" w:hanging="288"/>
      </w:pPr>
      <w:r>
        <w:rPr>
          <w:rFonts w:ascii="Arial" w:hAnsi="Arial"/>
          <w:color w:val="2E96D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Опыт ведения реестров разрешительной документации</w:t>
      </w:r>
    </w:p>
    <w:p>
      <w:pPr>
        <w:spacing w:before="200" w:after="60"/>
      </w:pPr>
      <w:r>
        <w:rPr>
          <w:rFonts w:ascii="Arial" w:hAnsi="Arial"/>
          <w:b/>
          <w:color w:val="2E96D4"/>
          <w:sz w:val="23"/>
        </w:rPr>
        <w:t>3. Юрист-регуляторщик</w:t>
      </w:r>
    </w:p>
    <w:p>
      <w:pPr>
        <w:spacing w:after="40"/>
        <w:ind w:left="288"/>
      </w:pPr>
      <w:r>
        <w:rPr>
          <w:rFonts w:ascii="Arial" w:hAnsi="Arial"/>
          <w:b/>
          <w:color w:val="1A375E"/>
          <w:sz w:val="21"/>
        </w:rPr>
        <w:t xml:space="preserve">Роль: </w:t>
      </w:r>
      <w:r>
        <w:rPr>
          <w:rFonts w:ascii="Arial" w:hAnsi="Arial"/>
          <w:color w:val="1A1A2E"/>
          <w:sz w:val="21"/>
        </w:rPr>
        <w:t>Правовая корректность стандарта, выявление пробелов законодательства.</w:t>
      </w:r>
    </w:p>
    <w:p>
      <w:pPr>
        <w:spacing w:after="40"/>
        <w:ind w:left="720" w:hanging="288"/>
      </w:pPr>
      <w:r>
        <w:rPr>
          <w:rFonts w:ascii="Arial" w:hAnsi="Arial"/>
          <w:color w:val="2E96D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ФЗ-315 «О СРО»; ФЗ о защите прав потребителей</w:t>
      </w:r>
    </w:p>
    <w:p>
      <w:pPr>
        <w:spacing w:after="40"/>
        <w:ind w:left="720" w:hanging="288"/>
      </w:pPr>
      <w:r>
        <w:rPr>
          <w:rFonts w:ascii="Arial" w:hAnsi="Arial"/>
          <w:color w:val="2E96D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Технические регламенты ЕАЭС</w:t>
      </w:r>
    </w:p>
    <w:p>
      <w:pPr>
        <w:spacing w:after="40"/>
        <w:ind w:left="720" w:hanging="288"/>
      </w:pPr>
      <w:r>
        <w:rPr>
          <w:rFonts w:ascii="Arial" w:hAnsi="Arial"/>
          <w:color w:val="2E96D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Трудовое законодательство; СанПиН</w:t>
      </w:r>
    </w:p>
    <w:p>
      <w:pPr>
        <w:spacing w:before="200" w:after="60"/>
      </w:pPr>
      <w:r>
        <w:rPr>
          <w:rFonts w:ascii="Arial" w:hAnsi="Arial"/>
          <w:b/>
          <w:color w:val="2E96D4"/>
          <w:sz w:val="23"/>
        </w:rPr>
        <w:t>4. Операционный директор / Практик индустрии</w:t>
      </w:r>
    </w:p>
    <w:p>
      <w:pPr>
        <w:spacing w:after="40"/>
        <w:ind w:left="288"/>
      </w:pPr>
      <w:r>
        <w:rPr>
          <w:rFonts w:ascii="Arial" w:hAnsi="Arial"/>
          <w:b/>
          <w:color w:val="1A375E"/>
          <w:sz w:val="21"/>
        </w:rPr>
        <w:t xml:space="preserve">Роль: </w:t>
      </w:r>
      <w:r>
        <w:rPr>
          <w:rFonts w:ascii="Arial" w:hAnsi="Arial"/>
          <w:color w:val="1A1A2E"/>
          <w:sz w:val="21"/>
        </w:rPr>
        <w:t>Реальный опыт управления объектами, оценка выполнимости требований.</w:t>
      </w:r>
    </w:p>
    <w:p>
      <w:pPr>
        <w:spacing w:after="40"/>
        <w:ind w:left="720" w:hanging="288"/>
      </w:pPr>
      <w:r>
        <w:rPr>
          <w:rFonts w:ascii="Arial" w:hAnsi="Arial"/>
          <w:color w:val="2E96D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Управление РЦ / парком от 3 лет</w:t>
      </w:r>
    </w:p>
    <w:p>
      <w:pPr>
        <w:spacing w:after="40"/>
        <w:ind w:left="720" w:hanging="288"/>
      </w:pPr>
      <w:r>
        <w:rPr>
          <w:rFonts w:ascii="Arial" w:hAnsi="Arial"/>
          <w:color w:val="2E96D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Построение операционных стандартов и систем контроля</w:t>
      </w:r>
    </w:p>
    <w:p>
      <w:pPr>
        <w:spacing w:after="40"/>
        <w:ind w:left="720" w:hanging="288"/>
      </w:pPr>
      <w:r>
        <w:rPr>
          <w:rFonts w:ascii="Arial" w:hAnsi="Arial"/>
          <w:color w:val="2E96D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Экономика объектов разного масштаба (A/B/C)</w:t>
      </w:r>
    </w:p>
    <w:p>
      <w:pPr>
        <w:spacing w:before="200" w:after="60"/>
      </w:pPr>
      <w:r>
        <w:rPr>
          <w:rFonts w:ascii="Arial" w:hAnsi="Arial"/>
          <w:b/>
          <w:color w:val="2E96D4"/>
          <w:sz w:val="23"/>
        </w:rPr>
        <w:t>5. HR-эксперт / Специалист по персоналу</w:t>
      </w:r>
    </w:p>
    <w:p>
      <w:pPr>
        <w:spacing w:after="40"/>
        <w:ind w:left="288"/>
      </w:pPr>
      <w:r>
        <w:rPr>
          <w:rFonts w:ascii="Arial" w:hAnsi="Arial"/>
          <w:b/>
          <w:color w:val="1A375E"/>
          <w:sz w:val="21"/>
        </w:rPr>
        <w:t xml:space="preserve">Роль: </w:t>
      </w:r>
      <w:r>
        <w:rPr>
          <w:rFonts w:ascii="Arial" w:hAnsi="Arial"/>
          <w:color w:val="1A1A2E"/>
          <w:sz w:val="21"/>
        </w:rPr>
        <w:t>Ключевой эксперт: квалификационные требования там, где госпрофстандарты отсутствуют.</w:t>
      </w:r>
    </w:p>
    <w:p>
      <w:pPr>
        <w:spacing w:after="40"/>
        <w:ind w:left="720" w:hanging="288"/>
      </w:pPr>
      <w:r>
        <w:rPr>
          <w:rFonts w:ascii="Arial" w:hAnsi="Arial"/>
          <w:color w:val="2E96D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Разработка корпоративных квалификационных матриц</w:t>
      </w:r>
    </w:p>
    <w:p>
      <w:pPr>
        <w:spacing w:after="40"/>
        <w:ind w:left="720" w:hanging="288"/>
      </w:pPr>
      <w:r>
        <w:rPr>
          <w:rFonts w:ascii="Arial" w:hAnsi="Arial"/>
          <w:color w:val="2E96D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Системы внутреннего обучения и аттестации</w:t>
      </w:r>
    </w:p>
    <w:p>
      <w:pPr>
        <w:spacing w:after="40"/>
        <w:ind w:left="720" w:hanging="288"/>
      </w:pPr>
      <w:r>
        <w:rPr>
          <w:rFonts w:ascii="Arial" w:hAnsi="Arial"/>
          <w:color w:val="2E96D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Специфика работы с детской аудиторией</w:t>
      </w:r>
    </w:p>
    <w:p>
      <w:pPr>
        <w:spacing w:before="200" w:after="60"/>
      </w:pPr>
      <w:r>
        <w:rPr>
          <w:rFonts w:ascii="Arial" w:hAnsi="Arial"/>
          <w:b/>
          <w:color w:val="2E96D4"/>
          <w:sz w:val="23"/>
        </w:rPr>
        <w:t>6. Эксперт по клиентскому опыту</w:t>
      </w:r>
    </w:p>
    <w:p>
      <w:pPr>
        <w:spacing w:after="40"/>
        <w:ind w:left="288"/>
      </w:pPr>
      <w:r>
        <w:rPr>
          <w:rFonts w:ascii="Arial" w:hAnsi="Arial"/>
          <w:b/>
          <w:color w:val="1A375E"/>
          <w:sz w:val="21"/>
        </w:rPr>
        <w:t xml:space="preserve">Роль: </w:t>
      </w:r>
      <w:r>
        <w:rPr>
          <w:rFonts w:ascii="Arial" w:hAnsi="Arial"/>
          <w:color w:val="1A1A2E"/>
          <w:sz w:val="21"/>
        </w:rPr>
        <w:t>Стандарты сервиса, клиентский опыт как инструмент роста выручки.</w:t>
      </w:r>
    </w:p>
    <w:p>
      <w:pPr>
        <w:spacing w:after="40"/>
        <w:ind w:left="720" w:hanging="288"/>
      </w:pPr>
      <w:r>
        <w:rPr>
          <w:rFonts w:ascii="Arial" w:hAnsi="Arial"/>
          <w:color w:val="2E96D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Mystery Shopping, NPS, CSAT</w:t>
      </w:r>
    </w:p>
    <w:p>
      <w:pPr>
        <w:spacing w:after="40"/>
        <w:ind w:left="720" w:hanging="288"/>
      </w:pPr>
      <w:r>
        <w:rPr>
          <w:rFonts w:ascii="Arial" w:hAnsi="Arial"/>
          <w:color w:val="2E96D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Стандарты клиентского сервиса в leisure-индустрии</w:t>
      </w:r>
    </w:p>
    <w:p>
      <w:pPr>
        <w:spacing w:after="40"/>
        <w:ind w:left="720" w:hanging="288"/>
      </w:pPr>
      <w:r>
        <w:rPr>
          <w:rFonts w:ascii="Arial" w:hAnsi="Arial"/>
          <w:color w:val="2E96D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Международные практики IAAPA</w:t>
      </w:r>
    </w:p>
    <w:p>
      <w:pPr>
        <w:spacing w:before="200" w:after="60"/>
      </w:pPr>
      <w:r>
        <w:rPr>
          <w:rFonts w:ascii="Arial" w:hAnsi="Arial"/>
          <w:b/>
          <w:color w:val="2E96D4"/>
          <w:sz w:val="23"/>
        </w:rPr>
        <w:t>7. Специалист по системам управления / ISO-аудитор</w:t>
      </w:r>
    </w:p>
    <w:p>
      <w:pPr>
        <w:spacing w:after="40"/>
        <w:ind w:left="288"/>
      </w:pPr>
      <w:r>
        <w:rPr>
          <w:rFonts w:ascii="Arial" w:hAnsi="Arial"/>
          <w:b/>
          <w:color w:val="1A375E"/>
          <w:sz w:val="21"/>
        </w:rPr>
        <w:t xml:space="preserve">Роль: </w:t>
      </w:r>
      <w:r>
        <w:rPr>
          <w:rFonts w:ascii="Arial" w:hAnsi="Arial"/>
          <w:color w:val="1A1A2E"/>
          <w:sz w:val="21"/>
        </w:rPr>
        <w:t>Системный подход к управлению: регламенты, риски, инциденты.</w:t>
      </w:r>
    </w:p>
    <w:p>
      <w:pPr>
        <w:spacing w:after="40"/>
        <w:ind w:left="720" w:hanging="288"/>
      </w:pPr>
      <w:r>
        <w:rPr>
          <w:rFonts w:ascii="Arial" w:hAnsi="Arial"/>
          <w:color w:val="2E96D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ISO 9001, ISO 45001</w:t>
      </w:r>
    </w:p>
    <w:p>
      <w:pPr>
        <w:spacing w:after="40"/>
        <w:ind w:left="720" w:hanging="288"/>
      </w:pPr>
      <w:r>
        <w:rPr>
          <w:rFonts w:ascii="Arial" w:hAnsi="Arial"/>
          <w:color w:val="2E96D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Управление рисками и инцидент-менеджмент</w:t>
      </w:r>
    </w:p>
    <w:p>
      <w:pPr>
        <w:spacing w:after="40"/>
        <w:ind w:left="720" w:hanging="288"/>
      </w:pPr>
      <w:r>
        <w:rPr>
          <w:rFonts w:ascii="Arial" w:hAnsi="Arial"/>
          <w:color w:val="2E96D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Построение документооборота</w:t>
      </w:r>
    </w:p>
    <w:p>
      <w:pPr>
        <w:spacing w:before="200" w:after="60"/>
      </w:pPr>
      <w:r>
        <w:rPr>
          <w:rFonts w:ascii="Arial" w:hAnsi="Arial"/>
          <w:b/>
          <w:color w:val="2E96D4"/>
          <w:sz w:val="23"/>
        </w:rPr>
        <w:t>8. Аудитор / Контролёр СРО</w:t>
      </w:r>
    </w:p>
    <w:p>
      <w:pPr>
        <w:spacing w:after="40"/>
        <w:ind w:left="288"/>
      </w:pPr>
      <w:r>
        <w:rPr>
          <w:rFonts w:ascii="Arial" w:hAnsi="Arial"/>
          <w:b/>
          <w:color w:val="1A375E"/>
          <w:sz w:val="21"/>
        </w:rPr>
        <w:t xml:space="preserve">Роль: </w:t>
      </w:r>
      <w:r>
        <w:rPr>
          <w:rFonts w:ascii="Arial" w:hAnsi="Arial"/>
          <w:color w:val="1A1A2E"/>
          <w:sz w:val="21"/>
        </w:rPr>
        <w:t>Разрабатывает Правила контроля. Формирует логику двойного вывода: соответствие + точки роста.</w:t>
      </w:r>
    </w:p>
    <w:p>
      <w:pPr>
        <w:spacing w:after="40"/>
        <w:ind w:left="720" w:hanging="288"/>
      </w:pPr>
      <w:r>
        <w:rPr>
          <w:rFonts w:ascii="Arial" w:hAnsi="Arial"/>
          <w:color w:val="2E96D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Методология плановых и внеплановых проверок</w:t>
      </w:r>
    </w:p>
    <w:p>
      <w:pPr>
        <w:spacing w:after="40"/>
        <w:ind w:left="720" w:hanging="288"/>
      </w:pPr>
      <w:r>
        <w:rPr>
          <w:rFonts w:ascii="Arial" w:hAnsi="Arial"/>
          <w:color w:val="2E96D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Разработка чек-листов с разделением зон ответственности</w:t>
      </w:r>
    </w:p>
    <w:p>
      <w:pPr>
        <w:spacing w:after="40"/>
        <w:ind w:left="720" w:hanging="288"/>
      </w:pPr>
      <w:r>
        <w:rPr>
          <w:rFonts w:ascii="Arial" w:hAnsi="Arial"/>
          <w:color w:val="2E96D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ФЗ-294, ФЗ-248</w:t>
      </w:r>
    </w:p>
    <w:p>
      <w:pPr>
        <w:spacing w:before="280" w:after="80"/>
      </w:pPr>
      <w:r>
        <w:rPr>
          <w:rFonts w:ascii="Arial" w:hAnsi="Arial"/>
          <w:b/>
          <w:color w:val="1F72C4"/>
          <w:sz w:val="26"/>
        </w:rPr>
        <w:t>Распределение ответственности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1A375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Раздел</w:t>
            </w:r>
          </w:p>
        </w:tc>
        <w:tc>
          <w:tcPr>
            <w:tcW w:type="dxa" w:w="3135"/>
            <w:vAlign w:val="center"/>
            <w:shd w:val="clear" w:color="auto" w:fill="1A375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Ведущий эксперт</w:t>
            </w:r>
          </w:p>
        </w:tc>
        <w:tc>
          <w:tcPr>
            <w:tcW w:type="dxa" w:w="3135"/>
            <w:vAlign w:val="center"/>
            <w:shd w:val="clear" w:color="auto" w:fill="1A375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Соэксперты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Структура и преамбула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Руководитель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Юрист</w:t>
            </w:r>
          </w:p>
        </w:tc>
      </w:tr>
      <w:tr>
        <w:tc>
          <w:tcPr>
            <w:tcW w:type="dxa" w:w="3135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Раздел 3: Госдокументы</w:t>
            </w:r>
          </w:p>
        </w:tc>
        <w:tc>
          <w:tcPr>
            <w:tcW w:type="dxa" w:w="3135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Эксперт по нормативному соответствию</w:t>
            </w:r>
          </w:p>
        </w:tc>
        <w:tc>
          <w:tcPr>
            <w:tcW w:type="dxa" w:w="3135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Юрист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Раздел 4: Система управления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ISO-аудитор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Операционный директор</w:t>
            </w:r>
          </w:p>
        </w:tc>
      </w:tr>
      <w:tr>
        <w:tc>
          <w:tcPr>
            <w:tcW w:type="dxa" w:w="3135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Раздел 5: Персонал</w:t>
            </w:r>
          </w:p>
        </w:tc>
        <w:tc>
          <w:tcPr>
            <w:tcW w:type="dxa" w:w="3135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HR-эксперт</w:t>
            </w:r>
          </w:p>
        </w:tc>
        <w:tc>
          <w:tcPr>
            <w:tcW w:type="dxa" w:w="3135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Операционный директор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Раздел 6: Клиентский опыт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Клиентский эксперт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Операционный директор</w:t>
            </w:r>
          </w:p>
        </w:tc>
      </w:tr>
      <w:tr>
        <w:tc>
          <w:tcPr>
            <w:tcW w:type="dxa" w:w="3135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Раздел 7: Спец. форматы</w:t>
            </w:r>
          </w:p>
        </w:tc>
        <w:tc>
          <w:tcPr>
            <w:tcW w:type="dxa" w:w="3135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Операционный директор</w:t>
            </w:r>
          </w:p>
        </w:tc>
        <w:tc>
          <w:tcPr>
            <w:tcW w:type="dxa" w:w="3135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Эксперт по нормат. соответствию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Правила контроля + карта точек роста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Аудитор СРО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Руководитель, Клиентский эксперт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400" w:after="120"/>
      </w:pPr>
      <w:r>
        <w:rPr>
          <w:rFonts w:ascii="Arial" w:hAnsi="Arial"/>
          <w:b/>
          <w:color w:val="1A375E"/>
          <w:sz w:val="30"/>
        </w:rPr>
        <w:t>3. НОРМАТИВНО-ПРАВОВАЯ БАЗА</w:t>
      </w:r>
    </w:p>
    <w:p>
      <w:pPr>
        <w:pBdr>
          <w:bottom w:val="single" w:sz="6" w:space="1" w:color="1A375E"/>
        </w:pBdr>
        <w:spacing w:after="80"/>
      </w:pPr>
    </w:p>
    <w:p>
      <w:pPr>
        <w:spacing w:after="100"/>
      </w:pPr>
      <w:r>
        <w:rPr>
          <w:rFonts w:ascii="Arial" w:hAnsi="Arial"/>
          <w:color w:val="1A1A2E"/>
          <w:sz w:val="21"/>
        </w:rPr>
        <w:t>Нормативная база определяет зону государственного регулирования — и тем самым очерчивает зону собственного регулирования СРО.</w:t>
      </w:r>
    </w:p>
    <w:p>
      <w:pPr>
        <w:spacing w:before="280" w:after="80"/>
      </w:pPr>
      <w:r>
        <w:rPr>
          <w:rFonts w:ascii="Arial" w:hAnsi="Arial"/>
          <w:b/>
          <w:color w:val="1F72C4"/>
          <w:sz w:val="26"/>
        </w:rPr>
        <w:t>Федеральное законодательство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</w:r>
      <w:r>
        <w:rPr>
          <w:rFonts w:ascii="Arial" w:hAnsi="Arial"/>
          <w:b/>
          <w:color w:val="1A1A2E"/>
          <w:sz w:val="21"/>
        </w:rPr>
        <w:t>ФЗ-315</w:t>
      </w:r>
      <w:r>
        <w:rPr>
          <w:rFonts w:ascii="Arial" w:hAnsi="Arial"/>
          <w:color w:val="1A1A2E"/>
          <w:sz w:val="21"/>
        </w:rPr>
        <w:t xml:space="preserve"> «О саморегулируемых организациях»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</w:r>
      <w:r>
        <w:rPr>
          <w:rFonts w:ascii="Arial" w:hAnsi="Arial"/>
          <w:b/>
          <w:color w:val="1A1A2E"/>
          <w:sz w:val="21"/>
        </w:rPr>
        <w:t>ФЗ-248</w:t>
      </w:r>
      <w:r>
        <w:rPr>
          <w:rFonts w:ascii="Arial" w:hAnsi="Arial"/>
          <w:color w:val="1A1A2E"/>
          <w:sz w:val="21"/>
        </w:rPr>
        <w:t xml:space="preserve"> «О государственном контроле (надзоре)»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</w:r>
      <w:r>
        <w:rPr>
          <w:rFonts w:ascii="Arial" w:hAnsi="Arial"/>
          <w:b/>
          <w:color w:val="1A1A2E"/>
          <w:sz w:val="21"/>
        </w:rPr>
        <w:t>ФЗ-2300-1</w:t>
      </w:r>
      <w:r>
        <w:rPr>
          <w:rFonts w:ascii="Arial" w:hAnsi="Arial"/>
          <w:color w:val="1A1A2E"/>
          <w:sz w:val="21"/>
        </w:rPr>
        <w:t xml:space="preserve"> «О защите прав потребителей»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</w:r>
      <w:r>
        <w:rPr>
          <w:rFonts w:ascii="Arial" w:hAnsi="Arial"/>
          <w:b/>
          <w:color w:val="1A1A2E"/>
          <w:sz w:val="21"/>
        </w:rPr>
        <w:t>ФЗ-69</w:t>
      </w:r>
      <w:r>
        <w:rPr>
          <w:rFonts w:ascii="Arial" w:hAnsi="Arial"/>
          <w:color w:val="1A1A2E"/>
          <w:sz w:val="21"/>
        </w:rPr>
        <w:t xml:space="preserve"> «О пожарной безопасности»; </w:t>
      </w:r>
      <w:r>
        <w:rPr>
          <w:rFonts w:ascii="Arial" w:hAnsi="Arial"/>
          <w:b/>
          <w:color w:val="1A1A2E"/>
          <w:sz w:val="21"/>
        </w:rPr>
        <w:t>ФЗ-52</w:t>
      </w:r>
      <w:r>
        <w:rPr>
          <w:rFonts w:ascii="Arial" w:hAnsi="Arial"/>
          <w:color w:val="1A1A2E"/>
          <w:sz w:val="21"/>
        </w:rPr>
        <w:t xml:space="preserve"> «О санитарном благополучии»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</w:r>
      <w:r>
        <w:rPr>
          <w:rFonts w:ascii="Arial" w:hAnsi="Arial"/>
          <w:b/>
          <w:color w:val="1A1A2E"/>
          <w:sz w:val="21"/>
        </w:rPr>
        <w:t>Трудовой кодекс РФ</w:t>
      </w:r>
      <w:r>
        <w:rPr>
          <w:rFonts w:ascii="Arial" w:hAnsi="Arial"/>
          <w:color w:val="1A1A2E"/>
          <w:sz w:val="21"/>
        </w:rPr>
        <w:t xml:space="preserve"> — охрана труда</w:t>
      </w:r>
    </w:p>
    <w:p>
      <w:pPr>
        <w:spacing w:before="280" w:after="80"/>
      </w:pPr>
      <w:r>
        <w:rPr>
          <w:rFonts w:ascii="Arial" w:hAnsi="Arial"/>
          <w:b/>
          <w:color w:val="1F72C4"/>
          <w:sz w:val="26"/>
        </w:rPr>
        <w:t>Технические регламенты ЕАЭС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</w:r>
      <w:r>
        <w:rPr>
          <w:rFonts w:ascii="Arial" w:hAnsi="Arial"/>
          <w:b/>
          <w:color w:val="1A1A2E"/>
          <w:sz w:val="21"/>
        </w:rPr>
        <w:t>ТР ЕАЭС 038/2016</w:t>
      </w:r>
      <w:r>
        <w:rPr>
          <w:rFonts w:ascii="Arial" w:hAnsi="Arial"/>
          <w:color w:val="1A1A2E"/>
          <w:sz w:val="21"/>
        </w:rPr>
        <w:t xml:space="preserve"> «О безопасности аттракционов» — действует с 2019. Механические, водные, надувные, детские, VR-аттракционы. Обязательная сертификация / декларирование.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</w:r>
      <w:r>
        <w:rPr>
          <w:rFonts w:ascii="Arial" w:hAnsi="Arial"/>
          <w:b/>
          <w:color w:val="1A1A2E"/>
          <w:sz w:val="21"/>
        </w:rPr>
        <w:t>ТР ЕАЭС 042/2017</w:t>
      </w:r>
      <w:r>
        <w:rPr>
          <w:rFonts w:ascii="Arial" w:hAnsi="Arial"/>
          <w:color w:val="1A1A2E"/>
          <w:sz w:val="21"/>
        </w:rPr>
        <w:t xml:space="preserve"> «О безопасности оборудования детских игровых площадок» — конструкция, покрытия, маркировка. Обязательная сертификация.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</w:r>
      <w:r>
        <w:rPr>
          <w:rFonts w:ascii="Arial" w:hAnsi="Arial"/>
          <w:b/>
          <w:color w:val="1A1A2E"/>
          <w:sz w:val="21"/>
        </w:rPr>
        <w:t>ТР ТС 007/2011</w:t>
      </w:r>
      <w:r>
        <w:rPr>
          <w:rFonts w:ascii="Arial" w:hAnsi="Arial"/>
          <w:color w:val="1A1A2E"/>
          <w:sz w:val="21"/>
        </w:rPr>
        <w:t xml:space="preserve"> «О безопасности продукции для детей» — сопутствующая продукция.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</w:r>
      <w:r>
        <w:rPr>
          <w:rFonts w:ascii="Arial" w:hAnsi="Arial"/>
          <w:b/>
          <w:color w:val="1A1A2E"/>
          <w:sz w:val="21"/>
        </w:rPr>
        <w:t>Приказ Ростехнадзора №538 от 26.11.2020</w:t>
      </w:r>
      <w:r>
        <w:rPr>
          <w:rFonts w:ascii="Arial" w:hAnsi="Arial"/>
          <w:color w:val="1A1A2E"/>
          <w:sz w:val="21"/>
        </w:rPr>
        <w:t xml:space="preserve"> — правила безопасности аттракционов.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</w:r>
      <w:r>
        <w:rPr>
          <w:rFonts w:ascii="Arial" w:hAnsi="Arial"/>
          <w:b/>
          <w:color w:val="1A1A2E"/>
          <w:sz w:val="21"/>
        </w:rPr>
        <w:t>СанПиН 2.1.3684-21</w:t>
      </w:r>
      <w:r>
        <w:rPr>
          <w:rFonts w:ascii="Arial" w:hAnsi="Arial"/>
          <w:color w:val="1A1A2E"/>
          <w:sz w:val="21"/>
        </w:rPr>
        <w:t xml:space="preserve"> — содержание территорий, вода в бассейнах.</w:t>
      </w:r>
    </w:p>
    <w:p>
      <w:pPr>
        <w:spacing w:before="280" w:after="80"/>
      </w:pPr>
      <w:r>
        <w:rPr>
          <w:rFonts w:ascii="Arial" w:hAnsi="Arial"/>
          <w:b/>
          <w:color w:val="1F72C4"/>
          <w:sz w:val="26"/>
        </w:rPr>
        <w:t>Международные ориентиры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  <w:shd w:val="clear" w:color="auto" w:fill="1A375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Источник</w:t>
            </w:r>
          </w:p>
        </w:tc>
        <w:tc>
          <w:tcPr>
            <w:tcW w:type="dxa" w:w="4702"/>
            <w:vAlign w:val="center"/>
            <w:shd w:val="clear" w:color="auto" w:fill="1A375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Содержание</w:t>
            </w:r>
          </w:p>
        </w:tc>
      </w:tr>
      <w:tr>
        <w:tc>
          <w:tcPr>
            <w:tcW w:type="dxa" w:w="470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ASTM F770, F853, F2291 (IAAPA)</w:t>
            </w:r>
          </w:p>
        </w:tc>
        <w:tc>
          <w:tcPr>
            <w:tcW w:type="dxa" w:w="470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Эксплуатация, ТО и проектирование аттракционов</w:t>
            </w:r>
          </w:p>
        </w:tc>
      </w:tr>
      <w:tr>
        <w:tc>
          <w:tcPr>
            <w:tcW w:type="dxa" w:w="4702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EN 13814, EN 1176, EN 15649</w:t>
            </w:r>
          </w:p>
        </w:tc>
        <w:tc>
          <w:tcPr>
            <w:tcW w:type="dxa" w:w="4702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Аттракционы, детские площадки, водные объекты (Европа)</w:t>
            </w:r>
          </w:p>
        </w:tc>
      </w:tr>
      <w:tr>
        <w:tc>
          <w:tcPr>
            <w:tcW w:type="dxa" w:w="470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Disney Parks, Merlin Entertainments</w:t>
            </w:r>
          </w:p>
        </w:tc>
        <w:tc>
          <w:tcPr>
            <w:tcW w:type="dxa" w:w="470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Стандарты операционного совершенства</w:t>
            </w:r>
          </w:p>
        </w:tc>
      </w:tr>
      <w:tr>
        <w:tc>
          <w:tcPr>
            <w:tcW w:type="dxa" w:w="4702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Six Flags</w:t>
            </w:r>
          </w:p>
        </w:tc>
        <w:tc>
          <w:tcPr>
            <w:tcW w:type="dxa" w:w="4702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Управление рисками, аварийные протоколы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Arial" w:hAnsi="Arial"/>
          <w:b/>
          <w:color w:val="1F72C4"/>
          <w:sz w:val="26"/>
        </w:rPr>
        <w:t>Классификация объектов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1A375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Категория</w:t>
            </w:r>
          </w:p>
        </w:tc>
        <w:tc>
          <w:tcPr>
            <w:tcW w:type="dxa" w:w="3135"/>
            <w:vAlign w:val="center"/>
            <w:shd w:val="clear" w:color="auto" w:fill="1A375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Масштаб</w:t>
            </w:r>
          </w:p>
        </w:tc>
        <w:tc>
          <w:tcPr>
            <w:tcW w:type="dxa" w:w="3135"/>
            <w:vAlign w:val="center"/>
            <w:shd w:val="clear" w:color="auto" w:fill="1A375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Примеры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</w:r>
            <w:r>
              <w:rPr>
                <w:rFonts w:ascii="Arial" w:hAnsi="Arial"/>
                <w:b/>
                <w:color w:val="1A1A2E"/>
                <w:sz w:val="20"/>
              </w:rPr>
              <w:t>A — Крупные</w:t>
            </w:r>
            <w:r>
              <w:rPr>
                <w:rFonts w:ascii="Arial" w:hAnsi="Arial"/>
                <w:color w:val="1A1A2E"/>
                <w:sz w:val="20"/>
              </w:rPr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&gt;3 000 м² или &gt;50 аттракционов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Тематические парки, аквапарки, крупные РЦ</w:t>
            </w:r>
          </w:p>
        </w:tc>
      </w:tr>
      <w:tr>
        <w:tc>
          <w:tcPr>
            <w:tcW w:type="dxa" w:w="3135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</w:r>
            <w:r>
              <w:rPr>
                <w:rFonts w:ascii="Arial" w:hAnsi="Arial"/>
                <w:b/>
                <w:color w:val="1A1A2E"/>
                <w:sz w:val="20"/>
              </w:rPr>
              <w:t>B — Средние</w:t>
            </w:r>
            <w:r>
              <w:rPr>
                <w:rFonts w:ascii="Arial" w:hAnsi="Arial"/>
                <w:color w:val="1A1A2E"/>
                <w:sz w:val="20"/>
              </w:rPr>
            </w:r>
          </w:p>
        </w:tc>
        <w:tc>
          <w:tcPr>
            <w:tcW w:type="dxa" w:w="3135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500–3 000 м²</w:t>
            </w:r>
          </w:p>
        </w:tc>
        <w:tc>
          <w:tcPr>
            <w:tcW w:type="dxa" w:w="3135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РЦ в ТЦ, батутные парки, лазертаг, картодромы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</w:r>
            <w:r>
              <w:rPr>
                <w:rFonts w:ascii="Arial" w:hAnsi="Arial"/>
                <w:b/>
                <w:color w:val="1A1A2E"/>
                <w:sz w:val="20"/>
              </w:rPr>
              <w:t>C — Малые</w:t>
            </w:r>
            <w:r>
              <w:rPr>
                <w:rFonts w:ascii="Arial" w:hAnsi="Arial"/>
                <w:color w:val="1A1A2E"/>
                <w:sz w:val="20"/>
              </w:rPr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до 500 м²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Игровые зоны с автоматами, мини-РЦ, детские клубы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Arial" w:hAnsi="Arial"/>
          <w:b/>
          <w:color w:val="1F72C4"/>
          <w:sz w:val="26"/>
        </w:rPr>
        <w:t>Пробелы госрегулирования — зона СРО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1A375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Область</w:t>
            </w:r>
          </w:p>
        </w:tc>
        <w:tc>
          <w:tcPr>
            <w:tcW w:type="dxa" w:w="3135"/>
            <w:vAlign w:val="center"/>
            <w:shd w:val="clear" w:color="auto" w:fill="1A375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Пробел</w:t>
            </w:r>
          </w:p>
        </w:tc>
        <w:tc>
          <w:tcPr>
            <w:tcW w:type="dxa" w:w="3135"/>
            <w:vAlign w:val="center"/>
            <w:shd w:val="clear" w:color="auto" w:fill="1A375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Что устанавливает стандарт СРО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Батутные зоны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Свободный прыжок вне ТР ЕАЭС 038/2016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Покрытия, наполняемость, инструктаж, ограничения</w:t>
            </w:r>
          </w:p>
        </w:tc>
      </w:tr>
      <w:tr>
        <w:tc>
          <w:tcPr>
            <w:tcW w:type="dxa" w:w="3135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Верёвочные парки</w:t>
            </w:r>
          </w:p>
        </w:tc>
        <w:tc>
          <w:tcPr>
            <w:tcW w:type="dxa" w:w="3135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Нет стандарта по квалификации инструкторов</w:t>
            </w:r>
          </w:p>
        </w:tc>
        <w:tc>
          <w:tcPr>
            <w:tcW w:type="dxa" w:w="3135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Подготовка инструкторов, осмотр трасс, протокол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Игровые залы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Нет требований к шуму, освещённости для детей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Допустимый уровень шума, освещённость</w:t>
            </w:r>
          </w:p>
        </w:tc>
      </w:tr>
      <w:tr>
        <w:tc>
          <w:tcPr>
            <w:tcW w:type="dxa" w:w="3135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Квалификация персонала</w:t>
            </w:r>
          </w:p>
        </w:tc>
        <w:tc>
          <w:tcPr>
            <w:tcW w:type="dxa" w:w="3135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Профстандарты Минтруда для РЦ отсутствуют</w:t>
            </w:r>
          </w:p>
        </w:tc>
        <w:tc>
          <w:tcPr>
            <w:tcW w:type="dxa" w:w="3135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Минимальные квалификационные требования, аттестация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Инцидент-менеджмент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Государство — только тяжёлые случаи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Учёт всех инцидентов включая микротравмы</w:t>
            </w:r>
          </w:p>
        </w:tc>
      </w:tr>
      <w:tr>
        <w:tc>
          <w:tcPr>
            <w:tcW w:type="dxa" w:w="3135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Система управления</w:t>
            </w:r>
          </w:p>
        </w:tc>
        <w:tc>
          <w:tcPr>
            <w:tcW w:type="dxa" w:w="3135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Нет обязательных требований к документообороту</w:t>
            </w:r>
          </w:p>
        </w:tc>
        <w:tc>
          <w:tcPr>
            <w:tcW w:type="dxa" w:w="3135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Регламенты, реестры, внутренний контроль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Клиентский сервис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Госрегулирование не затрагивает качество обслуживания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Стандарты сервиса, NPS, работа с жалобами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400" w:after="120"/>
      </w:pPr>
      <w:r>
        <w:rPr>
          <w:rFonts w:ascii="Arial" w:hAnsi="Arial"/>
          <w:b/>
          <w:color w:val="1A375E"/>
          <w:sz w:val="30"/>
        </w:rPr>
        <w:t>4. СТРУКТУРА ДОКУМЕНТА 1: ВНУТРЕННИЙ СТАНДАРТ СРО</w:t>
      </w:r>
    </w:p>
    <w:p>
      <w:pPr>
        <w:pBdr>
          <w:bottom w:val="single" w:sz="6" w:space="1" w:color="1A375E"/>
        </w:pBdr>
        <w:spacing w:after="80"/>
      </w:pPr>
    </w:p>
    <w:p>
      <w:pPr>
        <w:spacing w:after="100"/>
      </w:pPr>
      <w:r>
        <w:rPr>
          <w:rFonts w:ascii="Arial" w:hAnsi="Arial"/>
          <w:color w:val="1A1A2E"/>
          <w:sz w:val="21"/>
        </w:rPr>
      </w:r>
      <w:r>
        <w:rPr>
          <w:rFonts w:ascii="Arial" w:hAnsi="Arial"/>
          <w:b/>
          <w:color w:val="1A1A2E"/>
          <w:sz w:val="21"/>
        </w:rPr>
        <w:t>СТО СРО-РИ-001-20XX «Стандарт деятельности членов СРО в сфере семейных развлечений»</w:t>
      </w:r>
      <w:r>
        <w:rPr>
          <w:rFonts w:ascii="Arial" w:hAnsi="Arial"/>
          <w:color w:val="1A1A2E"/>
          <w:sz w:val="21"/>
        </w:rPr>
      </w:r>
    </w:p>
    <w:p>
      <w:pPr>
        <w:spacing w:before="280" w:after="80"/>
      </w:pPr>
      <w:r>
        <w:rPr>
          <w:rFonts w:ascii="Arial" w:hAnsi="Arial"/>
          <w:b/>
          <w:color w:val="1F72C4"/>
          <w:sz w:val="26"/>
        </w:rPr>
        <w:t>Преамбула, термины, классификация объектов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Цели стандарта и его ценность для участников рынка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</w:r>
      <w:r>
        <w:rPr>
          <w:rFonts w:ascii="Arial" w:hAnsi="Arial"/>
          <w:b/>
          <w:color w:val="1A1A2E"/>
          <w:sz w:val="21"/>
        </w:rPr>
        <w:t>Принцип разграничения:</w:t>
      </w:r>
      <w:r>
        <w:rPr>
          <w:rFonts w:ascii="Arial" w:hAnsi="Arial"/>
          <w:color w:val="1A1A2E"/>
          <w:sz w:val="21"/>
        </w:rPr>
        <w:t xml:space="preserve"> стандарт не дублирует госнадзор; в части госрегулирования — только требует актуальных документов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Термины: объект, аттракцион, активити-формат, инцидент, категории A/B/C, внутренняя аттестация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Классификация объектов A/B/C с таблицей дифференциации требований</w:t>
      </w:r>
    </w:p>
    <w:p>
      <w:pPr>
        <w:spacing w:before="280" w:after="80"/>
      </w:pPr>
      <w:r>
        <w:rPr>
          <w:rFonts w:ascii="Arial" w:hAnsi="Arial"/>
          <w:b/>
          <w:color w:val="1F72C4"/>
          <w:sz w:val="26"/>
        </w:rPr>
        <w:t>Раздел 3. Документарное соответствие требованиям государственных органов</w:t>
      </w:r>
    </w:p>
    <w:p>
      <w:pPr>
        <w:spacing w:before="60" w:after="100"/>
        <w:ind w:left="360"/>
        <w:pBdr>
          <w:left w:val="single" w:sz="8" w:space="10" w:color="2E96D4"/>
        </w:pBdr>
      </w:pPr>
      <w:r>
        <w:rPr>
          <w:rFonts w:ascii="Arial" w:hAnsi="Arial"/>
          <w:i/>
          <w:color w:val="555577"/>
          <w:sz w:val="20"/>
        </w:rPr>
        <w:t>Раздел содержит только перечень документов. Техническое содержание оценивают госорганы.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  <w:shd w:val="clear" w:color="auto" w:fill="1A375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Орган</w:t>
            </w:r>
          </w:p>
        </w:tc>
        <w:tc>
          <w:tcPr>
            <w:tcW w:type="dxa" w:w="4702"/>
            <w:vAlign w:val="center"/>
            <w:shd w:val="clear" w:color="auto" w:fill="1A375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Ключевые документы</w:t>
            </w:r>
          </w:p>
        </w:tc>
      </w:tr>
      <w:tr>
        <w:tc>
          <w:tcPr>
            <w:tcW w:type="dxa" w:w="470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Ростехнадзор</w:t>
            </w:r>
          </w:p>
        </w:tc>
        <w:tc>
          <w:tcPr>
            <w:tcW w:type="dxa" w:w="470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Сертификаты/декларации по ТР ЕАЭС 038/2016 и 042/2017; акты освидетельствования; паспорта с отметками ТО; регистрация ОПО; отсутствие открытых предписаний</w:t>
            </w:r>
          </w:p>
        </w:tc>
      </w:tr>
      <w:tr>
        <w:tc>
          <w:tcPr>
            <w:tcW w:type="dxa" w:w="4702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МЧС</w:t>
            </w:r>
          </w:p>
        </w:tc>
        <w:tc>
          <w:tcPr>
            <w:tcW w:type="dxa" w:w="4702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Заключение пожарной проверки; журнал ПТМ; планы эвакуации; отсутствие открытых предписаний</w:t>
            </w:r>
          </w:p>
        </w:tc>
      </w:tr>
      <w:tr>
        <w:tc>
          <w:tcPr>
            <w:tcW w:type="dxa" w:w="470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Роспотребнадзор</w:t>
            </w:r>
          </w:p>
        </w:tc>
        <w:tc>
          <w:tcPr>
            <w:tcW w:type="dxa" w:w="470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Санэпидзаключение; протоколы анализа воды (для аквапарков); отсутствие предписаний</w:t>
            </w:r>
          </w:p>
        </w:tc>
      </w:tr>
      <w:tr>
        <w:tc>
          <w:tcPr>
            <w:tcW w:type="dxa" w:w="4702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Трудовая инспекция</w:t>
            </w:r>
          </w:p>
        </w:tc>
        <w:tc>
          <w:tcPr>
            <w:tcW w:type="dxa" w:w="4702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Карты СОУТ; журналы инструктажей по ОТ; приказы об ответственных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Arial" w:hAnsi="Arial"/>
          <w:b/>
          <w:color w:val="1F72C4"/>
          <w:sz w:val="26"/>
        </w:rPr>
        <w:t>Раздел 4. Система управления объектом ★</w:t>
      </w:r>
    </w:p>
    <w:p>
      <w:pPr>
        <w:spacing w:before="80" w:after="120"/>
        <w:ind w:left="360"/>
        <w:pBdr>
          <w:left w:val="single" w:sz="12" w:space="12" w:color="F07B1B"/>
        </w:pBdr>
      </w:pPr>
      <w:r>
        <w:rPr>
          <w:rFonts w:ascii="Arial" w:hAnsi="Arial"/>
          <w:b/>
          <w:color w:val="F07B1B"/>
          <w:sz w:val="20"/>
        </w:rPr>
        <w:t xml:space="preserve">Ценность для бизнеса: </w:t>
      </w:r>
      <w:r>
        <w:rPr>
          <w:rFonts w:ascii="Arial" w:hAnsi="Arial"/>
          <w:i/>
          <w:color w:val="1A1A2E"/>
          <w:sz w:val="20"/>
        </w:rPr>
        <w:t>Слабое управление — главная причина потерь в индустрии: простои, аварийные ситуации без готового ответа, штрафы из-за просроченных документов, текучка персонала. Проверка этого раздела показывает, насколько бизнес управляем без личного присутствия владельца.</w:t>
      </w:r>
    </w:p>
    <w:p>
      <w:pPr>
        <w:spacing w:before="200" w:after="60"/>
      </w:pPr>
      <w:r>
        <w:rPr>
          <w:rFonts w:ascii="Arial" w:hAnsi="Arial"/>
          <w:b/>
          <w:color w:val="2E96D4"/>
          <w:sz w:val="23"/>
        </w:rPr>
        <w:t>4.1 Организационная структура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Назначены ответственные за ключевые процессы (безопасность, персонал, сервис)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Зоны ответственности задокументированы и известны сотрудникам</w:t>
      </w:r>
    </w:p>
    <w:p>
      <w:pPr>
        <w:spacing w:before="200" w:after="60"/>
      </w:pPr>
      <w:r>
        <w:rPr>
          <w:rFonts w:ascii="Arial" w:hAnsi="Arial"/>
          <w:b/>
          <w:color w:val="2E96D4"/>
          <w:sz w:val="23"/>
        </w:rPr>
        <w:t>4.2 Операционные регламенты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Открытие и закрытие смены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Допуск аттракционов к работе и снятие с работы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Действия при ЧС (пожар, травма, эвакуация)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Работа с посетителями в нестандартных ситуациях</w:t>
      </w:r>
    </w:p>
    <w:p>
      <w:pPr>
        <w:spacing w:before="200" w:after="60"/>
      </w:pPr>
      <w:r>
        <w:rPr>
          <w:rFonts w:ascii="Arial" w:hAnsi="Arial"/>
          <w:b/>
          <w:color w:val="2E96D4"/>
          <w:sz w:val="23"/>
        </w:rPr>
        <w:t>4.3 Управление рисками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Реестр ключевых рисков объекта (не менее 10 позиций)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Для каждого риска: вероятность, последствия, мера снижения, ответственный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Актуализация реестра — не реже 1 раза в год</w:t>
      </w:r>
    </w:p>
    <w:p>
      <w:pPr>
        <w:spacing w:before="200" w:after="60"/>
      </w:pPr>
      <w:r>
        <w:rPr>
          <w:rFonts w:ascii="Arial" w:hAnsi="Arial"/>
          <w:b/>
          <w:color w:val="2E96D4"/>
          <w:sz w:val="23"/>
        </w:rPr>
        <w:t>4.4 Инцидент-менеджмент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Регистрируются ВСЕ инциденты, включая микротравмы и «почти-происшествия»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Журнал инцидентов: дата, описание, меры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По значимым инцидентам — разбор с фиксацией причин и мер профилактики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Уведомление СРО о серьёзных инцидентах — в течение 24 часов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Культура открытой отчётности: сотрудник, сообщивший о проблеме, не наказывается</w:t>
      </w:r>
    </w:p>
    <w:p>
      <w:pPr>
        <w:spacing w:before="200" w:after="60"/>
      </w:pPr>
      <w:r>
        <w:rPr>
          <w:rFonts w:ascii="Arial" w:hAnsi="Arial"/>
          <w:b/>
          <w:color w:val="2E96D4"/>
          <w:sz w:val="23"/>
        </w:rPr>
        <w:t>4.5 Страхование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Полис гражданской ответственности перед посетителями (минимальные суммы по категориям — Приложение Г)</w:t>
      </w:r>
    </w:p>
    <w:p>
      <w:pPr>
        <w:spacing w:before="280" w:after="80"/>
      </w:pPr>
      <w:r>
        <w:rPr>
          <w:rFonts w:ascii="Arial" w:hAnsi="Arial"/>
          <w:b/>
          <w:color w:val="1F72C4"/>
          <w:sz w:val="26"/>
        </w:rPr>
        <w:t>Раздел 5. Персонал и квалификация ★</w:t>
      </w:r>
    </w:p>
    <w:p>
      <w:pPr>
        <w:spacing w:before="80" w:after="120"/>
        <w:ind w:left="360"/>
        <w:pBdr>
          <w:left w:val="single" w:sz="12" w:space="12" w:color="F07B1B"/>
        </w:pBdr>
      </w:pPr>
      <w:r>
        <w:rPr>
          <w:rFonts w:ascii="Arial" w:hAnsi="Arial"/>
          <w:b/>
          <w:color w:val="F07B1B"/>
          <w:sz w:val="20"/>
        </w:rPr>
        <w:t xml:space="preserve">Ценность для бизнеса: </w:t>
      </w:r>
      <w:r>
        <w:rPr>
          <w:rFonts w:ascii="Arial" w:hAnsi="Arial"/>
          <w:i/>
          <w:color w:val="1A1A2E"/>
          <w:sz w:val="20"/>
        </w:rPr>
        <w:t>Неподготовленный персонал — источник травм, конфликтов и негативных отзывов. Качество команды прямо влияет на повторные визиты и выручку. Стандарт СРО заполняет пробел: профстандарты Минтруда для должностей РЦ отсутствуют.</w:t>
      </w:r>
    </w:p>
    <w:p>
      <w:pPr>
        <w:spacing w:before="200" w:after="60"/>
      </w:pPr>
      <w:r>
        <w:rPr>
          <w:rFonts w:ascii="Arial" w:hAnsi="Arial"/>
          <w:b/>
          <w:color w:val="2E96D4"/>
          <w:sz w:val="23"/>
        </w:rPr>
        <w:t>5.1 Квалификационные требования по должностям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Управляющий / директор объекта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Операторы аттракционов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Инструкторы активити-форматов (батуты, верёвочные парки)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Администраторы / специалисты клиентского сервиса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Спасатели на водных объектах *(удостоверение — госдокумент; нормы присутствия — стандарт СРО)*</w:t>
      </w:r>
    </w:p>
    <w:p>
      <w:pPr>
        <w:spacing w:before="200" w:after="60"/>
      </w:pPr>
      <w:r>
        <w:rPr>
          <w:rFonts w:ascii="Arial" w:hAnsi="Arial"/>
          <w:b/>
          <w:color w:val="2E96D4"/>
          <w:sz w:val="23"/>
        </w:rPr>
        <w:t>5.2 Внутреннее обучение (темы, не охваченные госинструктажами)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Стандарты обслуживания: встреча гостя, коммуникация с детьми и родителями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Инструктирование посетителей перед использованием аттракционов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Алгоритм действий при конфликте или жалобе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Регистрация и первичное реагирование на инциденты</w:t>
      </w:r>
    </w:p>
    <w:p>
      <w:pPr>
        <w:spacing w:before="200" w:after="60"/>
      </w:pPr>
      <w:r>
        <w:rPr>
          <w:rFonts w:ascii="Arial" w:hAnsi="Arial"/>
          <w:b/>
          <w:color w:val="2E96D4"/>
          <w:sz w:val="23"/>
        </w:rPr>
        <w:t>5.3 Аттестация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Периодичность: не реже 1 раза в год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Форма: практическая проверка знания стандартов объекта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Сотрудник, не прошедший аттестацию, не допускается к самостоятельной работе</w:t>
      </w:r>
    </w:p>
    <w:p>
      <w:pPr>
        <w:spacing w:before="280" w:after="80"/>
      </w:pPr>
      <w:r>
        <w:rPr>
          <w:rFonts w:ascii="Arial" w:hAnsi="Arial"/>
          <w:b/>
          <w:color w:val="1F72C4"/>
          <w:sz w:val="26"/>
        </w:rPr>
        <w:t>Раздел 6. Клиентский опыт и коммерческая эффективность ★</w:t>
      </w:r>
    </w:p>
    <w:p>
      <w:pPr>
        <w:spacing w:before="80" w:after="120"/>
        <w:ind w:left="360"/>
        <w:pBdr>
          <w:left w:val="single" w:sz="12" w:space="12" w:color="F07B1B"/>
        </w:pBdr>
      </w:pPr>
      <w:r>
        <w:rPr>
          <w:rFonts w:ascii="Arial" w:hAnsi="Arial"/>
          <w:b/>
          <w:color w:val="F07B1B"/>
          <w:sz w:val="20"/>
        </w:rPr>
        <w:t xml:space="preserve">Ценность для бизнеса: </w:t>
      </w:r>
      <w:r>
        <w:rPr>
          <w:rFonts w:ascii="Arial" w:hAnsi="Arial"/>
          <w:i/>
          <w:color w:val="1A1A2E"/>
          <w:sz w:val="20"/>
        </w:rPr>
        <w:t>Это единственный раздел стандарта, напрямую связанный с выручкой. Плохой клиентский опыт = низкий повторный визит = потеря дохода. Проверка по этому разделу даёт владельцу данные о том, как гости реально воспринимают объект — и где он теряет деньги незаметно для себя.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</w:r>
      <w:r>
        <w:rPr>
          <w:rFonts w:ascii="Arial" w:hAnsi="Arial"/>
          <w:b/>
          <w:color w:val="1A1A2E"/>
          <w:sz w:val="21"/>
        </w:rPr>
        <w:t>Информационная среда:</w:t>
      </w:r>
      <w:r>
        <w:rPr>
          <w:rFonts w:ascii="Arial" w:hAnsi="Arial"/>
          <w:color w:val="1A1A2E"/>
          <w:sz w:val="21"/>
        </w:rPr>
        <w:t xml:space="preserve"> цены, правила, ограничения и противопоказания видимы до момента покупки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</w:r>
      <w:r>
        <w:rPr>
          <w:rFonts w:ascii="Arial" w:hAnsi="Arial"/>
          <w:b/>
          <w:color w:val="1A1A2E"/>
          <w:sz w:val="21"/>
        </w:rPr>
        <w:t>Стандарты обслуживания:</w:t>
      </w:r>
      <w:r>
        <w:rPr>
          <w:rFonts w:ascii="Arial" w:hAnsi="Arial"/>
          <w:color w:val="1A1A2E"/>
          <w:sz w:val="21"/>
        </w:rPr>
        <w:t xml:space="preserve"> скрипты встречи гостя; время реакции на обращение; алгоритм работы с недовольным гостем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</w:r>
      <w:r>
        <w:rPr>
          <w:rFonts w:ascii="Arial" w:hAnsi="Arial"/>
          <w:b/>
          <w:color w:val="1A1A2E"/>
          <w:sz w:val="21"/>
        </w:rPr>
        <w:t>Обратная связь:</w:t>
      </w:r>
      <w:r>
        <w:rPr>
          <w:rFonts w:ascii="Arial" w:hAnsi="Arial"/>
          <w:color w:val="1A1A2E"/>
          <w:sz w:val="21"/>
        </w:rPr>
        <w:t xml:space="preserve"> канал сбора отзывов доступен на объекте; жалобы регистрируются; данные анализируются раз в квартал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</w:r>
      <w:r>
        <w:rPr>
          <w:rFonts w:ascii="Arial" w:hAnsi="Arial"/>
          <w:b/>
          <w:color w:val="1A1A2E"/>
          <w:sz w:val="21"/>
        </w:rPr>
        <w:t>NPS:</w:t>
      </w:r>
      <w:r>
        <w:rPr>
          <w:rFonts w:ascii="Arial" w:hAnsi="Arial"/>
          <w:color w:val="1A1A2E"/>
          <w:sz w:val="21"/>
        </w:rPr>
        <w:t xml:space="preserve"> замеряется не реже 1 раза в квартал; данные передаются в СРО для отраслевого бенчмаркинга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</w:r>
      <w:r>
        <w:rPr>
          <w:rFonts w:ascii="Arial" w:hAnsi="Arial"/>
          <w:b/>
          <w:color w:val="1A1A2E"/>
          <w:sz w:val="21"/>
        </w:rPr>
        <w:t>Прозрачность:</w:t>
      </w:r>
      <w:r>
        <w:rPr>
          <w:rFonts w:ascii="Arial" w:hAnsi="Arial"/>
          <w:color w:val="1A1A2E"/>
          <w:sz w:val="21"/>
        </w:rPr>
        <w:t xml:space="preserve"> актуальный прайс в открытом доступе; условия возврата при закрытии аттракционов установлены и доведены до гостей</w:t>
      </w:r>
    </w:p>
    <w:p>
      <w:pPr>
        <w:spacing w:before="280" w:after="80"/>
      </w:pPr>
      <w:r>
        <w:rPr>
          <w:rFonts w:ascii="Arial" w:hAnsi="Arial"/>
          <w:b/>
          <w:color w:val="1F72C4"/>
          <w:sz w:val="26"/>
        </w:rPr>
        <w:t>Раздел 7. Специфические форматы без жёсткого госрегулирования ★</w:t>
      </w:r>
    </w:p>
    <w:p>
      <w:pPr>
        <w:spacing w:before="60" w:after="100"/>
        <w:ind w:left="360"/>
        <w:pBdr>
          <w:left w:val="single" w:sz="8" w:space="10" w:color="2E96D4"/>
        </w:pBdr>
      </w:pPr>
      <w:r>
        <w:rPr>
          <w:rFonts w:ascii="Arial" w:hAnsi="Arial"/>
          <w:i/>
          <w:color w:val="555577"/>
          <w:sz w:val="20"/>
        </w:rPr>
        <w:t>Для этих форматов технические регламенты не устанавливают достаточных требований. Стандарт СРО закрывает пробел.</w:t>
      </w:r>
    </w:p>
    <w:p>
      <w:pPr>
        <w:spacing w:before="200" w:after="60"/>
      </w:pPr>
      <w:r>
        <w:rPr>
          <w:rFonts w:ascii="Arial" w:hAnsi="Arial"/>
          <w:b/>
          <w:color w:val="2E96D4"/>
          <w:sz w:val="23"/>
        </w:rPr>
        <w:t>7.1 Батутные зоны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Покрытия и амортизационные зоны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Максимальная наполняемость (чел./м²)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Обязательный инструктаж до входа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Ограничения по возрасту, весу, совместному прыжку</w:t>
      </w:r>
    </w:p>
    <w:p>
      <w:pPr>
        <w:spacing w:before="200" w:after="60"/>
      </w:pPr>
      <w:r>
        <w:rPr>
          <w:rFonts w:ascii="Arial" w:hAnsi="Arial"/>
          <w:b/>
          <w:color w:val="2E96D4"/>
          <w:sz w:val="23"/>
        </w:rPr>
        <w:t>7.2 Верёвочные парки и скалодромы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Минимальные требования к квалификации инструктора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Периодичность осмотра трасс и снаряжения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Протокол инструктажа и страховки участника</w:t>
      </w:r>
    </w:p>
    <w:p>
      <w:pPr>
        <w:spacing w:before="200" w:after="60"/>
      </w:pPr>
      <w:r>
        <w:rPr>
          <w:rFonts w:ascii="Arial" w:hAnsi="Arial"/>
          <w:b/>
          <w:color w:val="2E96D4"/>
          <w:sz w:val="23"/>
        </w:rPr>
        <w:t>7.3 Семейные игровые залы с автоматами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Допустимый уровень шума (дБ)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Требования к освещённости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Возрастные ограничения на отдельные автоматы</w:t>
      </w:r>
    </w:p>
    <w:p>
      <w:pPr>
        <w:spacing w:before="200" w:after="60"/>
      </w:pPr>
      <w:r>
        <w:rPr>
          <w:rFonts w:ascii="Arial" w:hAnsi="Arial"/>
          <w:b/>
          <w:color w:val="2E96D4"/>
          <w:sz w:val="23"/>
        </w:rPr>
        <w:t>7.4 Иные активити-форматы (лабиринты, квесты)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Процедура экстренной эвакуации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Максимальная вместимость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  <w:t>Информирование о специфических противопоказаниях</w:t>
      </w:r>
    </w:p>
    <w:p>
      <w:pPr>
        <w:spacing w:before="280" w:after="80"/>
      </w:pPr>
      <w:r>
        <w:rPr>
          <w:rFonts w:ascii="Arial" w:hAnsi="Arial"/>
          <w:b/>
          <w:color w:val="1F72C4"/>
          <w:sz w:val="26"/>
        </w:rPr>
        <w:t>Приложения к Документу 1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</w:r>
      <w:r>
        <w:rPr>
          <w:rFonts w:ascii="Arial" w:hAnsi="Arial"/>
          <w:b/>
          <w:color w:val="1A1A2E"/>
          <w:sz w:val="21"/>
        </w:rPr>
        <w:t>А.</w:t>
      </w:r>
      <w:r>
        <w:rPr>
          <w:rFonts w:ascii="Arial" w:hAnsi="Arial"/>
          <w:color w:val="1A1A2E"/>
          <w:sz w:val="21"/>
        </w:rPr>
        <w:t xml:space="preserve"> Реестр обязательных документов госорганов (с указанием сроков актуализации)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</w:r>
      <w:r>
        <w:rPr>
          <w:rFonts w:ascii="Arial" w:hAnsi="Arial"/>
          <w:b/>
          <w:color w:val="1A1A2E"/>
          <w:sz w:val="21"/>
        </w:rPr>
        <w:t>Б.</w:t>
      </w:r>
      <w:r>
        <w:rPr>
          <w:rFonts w:ascii="Arial" w:hAnsi="Arial"/>
          <w:color w:val="1A1A2E"/>
          <w:sz w:val="21"/>
        </w:rPr>
        <w:t xml:space="preserve"> Квалификационная матрица персонала по должностям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</w:r>
      <w:r>
        <w:rPr>
          <w:rFonts w:ascii="Arial" w:hAnsi="Arial"/>
          <w:b/>
          <w:color w:val="1A1A2E"/>
          <w:sz w:val="21"/>
        </w:rPr>
        <w:t>В.</w:t>
      </w:r>
      <w:r>
        <w:rPr>
          <w:rFonts w:ascii="Arial" w:hAnsi="Arial"/>
          <w:color w:val="1A1A2E"/>
          <w:sz w:val="21"/>
        </w:rPr>
        <w:t xml:space="preserve"> Форма журнала инцидентов и протокол разбора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</w:r>
      <w:r>
        <w:rPr>
          <w:rFonts w:ascii="Arial" w:hAnsi="Arial"/>
          <w:b/>
          <w:color w:val="1A1A2E"/>
          <w:sz w:val="21"/>
        </w:rPr>
        <w:t>Г.</w:t>
      </w:r>
      <w:r>
        <w:rPr>
          <w:rFonts w:ascii="Arial" w:hAnsi="Arial"/>
          <w:color w:val="1A1A2E"/>
          <w:sz w:val="21"/>
        </w:rPr>
        <w:t xml:space="preserve"> Минимальные страховые суммы по категориям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</w:r>
      <w:r>
        <w:rPr>
          <w:rFonts w:ascii="Arial" w:hAnsi="Arial"/>
          <w:b/>
          <w:color w:val="1A1A2E"/>
          <w:sz w:val="21"/>
        </w:rPr>
        <w:t>Д.</w:t>
      </w:r>
      <w:r>
        <w:rPr>
          <w:rFonts w:ascii="Arial" w:hAnsi="Arial"/>
          <w:color w:val="1A1A2E"/>
          <w:sz w:val="21"/>
        </w:rPr>
        <w:t xml:space="preserve"> Таблица дифференциации требований A / B / C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</w:r>
      <w:r>
        <w:rPr>
          <w:rFonts w:ascii="Arial" w:hAnsi="Arial"/>
          <w:b/>
          <w:color w:val="1A1A2E"/>
          <w:sz w:val="21"/>
        </w:rPr>
        <w:t>Е.</w:t>
      </w:r>
      <w:r>
        <w:rPr>
          <w:rFonts w:ascii="Arial" w:hAnsi="Arial"/>
          <w:color w:val="1A1A2E"/>
          <w:sz w:val="21"/>
        </w:rPr>
        <w:t xml:space="preserve"> Пример программы внутреннего обучения</w:t>
      </w:r>
    </w:p>
    <w:p>
      <w:r>
        <w:br w:type="page"/>
      </w:r>
    </w:p>
    <w:p>
      <w:pPr>
        <w:spacing w:before="400" w:after="120"/>
      </w:pPr>
      <w:r>
        <w:rPr>
          <w:rFonts w:ascii="Arial" w:hAnsi="Arial"/>
          <w:b/>
          <w:color w:val="1A375E"/>
          <w:sz w:val="30"/>
        </w:rPr>
        <w:t>5. СТРУКТУРА ДОКУМЕНТА 2: ПРАВИЛА КОНТРОЛЯ</w:t>
      </w:r>
    </w:p>
    <w:p>
      <w:pPr>
        <w:pBdr>
          <w:bottom w:val="single" w:sz="6" w:space="1" w:color="1A375E"/>
        </w:pBdr>
        <w:spacing w:after="80"/>
      </w:pPr>
    </w:p>
    <w:p>
      <w:pPr>
        <w:spacing w:after="100"/>
      </w:pPr>
      <w:r>
        <w:rPr>
          <w:rFonts w:ascii="Arial" w:hAnsi="Arial"/>
          <w:color w:val="1A1A2E"/>
          <w:sz w:val="21"/>
        </w:rPr>
      </w:r>
      <w:r>
        <w:rPr>
          <w:rFonts w:ascii="Arial" w:hAnsi="Arial"/>
          <w:b/>
          <w:color w:val="1A1A2E"/>
          <w:sz w:val="21"/>
        </w:rPr>
        <w:t>ПК СРО-РИ-002-20XX «Правила контроля деятельности членов СРО»</w:t>
      </w:r>
      <w:r>
        <w:rPr>
          <w:rFonts w:ascii="Arial" w:hAnsi="Arial"/>
          <w:color w:val="1A1A2E"/>
          <w:sz w:val="21"/>
        </w:rPr>
      </w:r>
    </w:p>
    <w:p>
      <w:pPr>
        <w:spacing w:before="60" w:after="100"/>
        <w:ind w:left="360"/>
        <w:pBdr>
          <w:left w:val="single" w:sz="8" w:space="10" w:color="2E96D4"/>
        </w:pBdr>
      </w:pPr>
      <w:r>
        <w:rPr>
          <w:rFonts w:ascii="Arial" w:hAnsi="Arial"/>
          <w:i/>
          <w:color w:val="555577"/>
          <w:sz w:val="20"/>
        </w:rPr>
        <w:t>Ключевой принцип Документа 2: акт проверки содержит два вывода — статус соответствия И карта точек роста для бизнеса.</w:t>
      </w:r>
    </w:p>
    <w:p>
      <w:pPr>
        <w:spacing w:before="280" w:after="80"/>
      </w:pPr>
      <w:r>
        <w:rPr>
          <w:rFonts w:ascii="Arial" w:hAnsi="Arial"/>
          <w:b/>
          <w:color w:val="1F72C4"/>
          <w:sz w:val="26"/>
        </w:rPr>
        <w:t>5.1 Виды контрольных мероприятий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1A375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Вид</w:t>
            </w:r>
          </w:p>
        </w:tc>
        <w:tc>
          <w:tcPr>
            <w:tcW w:type="dxa" w:w="2351"/>
            <w:vAlign w:val="center"/>
            <w:shd w:val="clear" w:color="auto" w:fill="1A375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Периодичность</w:t>
            </w:r>
          </w:p>
        </w:tc>
        <w:tc>
          <w:tcPr>
            <w:tcW w:type="dxa" w:w="2351"/>
            <w:vAlign w:val="center"/>
            <w:shd w:val="clear" w:color="auto" w:fill="1A375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Уведомление</w:t>
            </w:r>
          </w:p>
        </w:tc>
        <w:tc>
          <w:tcPr>
            <w:tcW w:type="dxa" w:w="2351"/>
            <w:vAlign w:val="center"/>
            <w:shd w:val="clear" w:color="auto" w:fill="1A375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Длительность</w:t>
            </w:r>
          </w:p>
        </w:tc>
      </w:tr>
      <w:tr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Плановая проверка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1 раз в год (при нарушениях — 2)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За 10 раб. дней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1–3 дня</w:t>
            </w:r>
          </w:p>
        </w:tc>
      </w:tr>
      <w:tr>
        <w:tc>
          <w:tcPr>
            <w:tcW w:type="dxa" w:w="2351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Внеплановая</w:t>
            </w:r>
          </w:p>
        </w:tc>
        <w:tc>
          <w:tcPr>
            <w:tcW w:type="dxa" w:w="2351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По основаниям</w:t>
            </w:r>
          </w:p>
        </w:tc>
        <w:tc>
          <w:tcPr>
            <w:tcW w:type="dxa" w:w="2351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За 24 ч (угроза — без уведомл.)</w:t>
            </w:r>
          </w:p>
        </w:tc>
        <w:tc>
          <w:tcPr>
            <w:tcW w:type="dxa" w:w="2351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1 день</w:t>
            </w:r>
          </w:p>
        </w:tc>
      </w:tr>
      <w:tr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Mystery Shopping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A: 4×/год; B, C: 2×/год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Без уведомления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1 визит</w:t>
            </w:r>
          </w:p>
        </w:tc>
      </w:tr>
      <w:tr>
        <w:tc>
          <w:tcPr>
            <w:tcW w:type="dxa" w:w="2351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Дистанционный мониторинг отзывов</w:t>
            </w:r>
          </w:p>
        </w:tc>
        <w:tc>
          <w:tcPr>
            <w:tcW w:type="dxa" w:w="2351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Ежемесячно</w:t>
            </w:r>
          </w:p>
        </w:tc>
        <w:tc>
          <w:tcPr>
            <w:tcW w:type="dxa" w:w="2351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—</w:t>
            </w:r>
          </w:p>
        </w:tc>
        <w:tc>
          <w:tcPr>
            <w:tcW w:type="dxa" w:w="2351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—</w:t>
            </w:r>
          </w:p>
        </w:tc>
      </w:tr>
      <w:tr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Самодекларирование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Ежегодно (до 1 февраля)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—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—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hAnsi="Arial"/>
          <w:color w:val="1A1A2E"/>
          <w:sz w:val="21"/>
        </w:rPr>
      </w:r>
      <w:r>
        <w:rPr>
          <w:rFonts w:ascii="Arial" w:hAnsi="Arial"/>
          <w:b/>
          <w:color w:val="1A1A2E"/>
          <w:sz w:val="21"/>
        </w:rPr>
        <w:t>Основания для внеплановой проверки:</w:t>
      </w:r>
      <w:r>
        <w:rPr>
          <w:rFonts w:ascii="Arial" w:hAnsi="Arial"/>
          <w:color w:val="1A1A2E"/>
          <w:sz w:val="21"/>
        </w:rPr>
        <w:t xml:space="preserve"> более 3 жалоб за квартал; инцидент с пострадавшим; открытое предписание госоргана; истечение срока устранения нарушений.</w:t>
      </w:r>
    </w:p>
    <w:p>
      <w:pPr>
        <w:spacing w:before="280" w:after="80"/>
      </w:pPr>
      <w:r>
        <w:rPr>
          <w:rFonts w:ascii="Arial" w:hAnsi="Arial"/>
          <w:b/>
          <w:color w:val="1F72C4"/>
          <w:sz w:val="26"/>
        </w:rPr>
        <w:t>Структура плановой проверки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1A375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Блок</w:t>
            </w:r>
          </w:p>
        </w:tc>
        <w:tc>
          <w:tcPr>
            <w:tcW w:type="dxa" w:w="3135"/>
            <w:vAlign w:val="center"/>
            <w:shd w:val="clear" w:color="auto" w:fill="1A375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Что проверяется</w:t>
            </w:r>
          </w:p>
        </w:tc>
        <w:tc>
          <w:tcPr>
            <w:tcW w:type="dxa" w:w="3135"/>
            <w:vAlign w:val="center"/>
            <w:shd w:val="clear" w:color="auto" w:fill="1A375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Действия инспектора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А. Документарный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Документы госорганов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Сверка перечня и сроков; технику не оценивает</w:t>
            </w:r>
          </w:p>
        </w:tc>
      </w:tr>
      <w:tr>
        <w:tc>
          <w:tcPr>
            <w:tcW w:type="dxa" w:w="3135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Б. Управленческий</w:t>
            </w:r>
          </w:p>
        </w:tc>
        <w:tc>
          <w:tcPr>
            <w:tcW w:type="dxa" w:w="3135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Регламенты, реестр рисков, инцидент-менеджмент</w:t>
            </w:r>
          </w:p>
        </w:tc>
        <w:tc>
          <w:tcPr>
            <w:tcW w:type="dxa" w:w="3135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Наличие, полнота, применяемость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В. Персонал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Квалификация, аттестация, знание стандартов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Документы + выборочный опрос 3–5 сотрудников</w:t>
            </w:r>
          </w:p>
        </w:tc>
      </w:tr>
      <w:tr>
        <w:tc>
          <w:tcPr>
            <w:tcW w:type="dxa" w:w="3135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Г. Клиентский опыт</w:t>
            </w:r>
          </w:p>
        </w:tc>
        <w:tc>
          <w:tcPr>
            <w:tcW w:type="dxa" w:w="3135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Информсреда, NPS, работа с жалобами</w:t>
            </w:r>
          </w:p>
        </w:tc>
        <w:tc>
          <w:tcPr>
            <w:tcW w:type="dxa" w:w="3135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Визуальный осмотр + анализ данных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Д. Спец. форматы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Активити-зоны без жёсткого госрегулирования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Проверка по Разделу 7 стандарта</w:t>
            </w:r>
          </w:p>
        </w:tc>
      </w:tr>
    </w:tbl>
    <w:p>
      <w:pPr>
        <w:spacing w:after="80"/>
      </w:pPr>
    </w:p>
    <w:p>
      <w:pPr>
        <w:spacing w:before="60" w:after="100"/>
        <w:ind w:left="360"/>
        <w:pBdr>
          <w:left w:val="single" w:sz="8" w:space="10" w:color="2E96D4"/>
        </w:pBdr>
      </w:pPr>
      <w:r>
        <w:rPr>
          <w:rFonts w:ascii="Arial" w:hAnsi="Arial"/>
          <w:i/>
          <w:color w:val="555577"/>
          <w:sz w:val="20"/>
        </w:rPr>
        <w:t>Закрытие проверки включает итоговый разбор с руководством (не менее 30 минут): что хорошо, что требует внимания. Это партнёрский диалог, а не односторонний вынос приговора.</w:t>
      </w:r>
    </w:p>
    <w:p>
      <w:pPr>
        <w:spacing w:before="280" w:after="80"/>
      </w:pPr>
      <w:r>
        <w:rPr>
          <w:rFonts w:ascii="Arial" w:hAnsi="Arial"/>
          <w:b/>
          <w:color w:val="1F72C4"/>
          <w:sz w:val="26"/>
        </w:rPr>
        <w:t>5.2 Оценка: соответствие и карта точек роста</w:t>
      </w:r>
    </w:p>
    <w:p>
      <w:pPr>
        <w:spacing w:before="80" w:after="120"/>
        <w:ind w:left="360"/>
        <w:pBdr>
          <w:left w:val="single" w:sz="12" w:space="12" w:color="F07B1B"/>
        </w:pBdr>
      </w:pPr>
      <w:r>
        <w:rPr>
          <w:rFonts w:ascii="Arial" w:hAnsi="Arial"/>
          <w:b/>
          <w:color w:val="F07B1B"/>
          <w:sz w:val="20"/>
        </w:rPr>
        <w:t xml:space="preserve">Ценность для бизнеса: </w:t>
      </w:r>
      <w:r>
        <w:rPr>
          <w:rFonts w:ascii="Arial" w:hAnsi="Arial"/>
          <w:i/>
          <w:color w:val="1A1A2E"/>
          <w:sz w:val="20"/>
        </w:rPr>
        <w:t>Главное нововведение: каждая проверка обязательно завершается картой точек роста — конкретными рекомендациями для владельца, основанными на данных проверки и отраслевых бенчмарках.</w:t>
      </w:r>
    </w:p>
    <w:p>
      <w:pPr>
        <w:spacing w:before="200" w:after="60"/>
      </w:pPr>
      <w:r>
        <w:rPr>
          <w:rFonts w:ascii="Arial" w:hAnsi="Arial"/>
          <w:b/>
          <w:color w:val="2E96D4"/>
          <w:sz w:val="23"/>
        </w:rPr>
        <w:t>Весовые коэффициенты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1A375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Блок</w:t>
            </w:r>
          </w:p>
        </w:tc>
        <w:tc>
          <w:tcPr>
            <w:tcW w:type="dxa" w:w="3135"/>
            <w:vAlign w:val="center"/>
            <w:shd w:val="clear" w:color="auto" w:fill="1A375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Вес</w:t>
            </w:r>
          </w:p>
        </w:tc>
        <w:tc>
          <w:tcPr>
            <w:tcW w:type="dxa" w:w="3135"/>
            <w:vAlign w:val="center"/>
            <w:shd w:val="clear" w:color="auto" w:fill="1A375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Логика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Документарное соответствие (госорганы)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20%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Наличие/актуальность — да/нет</w:t>
            </w:r>
          </w:p>
        </w:tc>
      </w:tr>
      <w:tr>
        <w:tc>
          <w:tcPr>
            <w:tcW w:type="dxa" w:w="3135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Система управления</w:t>
            </w:r>
          </w:p>
        </w:tc>
        <w:tc>
          <w:tcPr>
            <w:tcW w:type="dxa" w:w="3135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30%</w:t>
            </w:r>
          </w:p>
        </w:tc>
        <w:tc>
          <w:tcPr>
            <w:tcW w:type="dxa" w:w="3135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Ключевой индикатор зрелости бизнеса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Персонал и квалификация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30%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Прямо влияет на безопасность и выручку</w:t>
            </w:r>
          </w:p>
        </w:tc>
      </w:tr>
      <w:tr>
        <w:tc>
          <w:tcPr>
            <w:tcW w:type="dxa" w:w="3135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Клиентский опыт</w:t>
            </w:r>
          </w:p>
        </w:tc>
        <w:tc>
          <w:tcPr>
            <w:tcW w:type="dxa" w:w="3135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20%</w:t>
            </w:r>
          </w:p>
        </w:tc>
        <w:tc>
          <w:tcPr>
            <w:tcW w:type="dxa" w:w="3135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Индикатор коммерческой эффективности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Arial" w:hAnsi="Arial"/>
          <w:b/>
          <w:color w:val="2E96D4"/>
          <w:sz w:val="23"/>
        </w:rPr>
        <w:t>Классификация нарушений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1A375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Класс</w:t>
            </w:r>
          </w:p>
        </w:tc>
        <w:tc>
          <w:tcPr>
            <w:tcW w:type="dxa" w:w="3135"/>
            <w:vAlign w:val="center"/>
            <w:shd w:val="clear" w:color="auto" w:fill="1A375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Определение</w:t>
            </w:r>
          </w:p>
        </w:tc>
        <w:tc>
          <w:tcPr>
            <w:tcW w:type="dxa" w:w="3135"/>
            <w:vAlign w:val="center"/>
            <w:shd w:val="clear" w:color="auto" w:fill="1A375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Срок устранения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</w:r>
            <w:r>
              <w:rPr>
                <w:rFonts w:ascii="Arial" w:hAnsi="Arial"/>
                <w:b/>
                <w:color w:val="1A1A2E"/>
                <w:sz w:val="20"/>
              </w:rPr>
              <w:t>Критические (К)</w:t>
            </w:r>
            <w:r>
              <w:rPr>
                <w:rFonts w:ascii="Arial" w:hAnsi="Arial"/>
                <w:color w:val="1A1A2E"/>
                <w:sz w:val="20"/>
              </w:rPr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Просроченные обязательные документы; прямая угроза посетителям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Немедленно</w:t>
            </w:r>
          </w:p>
        </w:tc>
      </w:tr>
      <w:tr>
        <w:tc>
          <w:tcPr>
            <w:tcW w:type="dxa" w:w="3135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</w:r>
            <w:r>
              <w:rPr>
                <w:rFonts w:ascii="Arial" w:hAnsi="Arial"/>
                <w:b/>
                <w:color w:val="1A1A2E"/>
                <w:sz w:val="20"/>
              </w:rPr>
              <w:t>Значительные (З)</w:t>
            </w:r>
            <w:r>
              <w:rPr>
                <w:rFonts w:ascii="Arial" w:hAnsi="Arial"/>
                <w:color w:val="1A1A2E"/>
                <w:sz w:val="20"/>
              </w:rPr>
            </w:r>
          </w:p>
        </w:tc>
        <w:tc>
          <w:tcPr>
            <w:tcW w:type="dxa" w:w="3135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Существенные пробелы в управлении или квалификации</w:t>
            </w:r>
          </w:p>
        </w:tc>
        <w:tc>
          <w:tcPr>
            <w:tcW w:type="dxa" w:w="3135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30 дней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</w:r>
            <w:r>
              <w:rPr>
                <w:rFonts w:ascii="Arial" w:hAnsi="Arial"/>
                <w:b/>
                <w:color w:val="1A1A2E"/>
                <w:sz w:val="20"/>
              </w:rPr>
              <w:t>Незначительные (Н)</w:t>
            </w:r>
            <w:r>
              <w:rPr>
                <w:rFonts w:ascii="Arial" w:hAnsi="Arial"/>
                <w:color w:val="1A1A2E"/>
                <w:sz w:val="20"/>
              </w:rPr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Частичное несоответствие стандарту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60 дней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Arial" w:hAnsi="Arial"/>
          <w:b/>
          <w:color w:val="2E96D4"/>
          <w:sz w:val="23"/>
        </w:rPr>
        <w:t>Статус объекта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  <w:shd w:val="clear" w:color="auto" w:fill="1A375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Статус</w:t>
            </w:r>
          </w:p>
        </w:tc>
        <w:tc>
          <w:tcPr>
            <w:tcW w:type="dxa" w:w="4702"/>
            <w:vAlign w:val="center"/>
            <w:shd w:val="clear" w:color="auto" w:fill="1A375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Условие</w:t>
            </w:r>
          </w:p>
        </w:tc>
      </w:tr>
      <w:tr>
        <w:tc>
          <w:tcPr>
            <w:tcW w:type="dxa" w:w="470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Соответствует</w:t>
            </w:r>
          </w:p>
        </w:tc>
        <w:tc>
          <w:tcPr>
            <w:tcW w:type="dxa" w:w="470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Нет К, не более 2 З, не более 10 Н</w:t>
            </w:r>
          </w:p>
        </w:tc>
      </w:tr>
      <w:tr>
        <w:tc>
          <w:tcPr>
            <w:tcW w:type="dxa" w:w="4702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Соответствует с замечаниями</w:t>
            </w:r>
          </w:p>
        </w:tc>
        <w:tc>
          <w:tcPr>
            <w:tcW w:type="dxa" w:w="4702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Нет К, до 5 З, до 20 Н</w:t>
            </w:r>
          </w:p>
        </w:tc>
      </w:tr>
      <w:tr>
        <w:tc>
          <w:tcPr>
            <w:tcW w:type="dxa" w:w="470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Не соответствует</w:t>
            </w:r>
          </w:p>
        </w:tc>
        <w:tc>
          <w:tcPr>
            <w:tcW w:type="dxa" w:w="470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Есть К или более 5 З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Arial" w:hAnsi="Arial"/>
          <w:b/>
          <w:color w:val="2E96D4"/>
          <w:sz w:val="23"/>
        </w:rPr>
        <w:t>Карта точек роста (обязательная часть акта)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</w:r>
      <w:r>
        <w:rPr>
          <w:rFonts w:ascii="Arial" w:hAnsi="Arial"/>
          <w:b/>
          <w:color w:val="1A1A2E"/>
          <w:sz w:val="21"/>
        </w:rPr>
        <w:t>Топ-3 риска</w:t>
      </w:r>
      <w:r>
        <w:rPr>
          <w:rFonts w:ascii="Arial" w:hAnsi="Arial"/>
          <w:color w:val="1A1A2E"/>
          <w:sz w:val="21"/>
        </w:rPr>
        <w:t xml:space="preserve"> — с оценкой вероятного финансового или репутационного ущерба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</w:r>
      <w:r>
        <w:rPr>
          <w:rFonts w:ascii="Arial" w:hAnsi="Arial"/>
          <w:b/>
          <w:color w:val="1A1A2E"/>
          <w:sz w:val="21"/>
        </w:rPr>
        <w:t>Топ-3 точки роста</w:t>
      </w:r>
      <w:r>
        <w:rPr>
          <w:rFonts w:ascii="Arial" w:hAnsi="Arial"/>
          <w:color w:val="1A1A2E"/>
          <w:sz w:val="21"/>
        </w:rPr>
        <w:t xml:space="preserve"> — конкретные действия: увеличение повторных визитов, снижение текучки, рост NPS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</w:r>
      <w:r>
        <w:rPr>
          <w:rFonts w:ascii="Arial" w:hAnsi="Arial"/>
          <w:b/>
          <w:color w:val="1A1A2E"/>
          <w:sz w:val="21"/>
        </w:rPr>
        <w:t>Отраслевой бенчмарк</w:t>
      </w:r>
      <w:r>
        <w:rPr>
          <w:rFonts w:ascii="Arial" w:hAnsi="Arial"/>
          <w:color w:val="1A1A2E"/>
          <w:sz w:val="21"/>
        </w:rPr>
        <w:t xml:space="preserve"> — сравнение NPS и инцидентности с анонимизированными данными аналогичных объектов в СРО</w:t>
      </w:r>
    </w:p>
    <w:p>
      <w:pPr>
        <w:spacing w:before="280" w:after="80"/>
      </w:pPr>
      <w:r>
        <w:rPr>
          <w:rFonts w:ascii="Arial" w:hAnsi="Arial"/>
          <w:b/>
          <w:color w:val="1F72C4"/>
          <w:sz w:val="26"/>
        </w:rPr>
        <w:t>5.3 Меры реагирования</w:t>
      </w:r>
    </w:p>
    <w:p>
      <w:pPr>
        <w:spacing w:after="100"/>
      </w:pPr>
      <w:r>
        <w:rPr>
          <w:rFonts w:ascii="Arial" w:hAnsi="Arial"/>
          <w:color w:val="1A1A2E"/>
          <w:sz w:val="21"/>
        </w:rPr>
      </w:r>
      <w:r>
        <w:rPr>
          <w:rFonts w:ascii="Arial" w:hAnsi="Arial"/>
          <w:b/>
          <w:color w:val="1A1A2E"/>
          <w:sz w:val="21"/>
        </w:rPr>
        <w:t>Критические нарушения:</w:t>
      </w:r>
      <w:r>
        <w:rPr>
          <w:rFonts w:ascii="Arial" w:hAnsi="Arial"/>
          <w:color w:val="1A1A2E"/>
          <w:sz w:val="21"/>
        </w:rPr>
        <w:t xml:space="preserve"> немедленное предписание; при угрозе — приостановка аттракциона/зоны; повторная проверка через 7 дней.</w:t>
      </w:r>
    </w:p>
    <w:p>
      <w:pPr>
        <w:spacing w:after="100"/>
      </w:pPr>
      <w:r>
        <w:rPr>
          <w:rFonts w:ascii="Arial" w:hAnsi="Arial"/>
          <w:color w:val="1A1A2E"/>
          <w:sz w:val="21"/>
        </w:rPr>
      </w:r>
      <w:r>
        <w:rPr>
          <w:rFonts w:ascii="Arial" w:hAnsi="Arial"/>
          <w:b/>
          <w:color w:val="1A1A2E"/>
          <w:sz w:val="21"/>
        </w:rPr>
        <w:t>Значительные нарушения:</w:t>
      </w:r>
      <w:r>
        <w:rPr>
          <w:rFonts w:ascii="Arial" w:hAnsi="Arial"/>
          <w:color w:val="1A1A2E"/>
          <w:sz w:val="21"/>
        </w:rPr>
        <w:t xml:space="preserve"> предписание 30 дней; контроль устранения.</w:t>
      </w:r>
    </w:p>
    <w:p>
      <w:pPr>
        <w:spacing w:before="200" w:after="60"/>
      </w:pPr>
      <w:r>
        <w:rPr>
          <w:rFonts w:ascii="Arial" w:hAnsi="Arial"/>
          <w:b/>
          <w:color w:val="2E96D4"/>
          <w:sz w:val="23"/>
        </w:rPr>
        <w:t>Дисциплинарные меры (эскалация при неустранении)</w:t>
      </w:r>
    </w:p>
    <w:p>
      <w:pPr>
        <w:spacing w:after="60"/>
        <w:ind w:left="576" w:hanging="432"/>
      </w:pPr>
      <w:r>
        <w:rPr>
          <w:rFonts w:ascii="Arial" w:hAnsi="Arial"/>
          <w:b/>
          <w:color w:val="1A375E"/>
          <w:sz w:val="21"/>
        </w:rPr>
        <w:t xml:space="preserve">1. </w:t>
      </w:r>
      <w:r>
        <w:rPr>
          <w:rFonts w:ascii="Arial" w:hAnsi="Arial"/>
          <w:color w:val="1A1A2E"/>
          <w:sz w:val="21"/>
        </w:rPr>
        <w:t>Письменное предупреждение</w:t>
      </w:r>
    </w:p>
    <w:p>
      <w:pPr>
        <w:spacing w:after="60"/>
        <w:ind w:left="576" w:hanging="432"/>
      </w:pPr>
      <w:r>
        <w:rPr>
          <w:rFonts w:ascii="Arial" w:hAnsi="Arial"/>
          <w:b/>
          <w:color w:val="1A375E"/>
          <w:sz w:val="21"/>
        </w:rPr>
        <w:t xml:space="preserve">2. </w:t>
      </w:r>
      <w:r>
        <w:rPr>
          <w:rFonts w:ascii="Arial" w:hAnsi="Arial"/>
          <w:color w:val="1A1A2E"/>
          <w:sz w:val="21"/>
        </w:rPr>
        <w:t>Штраф</w:t>
      </w:r>
    </w:p>
    <w:p>
      <w:pPr>
        <w:spacing w:after="60"/>
        <w:ind w:left="576" w:hanging="432"/>
      </w:pPr>
      <w:r>
        <w:rPr>
          <w:rFonts w:ascii="Arial" w:hAnsi="Arial"/>
          <w:b/>
          <w:color w:val="1A375E"/>
          <w:sz w:val="21"/>
        </w:rPr>
        <w:t xml:space="preserve">3. </w:t>
      </w:r>
      <w:r>
        <w:rPr>
          <w:rFonts w:ascii="Arial" w:hAnsi="Arial"/>
          <w:color w:val="1A1A2E"/>
          <w:sz w:val="21"/>
        </w:rPr>
        <w:t>Обязательный аудит за счёт члена СРО</w:t>
      </w:r>
    </w:p>
    <w:p>
      <w:pPr>
        <w:spacing w:after="60"/>
        <w:ind w:left="576" w:hanging="432"/>
      </w:pPr>
      <w:r>
        <w:rPr>
          <w:rFonts w:ascii="Arial" w:hAnsi="Arial"/>
          <w:b/>
          <w:color w:val="1A375E"/>
          <w:sz w:val="21"/>
        </w:rPr>
        <w:t xml:space="preserve">4. </w:t>
      </w:r>
      <w:r>
        <w:rPr>
          <w:rFonts w:ascii="Arial" w:hAnsi="Arial"/>
          <w:color w:val="1A1A2E"/>
          <w:sz w:val="21"/>
        </w:rPr>
        <w:t>Временное ограничение знака СРО</w:t>
      </w:r>
    </w:p>
    <w:p>
      <w:pPr>
        <w:spacing w:after="60"/>
        <w:ind w:left="576" w:hanging="432"/>
      </w:pPr>
      <w:r>
        <w:rPr>
          <w:rFonts w:ascii="Arial" w:hAnsi="Arial"/>
          <w:b/>
          <w:color w:val="1A375E"/>
          <w:sz w:val="21"/>
        </w:rPr>
        <w:t xml:space="preserve">5. </w:t>
      </w:r>
      <w:r>
        <w:rPr>
          <w:rFonts w:ascii="Arial" w:hAnsi="Arial"/>
          <w:color w:val="1A1A2E"/>
          <w:sz w:val="21"/>
        </w:rPr>
        <w:t>Исключение (решение Общего собрания)</w:t>
      </w:r>
    </w:p>
    <w:p>
      <w:pPr>
        <w:spacing w:after="100"/>
      </w:pPr>
      <w:r>
        <w:rPr>
          <w:rFonts w:ascii="Arial" w:hAnsi="Arial"/>
          <w:color w:val="1A1A2E"/>
          <w:sz w:val="21"/>
        </w:rPr>
      </w:r>
      <w:r>
        <w:rPr>
          <w:rFonts w:ascii="Arial" w:hAnsi="Arial"/>
          <w:b/>
          <w:color w:val="1A1A2E"/>
          <w:sz w:val="21"/>
        </w:rPr>
        <w:t>Апелляция:</w:t>
      </w:r>
      <w:r>
        <w:rPr>
          <w:rFonts w:ascii="Arial" w:hAnsi="Arial"/>
          <w:color w:val="1A1A2E"/>
          <w:sz w:val="21"/>
        </w:rPr>
        <w:t xml:space="preserve"> 10 рабочих дней; срок рассмотрения — 20 рабочих дней.</w:t>
      </w:r>
    </w:p>
    <w:p>
      <w:pPr>
        <w:spacing w:before="280" w:after="80"/>
      </w:pPr>
      <w:r>
        <w:rPr>
          <w:rFonts w:ascii="Arial" w:hAnsi="Arial"/>
          <w:b/>
          <w:color w:val="1F72C4"/>
          <w:sz w:val="26"/>
        </w:rPr>
        <w:t>Приложения к Документу 2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</w:r>
      <w:r>
        <w:rPr>
          <w:rFonts w:ascii="Arial" w:hAnsi="Arial"/>
          <w:b/>
          <w:color w:val="1A1A2E"/>
          <w:sz w:val="21"/>
        </w:rPr>
        <w:t>А.</w:t>
      </w:r>
      <w:r>
        <w:rPr>
          <w:rFonts w:ascii="Arial" w:hAnsi="Arial"/>
          <w:color w:val="1A1A2E"/>
          <w:sz w:val="21"/>
        </w:rPr>
        <w:t xml:space="preserve"> Чек-лист проверки (блоки А–Д, с весами)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</w:r>
      <w:r>
        <w:rPr>
          <w:rFonts w:ascii="Arial" w:hAnsi="Arial"/>
          <w:b/>
          <w:color w:val="1A1A2E"/>
          <w:sz w:val="21"/>
        </w:rPr>
        <w:t>Б.</w:t>
      </w:r>
      <w:r>
        <w:rPr>
          <w:rFonts w:ascii="Arial" w:hAnsi="Arial"/>
          <w:color w:val="1A1A2E"/>
          <w:sz w:val="21"/>
        </w:rPr>
        <w:t xml:space="preserve"> Форма акта (раздел «Нарушения» + раздел «Карта точек роста»)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</w:r>
      <w:r>
        <w:rPr>
          <w:rFonts w:ascii="Arial" w:hAnsi="Arial"/>
          <w:b/>
          <w:color w:val="1A1A2E"/>
          <w:sz w:val="21"/>
        </w:rPr>
        <w:t>В.</w:t>
      </w:r>
      <w:r>
        <w:rPr>
          <w:rFonts w:ascii="Arial" w:hAnsi="Arial"/>
          <w:color w:val="1A1A2E"/>
          <w:sz w:val="21"/>
        </w:rPr>
        <w:t xml:space="preserve"> Форма предписания об устранении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</w:r>
      <w:r>
        <w:rPr>
          <w:rFonts w:ascii="Arial" w:hAnsi="Arial"/>
          <w:b/>
          <w:color w:val="1A1A2E"/>
          <w:sz w:val="21"/>
        </w:rPr>
        <w:t>Г.</w:t>
      </w:r>
      <w:r>
        <w:rPr>
          <w:rFonts w:ascii="Arial" w:hAnsi="Arial"/>
          <w:color w:val="1A1A2E"/>
          <w:sz w:val="21"/>
        </w:rPr>
        <w:t xml:space="preserve"> Форма ежегодного самоотчёта члена СРО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</w:r>
      <w:r>
        <w:rPr>
          <w:rFonts w:ascii="Arial" w:hAnsi="Arial"/>
          <w:b/>
          <w:color w:val="1A1A2E"/>
          <w:sz w:val="21"/>
        </w:rPr>
        <w:t>Д.</w:t>
      </w:r>
      <w:r>
        <w:rPr>
          <w:rFonts w:ascii="Arial" w:hAnsi="Arial"/>
          <w:color w:val="1A1A2E"/>
          <w:sz w:val="21"/>
        </w:rPr>
        <w:t xml:space="preserve"> Методика Mystery Shopping</w:t>
      </w:r>
    </w:p>
    <w:p>
      <w:pPr>
        <w:spacing w:after="40"/>
        <w:ind w:left="360" w:hanging="288"/>
      </w:pPr>
      <w:r>
        <w:rPr>
          <w:rFonts w:ascii="Arial" w:hAnsi="Arial"/>
          <w:color w:val="1F72C4"/>
          <w:sz w:val="21"/>
        </w:rPr>
        <w:t xml:space="preserve">• </w:t>
      </w:r>
      <w:r>
        <w:rPr>
          <w:rFonts w:ascii="Arial" w:hAnsi="Arial"/>
          <w:color w:val="1A1A2E"/>
          <w:sz w:val="21"/>
        </w:rPr>
      </w:r>
      <w:r>
        <w:rPr>
          <w:rFonts w:ascii="Arial" w:hAnsi="Arial"/>
          <w:b/>
          <w:color w:val="1A1A2E"/>
          <w:sz w:val="21"/>
        </w:rPr>
        <w:t>Е.</w:t>
      </w:r>
      <w:r>
        <w:rPr>
          <w:rFonts w:ascii="Arial" w:hAnsi="Arial"/>
          <w:color w:val="1A1A2E"/>
          <w:sz w:val="21"/>
        </w:rPr>
        <w:t xml:space="preserve"> Квалификационные требования к инспекторам СРО</w:t>
      </w:r>
    </w:p>
    <w:p>
      <w:r>
        <w:br w:type="page"/>
      </w:r>
    </w:p>
    <w:p>
      <w:pPr>
        <w:spacing w:before="400" w:after="120"/>
      </w:pPr>
      <w:r>
        <w:rPr>
          <w:rFonts w:ascii="Arial" w:hAnsi="Arial"/>
          <w:b/>
          <w:color w:val="1A375E"/>
          <w:sz w:val="30"/>
        </w:rPr>
        <w:t>6. КАЛЕНДАРНЫЙ ПЛАН РАЗРАБОТКИ</w:t>
      </w:r>
    </w:p>
    <w:p>
      <w:pPr>
        <w:pBdr>
          <w:bottom w:val="single" w:sz="6" w:space="1" w:color="1A375E"/>
        </w:pBd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1A375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Этап</w:t>
            </w:r>
          </w:p>
        </w:tc>
        <w:tc>
          <w:tcPr>
            <w:tcW w:type="dxa" w:w="2351"/>
            <w:vAlign w:val="center"/>
            <w:shd w:val="clear" w:color="auto" w:fill="1A375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Содержание</w:t>
            </w:r>
          </w:p>
        </w:tc>
        <w:tc>
          <w:tcPr>
            <w:tcW w:type="dxa" w:w="2351"/>
            <w:vAlign w:val="center"/>
            <w:shd w:val="clear" w:color="auto" w:fill="1A375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Эксперты</w:t>
            </w:r>
          </w:p>
        </w:tc>
        <w:tc>
          <w:tcPr>
            <w:tcW w:type="dxa" w:w="2351"/>
            <w:vAlign w:val="center"/>
            <w:shd w:val="clear" w:color="auto" w:fill="1A375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Срок</w:t>
            </w:r>
          </w:p>
        </w:tc>
      </w:tr>
      <w:tr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1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Правовой анализ; реестр госдокументов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Юрист, Эксперт по норм. соответствию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2 нед.</w:t>
            </w:r>
          </w:p>
        </w:tc>
      </w:tr>
      <w:tr>
        <w:tc>
          <w:tcPr>
            <w:tcW w:type="dxa" w:w="2351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2</w:t>
            </w:r>
          </w:p>
        </w:tc>
        <w:tc>
          <w:tcPr>
            <w:tcW w:type="dxa" w:w="2351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Разделы Стандарта 4–7</w:t>
            </w:r>
          </w:p>
        </w:tc>
        <w:tc>
          <w:tcPr>
            <w:tcW w:type="dxa" w:w="2351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Все эксперты</w:t>
            </w:r>
          </w:p>
        </w:tc>
        <w:tc>
          <w:tcPr>
            <w:tcW w:type="dxa" w:w="2351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4 нед.</w:t>
            </w:r>
          </w:p>
        </w:tc>
      </w:tr>
      <w:tr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3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Правила контроля + карта точек роста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Аудитор, Операционный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3 нед.</w:t>
            </w:r>
          </w:p>
        </w:tc>
      </w:tr>
      <w:tr>
        <w:tc>
          <w:tcPr>
            <w:tcW w:type="dxa" w:w="2351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4</w:t>
            </w:r>
          </w:p>
        </w:tc>
        <w:tc>
          <w:tcPr>
            <w:tcW w:type="dxa" w:w="2351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Приложения и чек-листы</w:t>
            </w:r>
          </w:p>
        </w:tc>
        <w:tc>
          <w:tcPr>
            <w:tcW w:type="dxa" w:w="2351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Аудитор + профильные</w:t>
            </w:r>
          </w:p>
        </w:tc>
        <w:tc>
          <w:tcPr>
            <w:tcW w:type="dxa" w:w="2351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2 нед.</w:t>
            </w:r>
          </w:p>
        </w:tc>
      </w:tr>
      <w:tr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5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Согласование командой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Все эксперты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1 нед.</w:t>
            </w:r>
          </w:p>
        </w:tc>
      </w:tr>
      <w:tr>
        <w:tc>
          <w:tcPr>
            <w:tcW w:type="dxa" w:w="2351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6</w:t>
            </w:r>
          </w:p>
        </w:tc>
        <w:tc>
          <w:tcPr>
            <w:tcW w:type="dxa" w:w="2351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Пилот на 3–5 объектах</w:t>
            </w:r>
          </w:p>
        </w:tc>
        <w:tc>
          <w:tcPr>
            <w:tcW w:type="dxa" w:w="2351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Аудитор, Операционный</w:t>
            </w:r>
          </w:p>
        </w:tc>
        <w:tc>
          <w:tcPr>
            <w:tcW w:type="dxa" w:w="2351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2 нед.</w:t>
            </w:r>
          </w:p>
        </w:tc>
      </w:tr>
      <w:tr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7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Доработка по итогам пилота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Руководитель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1 нед.</w:t>
            </w:r>
          </w:p>
        </w:tc>
      </w:tr>
      <w:tr>
        <w:tc>
          <w:tcPr>
            <w:tcW w:type="dxa" w:w="2351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8</w:t>
            </w:r>
          </w:p>
        </w:tc>
        <w:tc>
          <w:tcPr>
            <w:tcW w:type="dxa" w:w="2351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Финальная редакция и утверждение</w:t>
            </w:r>
          </w:p>
        </w:tc>
        <w:tc>
          <w:tcPr>
            <w:tcW w:type="dxa" w:w="2351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Руководитель, Юрист</w:t>
            </w:r>
          </w:p>
        </w:tc>
        <w:tc>
          <w:tcPr>
            <w:tcW w:type="dxa" w:w="2351"/>
            <w:vAlign w:val="center"/>
            <w:shd w:val="clear" w:color="auto" w:fill="F2F5F9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1 нед.</w:t>
            </w:r>
          </w:p>
        </w:tc>
      </w:tr>
    </w:tbl>
    <w:p>
      <w:pPr>
        <w:spacing w:after="80"/>
      </w:pPr>
    </w:p>
    <w:p>
      <w:r>
        <w:rPr>
          <w:rFonts w:ascii="Arial" w:hAnsi="Arial"/>
          <w:b/>
          <w:color w:val="1A375E"/>
          <w:sz w:val="21"/>
        </w:rPr>
        <w:t>Итого: ~16 недель от старта до финального документа.</w:t>
      </w:r>
    </w:p>
    <w:p>
      <w:r>
        <w:br w:type="page"/>
      </w:r>
    </w:p>
    <w:p>
      <w:pPr>
        <w:spacing w:after="80"/>
        <w:jc w:val="center"/>
      </w:pPr>
      <w:r>
        <w:rPr>
          <w:rFonts w:ascii="Arial" w:hAnsi="Arial"/>
          <w:b/>
          <w:color w:val="1A375E"/>
          <w:sz w:val="28"/>
        </w:rPr>
        <w:t>ЛИСТ СОГЛАСОВАНИЯ</w:t>
      </w:r>
    </w:p>
    <w:p>
      <w:pPr>
        <w:pBdr>
          <w:bottom w:val="single" w:sz="6" w:space="1" w:color="1A375E"/>
        </w:pBdr>
        <w:spacing w:after="80"/>
      </w:pPr>
    </w:p>
    <w:p>
      <w:pPr>
        <w:spacing w:after="320"/>
      </w:pPr>
      <w:r>
        <w:rPr>
          <w:rFonts w:ascii="Arial" w:hAnsi="Arial"/>
          <w:color w:val="1A1A2E"/>
          <w:sz w:val="21"/>
        </w:rPr>
        <w:t>Предпроектные материалы (команда, нормативная база, структура документов) подлежат согласованию для перехода к этапу написания основных документов СРО.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1A375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Должность</w:t>
            </w:r>
          </w:p>
        </w:tc>
        <w:tc>
          <w:tcPr>
            <w:tcW w:type="dxa" w:w="2351"/>
            <w:vAlign w:val="center"/>
            <w:shd w:val="clear" w:color="auto" w:fill="1A375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ФИО</w:t>
            </w:r>
          </w:p>
        </w:tc>
        <w:tc>
          <w:tcPr>
            <w:tcW w:type="dxa" w:w="2351"/>
            <w:vAlign w:val="center"/>
            <w:shd w:val="clear" w:color="auto" w:fill="1A375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Подпись</w:t>
            </w:r>
          </w:p>
        </w:tc>
        <w:tc>
          <w:tcPr>
            <w:tcW w:type="dxa" w:w="2351"/>
            <w:vAlign w:val="center"/>
            <w:shd w:val="clear" w:color="auto" w:fill="1A375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Дата</w:t>
            </w:r>
          </w:p>
        </w:tc>
      </w:tr>
    </w:tbl>
    <w:p>
      <w:pPr>
        <w:spacing w:after="80"/>
      </w:pPr>
    </w:p>
    <w:p>
      <w:pPr>
        <w:spacing w:before="400"/>
      </w:pPr>
      <w:r>
        <w:rPr>
          <w:rFonts w:ascii="Arial" w:hAnsi="Arial"/>
          <w:b/>
          <w:color w:val="1A375E"/>
          <w:sz w:val="22"/>
        </w:rPr>
        <w:t>РЕШЕНИЕ</w:t>
      </w:r>
    </w:p>
    <w:p>
      <w:pPr>
        <w:spacing w:after="160"/>
      </w:pPr>
      <w:r>
        <w:rPr>
          <w:rFonts w:ascii="Arial" w:hAnsi="Arial"/>
          <w:color w:val="1A1A2E"/>
          <w:sz w:val="22"/>
        </w:rPr>
        <w:t>☐  Согласовано. Приступить к разработке документов СРО.</w:t>
      </w:r>
    </w:p>
    <w:p>
      <w:pPr>
        <w:spacing w:after="160"/>
      </w:pPr>
      <w:r>
        <w:rPr>
          <w:rFonts w:ascii="Arial" w:hAnsi="Arial"/>
          <w:color w:val="1A1A2E"/>
          <w:sz w:val="22"/>
        </w:rPr>
        <w:t>☐  Согласовано с замечаниями (замечания прилагаются).</w:t>
      </w:r>
    </w:p>
    <w:p>
      <w:pPr>
        <w:spacing w:after="160"/>
      </w:pPr>
      <w:r>
        <w:rPr>
          <w:rFonts w:ascii="Arial" w:hAnsi="Arial"/>
          <w:color w:val="1A1A2E"/>
          <w:sz w:val="22"/>
        </w:rPr>
        <w:t>☐  Требуется доработка (комментарии ниже).</w:t>
      </w:r>
    </w:p>
    <w:p>
      <w:pPr>
        <w:spacing w:before="200"/>
      </w:pPr>
      <w:r>
        <w:rPr>
          <w:rFonts w:ascii="Arial" w:hAnsi="Arial"/>
          <w:b/>
          <w:color w:val="1A375E"/>
          <w:sz w:val="22"/>
        </w:rPr>
        <w:t>Комментарии и замечания:</w:t>
      </w:r>
    </w:p>
    <w:p>
      <w:pPr>
        <w:spacing w:after="160"/>
      </w:pPr>
      <w:r>
        <w:rPr>
          <w:color w:val="CCCCCC"/>
        </w:rPr>
        <w:t>__________________________________________________________________________________________</w:t>
      </w:r>
    </w:p>
    <w:p>
      <w:pPr>
        <w:spacing w:after="160"/>
      </w:pPr>
      <w:r>
        <w:rPr>
          <w:color w:val="CCCCCC"/>
        </w:rPr>
        <w:t>__________________________________________________________________________________________</w:t>
      </w:r>
    </w:p>
    <w:p>
      <w:pPr>
        <w:spacing w:after="160"/>
      </w:pPr>
      <w:r>
        <w:rPr>
          <w:color w:val="CCCCCC"/>
        </w:rPr>
        <w:t>__________________________________________________________________________________________</w:t>
      </w:r>
    </w:p>
    <w:p>
      <w:pPr>
        <w:spacing w:after="160"/>
      </w:pPr>
      <w:r>
        <w:rPr>
          <w:color w:val="CCCCCC"/>
        </w:rPr>
        <w:t>__________________________________________________________________________________________</w:t>
      </w:r>
    </w:p>
    <w:p>
      <w:pPr>
        <w:spacing w:after="160"/>
      </w:pPr>
      <w:r>
        <w:rPr>
          <w:color w:val="CCCCCC"/>
        </w:rPr>
        <w:t>__________________________________________________________________________________________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