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497D"/>
          <w:sz w:val="32"/>
        </w:rPr>
        <w:t>Структура документов СРО индустрии развлечений</w:t>
      </w:r>
    </w:p>
    <w:p>
      <w:pPr>
        <w:pStyle w:val="Heading2"/>
      </w:pPr>
      <w:r>
        <w:rPr>
          <w:rFonts w:ascii="Arial" w:hAnsi="Arial"/>
          <w:color w:val="1F497D"/>
          <w:sz w:val="28"/>
        </w:rPr>
        <w:t>Обзор двух документов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Документ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Аудитория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Внутренний стандарт СРО</w:t>
            </w:r>
          </w:p>
        </w:tc>
        <w:tc>
          <w:tcPr>
            <w:tcW w:type="dxa" w:w="2160"/>
          </w:tcPr>
          <w:p>
            <w:r>
              <w:t>Требования к участникам</w:t>
            </w:r>
          </w:p>
        </w:tc>
        <w:tc>
          <w:tcPr>
            <w:tcW w:type="dxa" w:w="2160"/>
          </w:tcPr>
          <w:p>
            <w:r>
              <w:t>Члены СРО, их сотрудники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Правила контроля выполнения стандарта</w:t>
            </w:r>
          </w:p>
        </w:tc>
        <w:tc>
          <w:tcPr>
            <w:tcW w:type="dxa" w:w="2160"/>
          </w:tcPr>
          <w:p>
            <w:r>
              <w:t>Регламент проверок</w:t>
            </w:r>
          </w:p>
        </w:tc>
        <w:tc>
          <w:tcPr>
            <w:tcW w:type="dxa" w:w="2160"/>
          </w:tcPr>
          <w:p>
            <w:r>
              <w:t>Инспекторы СРО, члены контрольного комитета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/>
          <w:color w:val="1F497D"/>
          <w:sz w:val="28"/>
        </w:rPr>
        <w:t>ДОКУМЕНТ 1: Внутренний стандарт СРО «Безопасность и качество в индустрии семейных развлечений»</w:t>
      </w:r>
    </w:p>
    <w:p>
      <w:pPr>
        <w:pStyle w:val="Heading3"/>
      </w:pPr>
      <w:r>
        <w:rPr>
          <w:rFonts w:ascii="Arial" w:hAnsi="Arial"/>
          <w:color w:val="2E74B5"/>
          <w:sz w:val="24"/>
        </w:rPr>
        <w:t>Рабочее название</w:t>
      </w:r>
    </w:p>
    <w:p>
      <w:r>
        <w:rPr>
          <w:rFonts w:ascii="Arial" w:hAnsi="Arial"/>
          <w:sz w:val="22"/>
        </w:rPr>
        <w:t>СТО СРО-РИ-001-20XX «Стандарт деятельности членов СРО в сфере семейных развлечений»</w:t>
      </w:r>
    </w:p>
    <w:p>
      <w:pPr>
        <w:pStyle w:val="Heading3"/>
      </w:pPr>
      <w:r>
        <w:rPr>
          <w:rFonts w:ascii="Arial" w:hAnsi="Arial"/>
          <w:color w:val="2E74B5"/>
          <w:sz w:val="24"/>
        </w:rPr>
        <w:t>Структура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ПРЕАМБУЛА</w:t>
      </w:r>
    </w:p>
    <w:p>
      <w:pPr>
        <w:pStyle w:val="ListBullet"/>
      </w:pPr>
      <w:r>
        <w:rPr>
          <w:rFonts w:ascii="Arial" w:hAnsi="Arial"/>
          <w:sz w:val="22"/>
        </w:rPr>
        <w:t>Цели и задачи стандарта</w:t>
      </w:r>
    </w:p>
    <w:p>
      <w:pPr>
        <w:pStyle w:val="ListBullet"/>
      </w:pPr>
      <w:r>
        <w:rPr>
          <w:rFonts w:ascii="Arial" w:hAnsi="Arial"/>
          <w:sz w:val="22"/>
        </w:rPr>
        <w:t>Сфера применения (объекты, на которые распространяется)</w:t>
      </w:r>
    </w:p>
    <w:p>
      <w:pPr>
        <w:pStyle w:val="ListBullet"/>
      </w:pPr>
      <w:r>
        <w:rPr>
          <w:rFonts w:ascii="Arial" w:hAnsi="Arial"/>
          <w:sz w:val="22"/>
        </w:rPr>
        <w:t>Соотношение с законодательством РФ и ЕАЭС (в том числе ТР ЕАЭС 038/2016, ТР ЕАЭС 042/2017)</w:t>
      </w:r>
    </w:p>
    <w:p>
      <w:pPr>
        <w:pStyle w:val="ListBullet"/>
      </w:pPr>
      <w:r>
        <w:rPr>
          <w:rFonts w:ascii="Arial" w:hAnsi="Arial"/>
          <w:sz w:val="22"/>
        </w:rPr>
        <w:t>Статус стандарта: устанавливает требования, дополняющие и ужесточающие обязательные нормы технических регламентов</w:t>
      </w:r>
    </w:p>
    <w:p>
      <w:pPr>
        <w:pStyle w:val="ListBullet"/>
      </w:pPr>
      <w:r>
        <w:rPr>
          <w:rFonts w:ascii="Arial" w:hAnsi="Arial"/>
          <w:sz w:val="22"/>
        </w:rPr>
        <w:t>Порядок введения в действие и пересмотра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1. ТЕРМИНЫ И ОПРЕДЕЛЕНИЯ</w:t>
      </w:r>
    </w:p>
    <w:p>
      <w:pPr>
        <w:pStyle w:val="ListBullet"/>
      </w:pPr>
      <w:r>
        <w:rPr>
          <w:rFonts w:ascii="Arial" w:hAnsi="Arial"/>
          <w:sz w:val="22"/>
        </w:rPr>
        <w:t>Развлекательный центр</w:t>
      </w:r>
    </w:p>
    <w:p>
      <w:pPr>
        <w:pStyle w:val="ListBullet"/>
      </w:pPr>
      <w:r>
        <w:rPr>
          <w:rFonts w:ascii="Arial" w:hAnsi="Arial"/>
          <w:sz w:val="22"/>
        </w:rPr>
        <w:t>Аттракцион (по категориям: механический, водный, воздушный, интерактивный)</w:t>
      </w:r>
    </w:p>
    <w:p>
      <w:pPr>
        <w:pStyle w:val="ListBullet"/>
      </w:pPr>
      <w:r>
        <w:rPr>
          <w:rFonts w:ascii="Arial" w:hAnsi="Arial"/>
          <w:sz w:val="22"/>
        </w:rPr>
        <w:t>Активити-парк</w:t>
      </w:r>
    </w:p>
    <w:p>
      <w:pPr>
        <w:pStyle w:val="ListBullet"/>
      </w:pPr>
      <w:r>
        <w:rPr>
          <w:rFonts w:ascii="Arial" w:hAnsi="Arial"/>
          <w:sz w:val="22"/>
        </w:rPr>
        <w:t>Аквапарк</w:t>
      </w:r>
    </w:p>
    <w:p>
      <w:pPr>
        <w:pStyle w:val="ListBullet"/>
      </w:pPr>
      <w:r>
        <w:rPr>
          <w:rFonts w:ascii="Arial" w:hAnsi="Arial"/>
          <w:sz w:val="22"/>
        </w:rPr>
        <w:t>Оператор аттракциона</w:t>
      </w:r>
    </w:p>
    <w:p>
      <w:pPr>
        <w:pStyle w:val="ListBullet"/>
      </w:pPr>
      <w:r>
        <w:rPr>
          <w:rFonts w:ascii="Arial" w:hAnsi="Arial"/>
          <w:sz w:val="22"/>
        </w:rPr>
        <w:t>Инцидент / несчастный случай на объекте</w:t>
      </w:r>
    </w:p>
    <w:p>
      <w:pPr>
        <w:pStyle w:val="ListBullet"/>
      </w:pPr>
      <w:r>
        <w:rPr>
          <w:rFonts w:ascii="Arial" w:hAnsi="Arial"/>
          <w:sz w:val="22"/>
        </w:rPr>
        <w:t>Плановое техническое обслуживание (ТО)</w:t>
      </w:r>
    </w:p>
    <w:p>
      <w:pPr>
        <w:pStyle w:val="ListBullet"/>
      </w:pPr>
      <w:r>
        <w:rPr>
          <w:rFonts w:ascii="Arial" w:hAnsi="Arial"/>
          <w:sz w:val="22"/>
        </w:rPr>
        <w:t>Категории объектов (A, B, C)</w:t>
      </w:r>
    </w:p>
    <w:p>
      <w:pPr>
        <w:pStyle w:val="ListBullet"/>
      </w:pPr>
      <w:r>
        <w:rPr>
          <w:rFonts w:ascii="Arial" w:hAnsi="Arial"/>
          <w:sz w:val="22"/>
        </w:rPr>
        <w:t>Посетитель / гость</w:t>
      </w:r>
    </w:p>
    <w:p>
      <w:pPr>
        <w:pStyle w:val="ListBullet"/>
      </w:pPr>
      <w:r>
        <w:rPr>
          <w:rFonts w:ascii="Arial" w:hAnsi="Arial"/>
          <w:sz w:val="22"/>
        </w:rPr>
        <w:t>Ответственное лицо объекта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2. КЛАССИФИКАЦИЯ ОБЪЕКТОВ</w:t>
      </w:r>
    </w:p>
    <w:p>
      <w:pPr>
        <w:pStyle w:val="ListBullet"/>
      </w:pPr>
      <w:r>
        <w:rPr>
          <w:rFonts w:ascii="Arial" w:hAnsi="Arial"/>
          <w:sz w:val="22"/>
        </w:rPr>
        <w:t>2.1 Категория A (крупные объекты, &gt;3000 м²)</w:t>
      </w:r>
    </w:p>
    <w:p>
      <w:pPr>
        <w:pStyle w:val="ListBullet"/>
      </w:pPr>
      <w:r>
        <w:rPr>
          <w:rFonts w:ascii="Arial" w:hAnsi="Arial"/>
          <w:sz w:val="22"/>
        </w:rPr>
        <w:t>2.2 Категория B (средние объекты, 500–3000 м²)</w:t>
      </w:r>
    </w:p>
    <w:p>
      <w:pPr>
        <w:pStyle w:val="ListBullet"/>
      </w:pPr>
      <w:r>
        <w:rPr>
          <w:rFonts w:ascii="Arial" w:hAnsi="Arial"/>
          <w:sz w:val="22"/>
        </w:rPr>
        <w:t>2.3 Категория C (малые объекты, до 500 м²)</w:t>
      </w:r>
    </w:p>
    <w:p>
      <w:pPr>
        <w:pStyle w:val="ListBullet"/>
      </w:pPr>
      <w:r>
        <w:rPr>
          <w:rFonts w:ascii="Arial" w:hAnsi="Arial"/>
          <w:sz w:val="22"/>
        </w:rPr>
        <w:t>2.4 Специальные типы объектов (аквапарки, батутные парки, картодромы)</w:t>
      </w:r>
    </w:p>
    <w:p>
      <w:pPr>
        <w:pStyle w:val="ListBullet"/>
      </w:pPr>
      <w:r>
        <w:rPr>
          <w:rFonts w:ascii="Arial" w:hAnsi="Arial"/>
          <w:sz w:val="22"/>
        </w:rPr>
        <w:t>2.5 Таблица дифференциации требований по категориям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3. ТРЕБОВАНИЯ К БЕЗОПАСНОСТИ</w:t>
      </w:r>
    </w:p>
    <w:p>
      <w:pPr>
        <w:pStyle w:val="ListBullet"/>
      </w:pPr>
      <w:r>
        <w:rPr>
          <w:rFonts w:ascii="Arial" w:hAnsi="Arial"/>
          <w:sz w:val="22"/>
        </w:rPr>
        <w:t>3.1 Техническая безопасность аттракционов и оборудования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3.1.1 Допуск к эксплуатации: наличие сертификата или декларации соответствия по ТР ЕАЭС 038/2016; регистрация в Ростехнадзоре (для аттракционов, подпадающих под реестр ОПО)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3.1.2 Периодичность технического обслуживания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3.1.3 Технические освидетельствования (в соответствии со сроками, установленными ТР ЕАЭС 038/2016 и изготовителем)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3.1.4 Журнал ТО и дефектов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3.1.5 Действия при обнаружении неисправности</w:t>
      </w:r>
    </w:p>
    <w:p>
      <w:pPr>
        <w:pStyle w:val="ListBullet"/>
      </w:pPr>
      <w:r>
        <w:rPr>
          <w:rFonts w:ascii="Arial" w:hAnsi="Arial"/>
          <w:sz w:val="22"/>
        </w:rPr>
        <w:t>3.2 Специальные требования по типам объектов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3.2.1 Водные объекты (аквапарки, бассейны)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3.2.2 Батутные зоны и активити-парки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3.2.3 Механические аттракционы (требования ТР ЕАЭС 038/2016)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3.2.4 Детские игровые площадки и игровые зоны (требования ТР ЕАЭС 042/2017: покрытия, ударопоглощение, отсутствие защемляющих элементов, маркировка)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3.2.5 Игровые автоматы и интерактивные зоны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3.2.6 Верёвочные парки и скалодромы</w:t>
      </w:r>
    </w:p>
    <w:p>
      <w:pPr>
        <w:pStyle w:val="ListBullet"/>
      </w:pPr>
      <w:r>
        <w:rPr>
          <w:rFonts w:ascii="Arial" w:hAnsi="Arial"/>
          <w:sz w:val="22"/>
        </w:rPr>
        <w:t>3.3 Пожарная безопасность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Соответствие требованиям МЧС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Специфика объектов с массовым пребыванием детей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Планы эвакуации (с учётом детской аудитории)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Частота учебных эвакуаций</w:t>
      </w:r>
    </w:p>
    <w:p>
      <w:pPr>
        <w:pStyle w:val="ListBullet"/>
      </w:pPr>
      <w:r>
        <w:rPr>
          <w:rFonts w:ascii="Arial" w:hAnsi="Arial"/>
          <w:sz w:val="22"/>
        </w:rPr>
        <w:t>3.4 Санитарные и гигиенические требования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3.4.1 Общие требования к чистоте объекта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3.4.2 Дезинфекция оборудования (графики, средства)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3.4.3 Требования к воде (аквапарки, бассейны)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3.4.4 Гигиена пищевого блока (при наличии)</w:t>
      </w:r>
    </w:p>
    <w:p>
      <w:pPr>
        <w:pStyle w:val="ListBullet"/>
      </w:pPr>
      <w:r>
        <w:rPr>
          <w:rFonts w:ascii="Arial" w:hAnsi="Arial"/>
          <w:sz w:val="22"/>
        </w:rPr>
        <w:t>3.5 Требования к территории и инфраструктуре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Освещённость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Покрытия (травматобезопасность)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Ограждения и зонирование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Доступная среда (инклюзивность)</w:t>
      </w:r>
    </w:p>
    <w:p>
      <w:pPr>
        <w:pStyle w:val="ListBullet"/>
      </w:pPr>
      <w:r>
        <w:rPr>
          <w:rFonts w:ascii="Arial" w:hAnsi="Arial"/>
          <w:sz w:val="22"/>
        </w:rPr>
        <w:t>3.6 Ограничения доступа (по возрасту, росту, весу, здоровью)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Обязательные таблицы ограничений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Видимость и понятность для посетителей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Ответственность оператора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4. СИСТЕМА УПРАВЛЕНИЯ ОБЪЕКТОМ</w:t>
      </w:r>
    </w:p>
    <w:p>
      <w:pPr>
        <w:pStyle w:val="ListBullet"/>
      </w:pPr>
      <w:r>
        <w:rPr>
          <w:rFonts w:ascii="Arial" w:hAnsi="Arial"/>
          <w:sz w:val="22"/>
        </w:rPr>
        <w:t>4.1 Организационная структура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Обязательные должности (ответственный за безопасность, технический специалист)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Распределение ответственности</w:t>
      </w:r>
    </w:p>
    <w:p>
      <w:pPr>
        <w:pStyle w:val="ListBullet"/>
      </w:pPr>
      <w:r>
        <w:rPr>
          <w:rFonts w:ascii="Arial" w:hAnsi="Arial"/>
          <w:sz w:val="22"/>
        </w:rPr>
        <w:t>4.2 Обязательная документация объекта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Перечень обязательных документов (лицензии, разрешения, журналы)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Сроки актуализации документов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Хранение и доступность</w:t>
      </w:r>
    </w:p>
    <w:p>
      <w:pPr>
        <w:pStyle w:val="ListBullet"/>
      </w:pPr>
      <w:r>
        <w:rPr>
          <w:rFonts w:ascii="Arial" w:hAnsi="Arial"/>
          <w:sz w:val="22"/>
        </w:rPr>
        <w:t>4.3 Управление рисками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Реестр рисков объекта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Оценка вероятности и последствий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Планы снижения рисков</w:t>
      </w:r>
    </w:p>
    <w:p>
      <w:pPr>
        <w:pStyle w:val="ListBullet"/>
      </w:pPr>
      <w:r>
        <w:rPr>
          <w:rFonts w:ascii="Arial" w:hAnsi="Arial"/>
          <w:sz w:val="22"/>
        </w:rPr>
        <w:t>4.4 Инцидент-менеджмент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4.4.1 Классификация инцидентов (по тяжести)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4.4.2 Протокол действий при инциденте (алгоритм)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4.4.3 Обязательная регистрация всех инцидентов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4.4.4 Расследование инцидентов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4.4.5 Уведомление СРО (сроки, форма)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4.4.6 Анализ и профилактика повторения</w:t>
      </w:r>
    </w:p>
    <w:p>
      <w:pPr>
        <w:pStyle w:val="ListBullet"/>
      </w:pPr>
      <w:r>
        <w:rPr>
          <w:rFonts w:ascii="Arial" w:hAnsi="Arial"/>
          <w:sz w:val="22"/>
        </w:rPr>
        <w:t>4.5 Взаимодействие с надзорными органами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Порядок хранения предписаний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Сроки устранения нарушений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Уведомление СРО о проверках и их результатах</w:t>
      </w:r>
    </w:p>
    <w:p>
      <w:pPr>
        <w:pStyle w:val="ListBullet"/>
      </w:pPr>
      <w:r>
        <w:rPr>
          <w:rFonts w:ascii="Arial" w:hAnsi="Arial"/>
          <w:sz w:val="22"/>
        </w:rPr>
        <w:t>4.6 Страхование гражданской ответственности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Минимальные страховые суммы (по категориям объекта)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Обязательный перечень страхуемых рисков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Подтверждение наличия полиса в СРО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5. ТРЕБОВАНИЯ К ПЕРСОНАЛУ</w:t>
      </w:r>
    </w:p>
    <w:p>
      <w:pPr>
        <w:pStyle w:val="ListBullet"/>
      </w:pPr>
      <w:r>
        <w:rPr>
          <w:rFonts w:ascii="Arial" w:hAnsi="Arial"/>
          <w:sz w:val="22"/>
        </w:rPr>
        <w:t>5.1 Минимальная численность персонала (по категориям объекта)</w:t>
      </w:r>
    </w:p>
    <w:p>
      <w:pPr>
        <w:pStyle w:val="ListBullet"/>
      </w:pPr>
      <w:r>
        <w:rPr>
          <w:rFonts w:ascii="Arial" w:hAnsi="Arial"/>
          <w:sz w:val="22"/>
        </w:rPr>
        <w:t>5.2 Квалификационные требования по должностям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Директор / управляющий объектом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Ответственный за безопасность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Технический специалист / механик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Операторы аттракционов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Спасатель (водные объекты — обязательно)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Охрана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Уборщики / клинеры</w:t>
      </w:r>
    </w:p>
    <w:p>
      <w:pPr>
        <w:pStyle w:val="ListBullet"/>
      </w:pPr>
      <w:r>
        <w:rPr>
          <w:rFonts w:ascii="Arial" w:hAnsi="Arial"/>
          <w:sz w:val="22"/>
        </w:rPr>
        <w:t>5.3 Обязательные инструктажи и обучение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Вводный инструктаж (при приёме)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Первичный на рабочем месте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Повторные инструктажи (периодичность)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Обучение оказанию первой помощи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Пожарно-технический минимум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Специализированное обучение (операторы аттракционов)</w:t>
      </w:r>
    </w:p>
    <w:p>
      <w:pPr>
        <w:pStyle w:val="ListBullet"/>
      </w:pPr>
      <w:r>
        <w:rPr>
          <w:rFonts w:ascii="Arial" w:hAnsi="Arial"/>
          <w:sz w:val="22"/>
        </w:rPr>
        <w:t>5.4 Аттестация и допуск к работе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Форма проверки знаний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Периодичность аттестации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Действия при непрохождении аттестации</w:t>
      </w:r>
    </w:p>
    <w:p>
      <w:pPr>
        <w:pStyle w:val="ListBullet"/>
      </w:pPr>
      <w:r>
        <w:rPr>
          <w:rFonts w:ascii="Arial" w:hAnsi="Arial"/>
          <w:sz w:val="22"/>
        </w:rPr>
        <w:t>5.5 Внешний вид и поведение персонала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Дресс-код (форма, бейджи)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Стандарты общения с посетителями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Запрещённые действия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6. КАЧЕСТВО УСЛУГ И КЛИЕНТСКИЙ ОПЫТ</w:t>
      </w:r>
    </w:p>
    <w:p>
      <w:pPr>
        <w:pStyle w:val="ListBullet"/>
      </w:pPr>
      <w:r>
        <w:rPr>
          <w:rFonts w:ascii="Arial" w:hAnsi="Arial"/>
          <w:sz w:val="22"/>
        </w:rPr>
        <w:t>6.1 Информирование посетителей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Обязательная информация на объекте (цены, правила, ограничения)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Форматы предоставления информации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Информация о противопоказаниях</w:t>
      </w:r>
    </w:p>
    <w:p>
      <w:pPr>
        <w:pStyle w:val="ListBullet"/>
      </w:pPr>
      <w:r>
        <w:rPr>
          <w:rFonts w:ascii="Arial" w:hAnsi="Arial"/>
          <w:sz w:val="22"/>
        </w:rPr>
        <w:t>6.2 Стандарты обслуживания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Время реакции персонала на обращения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Стандарт встречи и проводов гостя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Работа с очередями</w:t>
      </w:r>
    </w:p>
    <w:p>
      <w:pPr>
        <w:pStyle w:val="ListBullet"/>
      </w:pPr>
      <w:r>
        <w:rPr>
          <w:rFonts w:ascii="Arial" w:hAnsi="Arial"/>
          <w:sz w:val="22"/>
        </w:rPr>
        <w:t>6.3 Работа с обращениями и жалобами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Обязательное наличие канала обратной связи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Сроки ответа на жалобы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Регистрация и анализ жалоб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Уведомление СРО о системных проблемах</w:t>
      </w:r>
    </w:p>
    <w:p>
      <w:pPr>
        <w:pStyle w:val="ListBullet"/>
      </w:pPr>
      <w:r>
        <w:rPr>
          <w:rFonts w:ascii="Arial" w:hAnsi="Arial"/>
          <w:sz w:val="22"/>
        </w:rPr>
        <w:t>6.4 Измерение удовлетворённости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Обязательный замер NPS (не реже 1 раза в квартал)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Пороговые значения (минимально допустимый NPS)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Предоставление данных в СРО</w:t>
      </w:r>
    </w:p>
    <w:p>
      <w:pPr>
        <w:pStyle w:val="ListBullet"/>
      </w:pPr>
      <w:r>
        <w:rPr>
          <w:rFonts w:ascii="Arial" w:hAnsi="Arial"/>
          <w:sz w:val="22"/>
        </w:rPr>
        <w:t>6.5 Ценообразование и прозрачность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Обязательное наличие прайс-листа в открытом доступе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Запрет скрытых сборов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Условия возврата (при закрытии аттракционов)</w:t>
      </w:r>
    </w:p>
    <w:p>
      <w:pPr>
        <w:pStyle w:val="ListBullet"/>
      </w:pPr>
      <w:r>
        <w:rPr>
          <w:rFonts w:ascii="Arial" w:hAnsi="Arial"/>
          <w:sz w:val="22"/>
        </w:rPr>
        <w:t>6.6 Доступность для людей с ОВЗ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Минимальные требования по инклюзивности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7. ТРЕБОВАНИЯ К ОБЪЕКТУ (ИНФРАСТРУКТУРА)</w:t>
      </w:r>
    </w:p>
    <w:p>
      <w:pPr>
        <w:pStyle w:val="ListBullet"/>
      </w:pPr>
      <w:r>
        <w:rPr>
          <w:rFonts w:ascii="Arial" w:hAnsi="Arial"/>
          <w:sz w:val="22"/>
        </w:rPr>
        <w:t>7.1 Помещения и территория</w:t>
      </w:r>
    </w:p>
    <w:p>
      <w:pPr>
        <w:pStyle w:val="ListBullet"/>
      </w:pPr>
      <w:r>
        <w:rPr>
          <w:rFonts w:ascii="Arial" w:hAnsi="Arial"/>
          <w:sz w:val="22"/>
        </w:rPr>
        <w:t>7.2 Техническое оснащение (медпункт, видеонаблюдение, связь)</w:t>
      </w:r>
    </w:p>
    <w:p>
      <w:pPr>
        <w:pStyle w:val="ListBullet"/>
      </w:pPr>
      <w:r>
        <w:rPr>
          <w:rFonts w:ascii="Arial" w:hAnsi="Arial"/>
          <w:sz w:val="22"/>
        </w:rPr>
        <w:t>7.3 Парковка и логистика посетителей</w:t>
      </w:r>
    </w:p>
    <w:p>
      <w:pPr>
        <w:pStyle w:val="ListBullet"/>
      </w:pPr>
      <w:r>
        <w:rPr>
          <w:rFonts w:ascii="Arial" w:hAnsi="Arial"/>
          <w:sz w:val="22"/>
        </w:rPr>
        <w:t>7.4 Объекты питания на территории (при наличии)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8. ЭКОЛОГИЧЕСКИЕ И СОЦИАЛЬНЫЕ ТРЕБОВАНИЯ</w:t>
      </w:r>
    </w:p>
    <w:p>
      <w:pPr>
        <w:pStyle w:val="ListBullet"/>
      </w:pPr>
      <w:r>
        <w:rPr>
          <w:rFonts w:ascii="Arial" w:hAnsi="Arial"/>
          <w:sz w:val="22"/>
        </w:rPr>
        <w:t>8.1 Обращение с отходами</w:t>
      </w:r>
    </w:p>
    <w:p>
      <w:pPr>
        <w:pStyle w:val="ListBullet"/>
      </w:pPr>
      <w:r>
        <w:rPr>
          <w:rFonts w:ascii="Arial" w:hAnsi="Arial"/>
          <w:sz w:val="22"/>
        </w:rPr>
        <w:t>8.2 Уровень шума (внешний контур)</w:t>
      </w:r>
    </w:p>
    <w:p>
      <w:pPr>
        <w:pStyle w:val="ListBullet"/>
      </w:pPr>
      <w:r>
        <w:rPr>
          <w:rFonts w:ascii="Arial" w:hAnsi="Arial"/>
          <w:sz w:val="22"/>
        </w:rPr>
        <w:t>8.3 Социальная ответственность (льготы для детей с ОВЗ, многодетных семей)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ПРИЛОЖЕНИЯ К ДОКУМЕНТУ 1</w:t>
      </w:r>
    </w:p>
    <w:p>
      <w:pPr>
        <w:pStyle w:val="ListBullet"/>
      </w:pPr>
      <w:r>
        <w:rPr>
          <w:rFonts w:ascii="Arial" w:hAnsi="Arial"/>
          <w:sz w:val="22"/>
        </w:rPr>
        <w:t>Приложение А. Перечень обязательных документов объекта</w:t>
      </w:r>
    </w:p>
    <w:p>
      <w:pPr>
        <w:pStyle w:val="ListBullet"/>
      </w:pPr>
      <w:r>
        <w:rPr>
          <w:rFonts w:ascii="Arial" w:hAnsi="Arial"/>
          <w:sz w:val="22"/>
        </w:rPr>
        <w:t>Приложение Б. Квалификационная матрица персонала</w:t>
      </w:r>
    </w:p>
    <w:p>
      <w:pPr>
        <w:pStyle w:val="ListBullet"/>
      </w:pPr>
      <w:r>
        <w:rPr>
          <w:rFonts w:ascii="Arial" w:hAnsi="Arial"/>
          <w:sz w:val="22"/>
        </w:rPr>
        <w:t>Приложение В. Алгоритм действий при инциденте</w:t>
      </w:r>
    </w:p>
    <w:p>
      <w:pPr>
        <w:pStyle w:val="ListBullet"/>
      </w:pPr>
      <w:r>
        <w:rPr>
          <w:rFonts w:ascii="Arial" w:hAnsi="Arial"/>
          <w:sz w:val="22"/>
        </w:rPr>
        <w:t>Приложение Г. Минимальные страховые суммы по категориям</w:t>
      </w:r>
    </w:p>
    <w:p>
      <w:pPr>
        <w:pStyle w:val="ListBullet"/>
      </w:pPr>
      <w:r>
        <w:rPr>
          <w:rFonts w:ascii="Arial" w:hAnsi="Arial"/>
          <w:sz w:val="22"/>
        </w:rPr>
        <w:t>Приложение Д. Таблица дифференциации требований (A/B/C)</w:t>
      </w:r>
    </w:p>
    <w:p>
      <w:pPr>
        <w:pStyle w:val="ListBullet"/>
      </w:pPr>
      <w:r>
        <w:rPr>
          <w:rFonts w:ascii="Arial" w:hAnsi="Arial"/>
          <w:sz w:val="22"/>
        </w:rPr>
        <w:t>Приложение Е. Форма уведомления СРО об инциденте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/>
          <w:color w:val="1F497D"/>
          <w:sz w:val="28"/>
        </w:rPr>
        <w:t>ДОКУМЕНТ 2: Правила контроля выполнения стандарта СРО</w:t>
      </w:r>
    </w:p>
    <w:p>
      <w:pPr>
        <w:pStyle w:val="Heading3"/>
      </w:pPr>
      <w:r>
        <w:rPr>
          <w:rFonts w:ascii="Arial" w:hAnsi="Arial"/>
          <w:color w:val="2E74B5"/>
          <w:sz w:val="24"/>
        </w:rPr>
        <w:t>Рабочее название</w:t>
      </w:r>
    </w:p>
    <w:p>
      <w:r>
        <w:rPr>
          <w:rFonts w:ascii="Arial" w:hAnsi="Arial"/>
          <w:sz w:val="22"/>
        </w:rPr>
        <w:t>ПК СРО-РИ-002-20XX «Правила контроля деятельности членов СРО в сфере семейных развлечений»</w:t>
      </w:r>
    </w:p>
    <w:p>
      <w:pPr>
        <w:pStyle w:val="Heading3"/>
      </w:pPr>
      <w:r>
        <w:rPr>
          <w:rFonts w:ascii="Arial" w:hAnsi="Arial"/>
          <w:color w:val="2E74B5"/>
          <w:sz w:val="24"/>
        </w:rPr>
        <w:t>Структура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ПРЕАМБУЛА</w:t>
      </w:r>
    </w:p>
    <w:p>
      <w:pPr>
        <w:pStyle w:val="ListBullet"/>
      </w:pPr>
      <w:r>
        <w:rPr>
          <w:rFonts w:ascii="Arial" w:hAnsi="Arial"/>
          <w:sz w:val="22"/>
        </w:rPr>
        <w:t>Цели системы контроля</w:t>
      </w:r>
    </w:p>
    <w:p>
      <w:pPr>
        <w:pStyle w:val="ListBullet"/>
      </w:pPr>
      <w:r>
        <w:rPr>
          <w:rFonts w:ascii="Arial" w:hAnsi="Arial"/>
          <w:sz w:val="22"/>
        </w:rPr>
        <w:t>Принципы контроля (независимость, объективность, соразмерность)</w:t>
      </w:r>
    </w:p>
    <w:p>
      <w:pPr>
        <w:pStyle w:val="ListBullet"/>
      </w:pPr>
      <w:r>
        <w:rPr>
          <w:rFonts w:ascii="Arial" w:hAnsi="Arial"/>
          <w:sz w:val="22"/>
        </w:rPr>
        <w:t>Правовая основа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1. ОРГАНЫ И СУБЪЕКТЫ КОНТРОЛЯ</w:t>
      </w:r>
    </w:p>
    <w:p>
      <w:pPr>
        <w:pStyle w:val="ListBullet"/>
      </w:pPr>
      <w:r>
        <w:rPr>
          <w:rFonts w:ascii="Arial" w:hAnsi="Arial"/>
          <w:sz w:val="22"/>
        </w:rPr>
        <w:t>1.1 Контрольный комитет СРО (состав, полномочия)</w:t>
      </w:r>
    </w:p>
    <w:p>
      <w:pPr>
        <w:pStyle w:val="ListBullet"/>
      </w:pPr>
      <w:r>
        <w:rPr>
          <w:rFonts w:ascii="Arial" w:hAnsi="Arial"/>
          <w:sz w:val="22"/>
        </w:rPr>
        <w:t>1.2 Инспекторы СРО (требования, назначение, ротация)</w:t>
      </w:r>
    </w:p>
    <w:p>
      <w:pPr>
        <w:pStyle w:val="ListBullet"/>
      </w:pPr>
      <w:r>
        <w:rPr>
          <w:rFonts w:ascii="Arial" w:hAnsi="Arial"/>
          <w:sz w:val="22"/>
        </w:rPr>
        <w:t>1.3 Привлечённые эксперты (когда и как привлекаются)</w:t>
      </w:r>
    </w:p>
    <w:p>
      <w:pPr>
        <w:pStyle w:val="ListBullet"/>
      </w:pPr>
      <w:r>
        <w:rPr>
          <w:rFonts w:ascii="Arial" w:hAnsi="Arial"/>
          <w:sz w:val="22"/>
        </w:rPr>
        <w:t>1.4 Независимость инспекторов (конфликт интересов)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2. ВИДЫ КОНТРОЛЬНЫХ МЕРОПРИЯТИЙ</w:t>
      </w:r>
    </w:p>
    <w:p>
      <w:r>
        <w:rPr>
          <w:rFonts w:ascii="Arial" w:hAnsi="Arial"/>
          <w:sz w:val="22"/>
        </w:rPr>
        <w:t>##### 2.1 Плановые проверки</w:t>
      </w:r>
    </w:p>
    <w:p>
      <w:pPr>
        <w:pStyle w:val="ListBullet"/>
      </w:pPr>
      <w:r>
        <w:rPr>
          <w:rFonts w:ascii="Arial" w:hAnsi="Arial"/>
          <w:sz w:val="22"/>
        </w:rPr>
        <w:t>Периодичность: 1 раз в год для всех членов СРО</w:t>
      </w:r>
    </w:p>
    <w:p>
      <w:pPr>
        <w:pStyle w:val="ListBullet"/>
      </w:pPr>
      <w:r>
        <w:rPr>
          <w:rFonts w:ascii="Arial" w:hAnsi="Arial"/>
          <w:sz w:val="22"/>
        </w:rPr>
        <w:t>Расширенная для объектов с нарушениями: 2 раза в год</w:t>
      </w:r>
    </w:p>
    <w:p>
      <w:pPr>
        <w:pStyle w:val="ListBullet"/>
      </w:pPr>
      <w:r>
        <w:rPr>
          <w:rFonts w:ascii="Arial" w:hAnsi="Arial"/>
          <w:sz w:val="22"/>
        </w:rPr>
        <w:t>Формирование плана проверок (до 1 декабря на следующий год)</w:t>
      </w:r>
    </w:p>
    <w:p>
      <w:pPr>
        <w:pStyle w:val="ListBullet"/>
      </w:pPr>
      <w:r>
        <w:rPr>
          <w:rFonts w:ascii="Arial" w:hAnsi="Arial"/>
          <w:sz w:val="22"/>
        </w:rPr>
        <w:t>Уведомление члена СРО: не позднее чем за 10 рабочих дней</w:t>
      </w:r>
    </w:p>
    <w:p>
      <w:pPr>
        <w:pStyle w:val="ListBullet"/>
      </w:pPr>
      <w:r>
        <w:rPr>
          <w:rFonts w:ascii="Arial" w:hAnsi="Arial"/>
          <w:sz w:val="22"/>
        </w:rPr>
        <w:t>Продолжительность: 2–5 рабочих дней (в зависимости от категории объекта)</w:t>
      </w:r>
    </w:p>
    <w:p>
      <w:pPr>
        <w:pStyle w:val="ListBullet"/>
      </w:pPr>
      <w:r>
        <w:rPr>
          <w:rFonts w:ascii="Arial" w:hAnsi="Arial"/>
          <w:sz w:val="22"/>
        </w:rPr>
        <w:t>Форма: выездная (на объекте) + документарная</w:t>
      </w:r>
    </w:p>
    <w:p>
      <w:r>
        <w:rPr>
          <w:rFonts w:ascii="Arial" w:hAnsi="Arial"/>
          <w:sz w:val="22"/>
        </w:rPr>
        <w:t>##### 2.2 Внеплановые проверки</w:t>
      </w:r>
    </w:p>
    <w:p>
      <w:pPr>
        <w:pStyle w:val="ListBullet"/>
      </w:pPr>
      <w:r>
        <w:rPr>
          <w:rFonts w:ascii="Arial" w:hAnsi="Arial"/>
          <w:sz w:val="22"/>
        </w:rPr>
        <w:t>Основания для назначения: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Поступление жалоб от посетителей (более 3 за квартал на один объект)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Инцидент с пострадавшим (немедленно или в течение 5 дней)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Предписание надзорного органа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Истечение срока устранения ранее выявленных нарушений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Анонимное обращение (при наличии конкретных фактов)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Решение Правления СРО</w:t>
      </w:r>
    </w:p>
    <w:p>
      <w:pPr>
        <w:pStyle w:val="ListBullet"/>
      </w:pPr>
      <w:r>
        <w:rPr>
          <w:rFonts w:ascii="Arial" w:hAnsi="Arial"/>
          <w:sz w:val="22"/>
        </w:rPr>
        <w:t>Уведомление: за 24 часа (кроме случаев угрозы безопасности — без уведомления)</w:t>
      </w:r>
    </w:p>
    <w:p>
      <w:pPr>
        <w:pStyle w:val="ListBullet"/>
      </w:pPr>
      <w:r>
        <w:rPr>
          <w:rFonts w:ascii="Arial" w:hAnsi="Arial"/>
          <w:sz w:val="22"/>
        </w:rPr>
        <w:t>Продолжительность: 1–3 рабочих дня</w:t>
      </w:r>
    </w:p>
    <w:p>
      <w:r>
        <w:rPr>
          <w:rFonts w:ascii="Arial" w:hAnsi="Arial"/>
          <w:sz w:val="22"/>
        </w:rPr>
        <w:t>##### 2.3 Мониторинговые мероприятия</w:t>
      </w:r>
    </w:p>
    <w:p>
      <w:pPr>
        <w:pStyle w:val="ListBullet"/>
      </w:pPr>
      <w:r>
        <w:rPr>
          <w:rFonts w:ascii="Arial" w:hAnsi="Arial"/>
          <w:sz w:val="22"/>
        </w:rPr>
        <w:t>Mystery Shopping (тайный покупатель): 2 раза в год для объектов B и C, 4 раза в год для A</w:t>
      </w:r>
    </w:p>
    <w:p>
      <w:pPr>
        <w:pStyle w:val="ListBullet"/>
      </w:pPr>
      <w:r>
        <w:rPr>
          <w:rFonts w:ascii="Arial" w:hAnsi="Arial"/>
          <w:sz w:val="22"/>
        </w:rPr>
        <w:t>Дистанционный мониторинг: анализ отзывов на платформах (2ГИС, Яндекс.Карты, Google) — ежемесячно</w:t>
      </w:r>
    </w:p>
    <w:p>
      <w:pPr>
        <w:pStyle w:val="ListBullet"/>
      </w:pPr>
      <w:r>
        <w:rPr>
          <w:rFonts w:ascii="Arial" w:hAnsi="Arial"/>
          <w:sz w:val="22"/>
        </w:rPr>
        <w:t>Мониторинг жалоб в надзорные органы — ежеквартально</w:t>
      </w:r>
    </w:p>
    <w:p>
      <w:r>
        <w:rPr>
          <w:rFonts w:ascii="Arial" w:hAnsi="Arial"/>
          <w:sz w:val="22"/>
        </w:rPr>
        <w:t>##### 2.4 Документарные проверки</w:t>
      </w:r>
    </w:p>
    <w:p>
      <w:pPr>
        <w:pStyle w:val="ListBullet"/>
      </w:pPr>
      <w:r>
        <w:rPr>
          <w:rFonts w:ascii="Arial" w:hAnsi="Arial"/>
          <w:sz w:val="22"/>
        </w:rPr>
        <w:t>Проверка обязательных документов без выезда</w:t>
      </w:r>
    </w:p>
    <w:p>
      <w:pPr>
        <w:pStyle w:val="ListBullet"/>
      </w:pPr>
      <w:r>
        <w:rPr>
          <w:rFonts w:ascii="Arial" w:hAnsi="Arial"/>
          <w:sz w:val="22"/>
        </w:rPr>
        <w:t>Проводится ежегодно как часть плановой проверки</w:t>
      </w:r>
    </w:p>
    <w:p>
      <w:pPr>
        <w:pStyle w:val="ListBullet"/>
      </w:pPr>
      <w:r>
        <w:rPr>
          <w:rFonts w:ascii="Arial" w:hAnsi="Arial"/>
          <w:sz w:val="22"/>
        </w:rPr>
        <w:t>Может проводиться отдельно при точечных запросах</w:t>
      </w:r>
    </w:p>
    <w:p>
      <w:r>
        <w:rPr>
          <w:rFonts w:ascii="Arial" w:hAnsi="Arial"/>
          <w:sz w:val="22"/>
        </w:rPr>
        <w:t>##### 2.5 Самооценка (самодекларирование)</w:t>
      </w:r>
    </w:p>
    <w:p>
      <w:pPr>
        <w:pStyle w:val="ListBullet"/>
      </w:pPr>
      <w:r>
        <w:rPr>
          <w:rFonts w:ascii="Arial" w:hAnsi="Arial"/>
          <w:sz w:val="22"/>
        </w:rPr>
        <w:t>Ежегодный отчёт члена СРО по форме СРО</w:t>
      </w:r>
    </w:p>
    <w:p>
      <w:pPr>
        <w:pStyle w:val="ListBullet"/>
      </w:pPr>
      <w:r>
        <w:rPr>
          <w:rFonts w:ascii="Arial" w:hAnsi="Arial"/>
          <w:sz w:val="22"/>
        </w:rPr>
        <w:t>Срок предоставления: до 1 февраля за истекший год</w:t>
      </w:r>
    </w:p>
    <w:p>
      <w:pPr>
        <w:pStyle w:val="ListBullet"/>
      </w:pPr>
      <w:r>
        <w:rPr>
          <w:rFonts w:ascii="Arial" w:hAnsi="Arial"/>
          <w:sz w:val="22"/>
        </w:rPr>
        <w:t>Форма: заполнение структурированного опросника с приложением документов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3. ПОРЯДОК ПРОВЕДЕНИЯ ПЛАНОВОЙ ПРОВЕРКИ</w:t>
      </w:r>
    </w:p>
    <w:p>
      <w:pPr>
        <w:pStyle w:val="ListBullet"/>
      </w:pPr>
      <w:r>
        <w:rPr>
          <w:rFonts w:ascii="Arial" w:hAnsi="Arial"/>
          <w:sz w:val="22"/>
        </w:rPr>
        <w:t>3.1 Подготовка к проверке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Формирование инспекционной группы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Изучение предыдущих актов проверок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Анализ самоотчёта члена СРО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Запрос предварительных документов (перечень в Приложении)</w:t>
      </w:r>
    </w:p>
    <w:p>
      <w:pPr>
        <w:pStyle w:val="ListBullet"/>
      </w:pPr>
      <w:r>
        <w:rPr>
          <w:rFonts w:ascii="Arial" w:hAnsi="Arial"/>
          <w:sz w:val="22"/>
        </w:rPr>
        <w:t>3.2 Открытие проверки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Предъявление полномочий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Брифинг с руководством объекта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Согласование плана проверки</w:t>
      </w:r>
    </w:p>
    <w:p>
      <w:pPr>
        <w:pStyle w:val="ListBullet"/>
      </w:pPr>
      <w:r>
        <w:rPr>
          <w:rFonts w:ascii="Arial" w:hAnsi="Arial"/>
          <w:sz w:val="22"/>
        </w:rPr>
        <w:t>3.3 Проверочные действия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Осмотр объекта (по чек-листу, Приложение А)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Проверка документации (по перечню, Приложение Б)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Интервью с персоналом (не менее 3 сотрудников разных должностей)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Проверка журналов (ТО, инцидентов, инструктажей)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Тестирование знаний персонала (выборочно, до 5 человек)</w:t>
      </w:r>
    </w:p>
    <w:p>
      <w:pPr>
        <w:pStyle w:val="ListBullet"/>
      </w:pPr>
      <w:r>
        <w:rPr>
          <w:rFonts w:ascii="Arial" w:hAnsi="Arial"/>
          <w:sz w:val="22"/>
        </w:rPr>
        <w:t>3.4 Фиксация результатов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Фотофиксация (с согласия и уведомления)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Заполнение чек-листов в режиме реального времени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Предварительное обсуждение с руководством объекта</w:t>
      </w:r>
    </w:p>
    <w:p>
      <w:pPr>
        <w:pStyle w:val="ListBullet"/>
      </w:pPr>
      <w:r>
        <w:rPr>
          <w:rFonts w:ascii="Arial" w:hAnsi="Arial"/>
          <w:sz w:val="22"/>
        </w:rPr>
        <w:t>3.5 Закрытие проверки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Итоговый брифинг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Ознакомление с предварительными выводами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Подписание акта (или отказ от подписи с фиксацией)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4. ОЦЕНКА И СИСТЕМА РЕЙТИНГОВАНИЯ</w:t>
      </w:r>
    </w:p>
    <w:p>
      <w:pPr>
        <w:pStyle w:val="ListBullet"/>
      </w:pPr>
      <w:r>
        <w:rPr>
          <w:rFonts w:ascii="Arial" w:hAnsi="Arial"/>
          <w:sz w:val="22"/>
        </w:rPr>
        <w:t>4.1 Критерии оценки (весовые коэффициенты)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Группа требований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Вес</w:t>
            </w:r>
          </w:p>
        </w:tc>
      </w:tr>
      <w:tr>
        <w:tc>
          <w:tcPr>
            <w:tcW w:type="dxa" w:w="4320"/>
          </w:tcPr>
          <w:p>
            <w:r>
              <w:t>Безопасность (технич.)</w:t>
            </w:r>
          </w:p>
        </w:tc>
        <w:tc>
          <w:tcPr>
            <w:tcW w:type="dxa" w:w="4320"/>
          </w:tcPr>
          <w:p>
            <w:r>
              <w:t>35%</w:t>
            </w:r>
          </w:p>
        </w:tc>
      </w:tr>
      <w:tr>
        <w:tc>
          <w:tcPr>
            <w:tcW w:type="dxa" w:w="4320"/>
          </w:tcPr>
          <w:p>
            <w:r>
              <w:t>Система управления</w:t>
            </w:r>
          </w:p>
        </w:tc>
        <w:tc>
          <w:tcPr>
            <w:tcW w:type="dxa" w:w="4320"/>
          </w:tcPr>
          <w:p>
            <w:r>
              <w:t>25%</w:t>
            </w:r>
          </w:p>
        </w:tc>
      </w:tr>
      <w:tr>
        <w:tc>
          <w:tcPr>
            <w:tcW w:type="dxa" w:w="4320"/>
          </w:tcPr>
          <w:p>
            <w:r>
              <w:t>Персонал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Качество услуг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Инфраструктура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</w:tbl>
    <w:p/>
    <w:p>
      <w:pPr>
        <w:pStyle w:val="ListBullet"/>
      </w:pPr>
      <w:r>
        <w:rPr>
          <w:rFonts w:ascii="Arial" w:hAnsi="Arial"/>
          <w:sz w:val="22"/>
        </w:rPr>
        <w:t>4.2 Классификация нарушений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Критические (К) — непосредственная угроза жизни и здоровью. Требуют немедленного устранения или приостановки работы объекта/аттракциона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Значительные (З) — существенное отклонение от стандарта без немедленной угрозы. Срок устранения: 30 дней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Незначительные (Н) — частичное несоответствие. Срок устранения: 60 дней</w:t>
      </w:r>
    </w:p>
    <w:p>
      <w:pPr>
        <w:pStyle w:val="ListBullet"/>
      </w:pPr>
      <w:r>
        <w:rPr>
          <w:rFonts w:ascii="Arial" w:hAnsi="Arial"/>
          <w:sz w:val="22"/>
        </w:rPr>
        <w:t>4.3 Рейтинг соответствия объекта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«Соответствует полностью» — нет К и З нарушений, не более 5 Н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«Соответствует с замечаниями» — нет К, есть З до 3 нарушений, до 15 Н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«Не соответствует» — есть К нарушения или &gt;3 З нарушений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5. МЕРЫ РЕАГИРОВАНИЯ</w:t>
      </w:r>
    </w:p>
    <w:p>
      <w:pPr>
        <w:pStyle w:val="ListBullet"/>
      </w:pPr>
      <w:r>
        <w:rPr>
          <w:rFonts w:ascii="Arial" w:hAnsi="Arial"/>
          <w:sz w:val="22"/>
        </w:rPr>
        <w:t>5.1 При выявлении критических нарушений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Немедленное предписание об устранении / приостановке эксплуатации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Уведомление надзорных органов (при необходимости)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Повторная проверка через 7 дней</w:t>
      </w:r>
    </w:p>
    <w:p>
      <w:pPr>
        <w:pStyle w:val="ListBullet"/>
      </w:pPr>
      <w:r>
        <w:rPr>
          <w:rFonts w:ascii="Arial" w:hAnsi="Arial"/>
          <w:sz w:val="22"/>
        </w:rPr>
        <w:t>5.2 При значительных нарушениях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Предписание с указанием срока устранения (30 дней)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Контроль устранения (документарный + выездной)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При неустранении — переход к дисциплинарным мерам</w:t>
      </w:r>
    </w:p>
    <w:p>
      <w:pPr>
        <w:pStyle w:val="ListBullet"/>
      </w:pPr>
      <w:r>
        <w:rPr>
          <w:rFonts w:ascii="Arial" w:hAnsi="Arial"/>
          <w:sz w:val="22"/>
        </w:rPr>
        <w:t>5.3 Дисциплинарные меры (эскалация)</w:t>
      </w:r>
    </w:p>
    <w:p>
      <w:r>
        <w:rPr>
          <w:rFonts w:ascii="Arial" w:hAnsi="Arial"/>
          <w:sz w:val="22"/>
        </w:rPr>
        <w:t xml:space="preserve">  1. Предупреждение (письменное)</w:t>
      </w:r>
    </w:p>
    <w:p>
      <w:r>
        <w:rPr>
          <w:rFonts w:ascii="Arial" w:hAnsi="Arial"/>
          <w:sz w:val="22"/>
        </w:rPr>
        <w:t xml:space="preserve">  2. Штраф (из компенсационного фонда или отдельных взносов)</w:t>
      </w:r>
    </w:p>
    <w:p>
      <w:r>
        <w:rPr>
          <w:rFonts w:ascii="Arial" w:hAnsi="Arial"/>
          <w:sz w:val="22"/>
        </w:rPr>
        <w:t xml:space="preserve">  3. Обязательное прохождение аудита за счёт члена СРО</w:t>
      </w:r>
    </w:p>
    <w:p>
      <w:r>
        <w:rPr>
          <w:rFonts w:ascii="Arial" w:hAnsi="Arial"/>
          <w:sz w:val="22"/>
        </w:rPr>
        <w:t xml:space="preserve">  4. Временное ограничение права использования знака СРО</w:t>
      </w:r>
    </w:p>
    <w:p>
      <w:r>
        <w:rPr>
          <w:rFonts w:ascii="Arial" w:hAnsi="Arial"/>
          <w:sz w:val="22"/>
        </w:rPr>
        <w:t xml:space="preserve">  5. Исключение из СРО (крайняя мера, решение Общего собрания)</w:t>
      </w:r>
    </w:p>
    <w:p>
      <w:pPr>
        <w:pStyle w:val="ListBullet"/>
      </w:pPr>
      <w:r>
        <w:rPr>
          <w:rFonts w:ascii="Arial" w:hAnsi="Arial"/>
          <w:sz w:val="22"/>
        </w:rPr>
        <w:t>5.4 Апелляция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Член СРО вправе оспорить выводы в течение 10 рабочих дней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Апелляционная комиссия (не участвовавшая в проверке)</w:t>
      </w:r>
    </w:p>
    <w:p>
      <w:pPr>
        <w:pStyle w:val="ListBullet"/>
        <w:ind w:left="720"/>
      </w:pPr>
      <w:r>
        <w:rPr>
          <w:rFonts w:ascii="Arial" w:hAnsi="Arial"/>
          <w:sz w:val="20"/>
        </w:rPr>
        <w:t>Срок рассмотрения: 20 рабочих дней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6. ДОКУМЕНТООБОРОТ КОНТРОЛЯ</w:t>
      </w:r>
    </w:p>
    <w:p>
      <w:pPr>
        <w:pStyle w:val="ListBullet"/>
      </w:pPr>
      <w:r>
        <w:rPr>
          <w:rFonts w:ascii="Arial" w:hAnsi="Arial"/>
          <w:sz w:val="22"/>
        </w:rPr>
        <w:t>6.1 Реестр проверок (ведётся в электронной системе СРО)</w:t>
      </w:r>
    </w:p>
    <w:p>
      <w:pPr>
        <w:pStyle w:val="ListBullet"/>
      </w:pPr>
      <w:r>
        <w:rPr>
          <w:rFonts w:ascii="Arial" w:hAnsi="Arial"/>
          <w:sz w:val="22"/>
        </w:rPr>
        <w:t>6.2 Акт проверки (форма — Приложение В)</w:t>
      </w:r>
    </w:p>
    <w:p>
      <w:pPr>
        <w:pStyle w:val="ListBullet"/>
      </w:pPr>
      <w:r>
        <w:rPr>
          <w:rFonts w:ascii="Arial" w:hAnsi="Arial"/>
          <w:sz w:val="22"/>
        </w:rPr>
        <w:t>6.3 Предписание (форма — Приложение Г)</w:t>
      </w:r>
    </w:p>
    <w:p>
      <w:pPr>
        <w:pStyle w:val="ListBullet"/>
      </w:pPr>
      <w:r>
        <w:rPr>
          <w:rFonts w:ascii="Arial" w:hAnsi="Arial"/>
          <w:sz w:val="22"/>
        </w:rPr>
        <w:t>6.4 Отчёт о контрольной деятельности СРО (ежегодный, публичный)</w:t>
      </w:r>
    </w:p>
    <w:p>
      <w:pPr>
        <w:pStyle w:val="ListBullet"/>
      </w:pPr>
      <w:r>
        <w:rPr>
          <w:rFonts w:ascii="Arial" w:hAnsi="Arial"/>
          <w:sz w:val="22"/>
        </w:rPr>
        <w:t>6.5 Хранение материалов проверок: не менее 5 лет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7. ПРОЗРАЧНОСТЬ И ПУБЛИЧНОСТЬ</w:t>
      </w:r>
    </w:p>
    <w:p>
      <w:pPr>
        <w:pStyle w:val="ListBullet"/>
      </w:pPr>
      <w:r>
        <w:rPr>
          <w:rFonts w:ascii="Arial" w:hAnsi="Arial"/>
          <w:sz w:val="22"/>
        </w:rPr>
        <w:t>7.1 Публикация рейтингов членов СРО (агрегированно, без деталей нарушений) — ежегодно</w:t>
      </w:r>
    </w:p>
    <w:p>
      <w:pPr>
        <w:pStyle w:val="ListBullet"/>
      </w:pPr>
      <w:r>
        <w:rPr>
          <w:rFonts w:ascii="Arial" w:hAnsi="Arial"/>
          <w:sz w:val="22"/>
        </w:rPr>
        <w:t>7.2 Ежегодный отчёт о безопасности в индустрии (обезличенная статистика инцидентов)</w:t>
      </w:r>
    </w:p>
    <w:p>
      <w:pPr>
        <w:pStyle w:val="ListBullet"/>
      </w:pPr>
      <w:r>
        <w:rPr>
          <w:rFonts w:ascii="Arial" w:hAnsi="Arial"/>
          <w:sz w:val="22"/>
        </w:rPr>
        <w:t>7.3 Открытый реестр членов СРО с текущим статусом соответствия</w:t>
      </w:r>
    </w:p>
    <w:p>
      <w:pPr>
        <w:pStyle w:val="Heading4"/>
      </w:pPr>
      <w:r>
        <w:rPr>
          <w:rFonts w:ascii="Arial" w:hAnsi="Arial"/>
          <w:color w:val="2E74B5"/>
          <w:sz w:val="22"/>
        </w:rPr>
        <w:t>РАЗДЕЛ 8. НЕПРЕРЫВНОЕ СОВЕРШЕНСТВОВАНИЕ</w:t>
      </w:r>
    </w:p>
    <w:p>
      <w:pPr>
        <w:pStyle w:val="ListBullet"/>
      </w:pPr>
      <w:r>
        <w:rPr>
          <w:rFonts w:ascii="Arial" w:hAnsi="Arial"/>
          <w:sz w:val="22"/>
        </w:rPr>
        <w:t>8.1 Ежегодный анализ результатов проверок</w:t>
      </w:r>
    </w:p>
    <w:p>
      <w:pPr>
        <w:pStyle w:val="ListBullet"/>
      </w:pPr>
      <w:r>
        <w:rPr>
          <w:rFonts w:ascii="Arial" w:hAnsi="Arial"/>
          <w:sz w:val="22"/>
        </w:rPr>
        <w:t>8.2 Обновление чек-листов и методик (не реже 1 раза в 2 года)</w:t>
      </w:r>
    </w:p>
    <w:p>
      <w:pPr>
        <w:pStyle w:val="ListBullet"/>
      </w:pPr>
      <w:r>
        <w:rPr>
          <w:rFonts w:ascii="Arial" w:hAnsi="Arial"/>
          <w:sz w:val="22"/>
        </w:rPr>
        <w:t>8.3 Обратная связь от членов СРО по применению стандарта</w:t>
      </w:r>
    </w:p>
    <w:p>
      <w:pPr>
        <w:pStyle w:val="ListBullet"/>
      </w:pPr>
      <w:r>
        <w:rPr>
          <w:rFonts w:ascii="Arial" w:hAnsi="Arial"/>
          <w:sz w:val="22"/>
        </w:rPr>
        <w:t>8.4 Мониторинг изменений в законодательстве и актуализация стандарта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Arial" w:hAnsi="Arial"/>
          <w:color w:val="2E74B5"/>
          <w:sz w:val="24"/>
        </w:rPr>
        <w:t>ПРИЛОЖЕНИЯ К ДОКУМЕНТУ 2</w:t>
      </w:r>
    </w:p>
    <w:p>
      <w:pPr>
        <w:pStyle w:val="ListBullet"/>
      </w:pPr>
      <w:r>
        <w:rPr>
          <w:rFonts w:ascii="Arial" w:hAnsi="Arial"/>
          <w:sz w:val="22"/>
        </w:rPr>
        <w:t>Приложение А. Чек-лист выездной проверки (по разделам стандарта, с весами)</w:t>
      </w:r>
    </w:p>
    <w:p>
      <w:pPr>
        <w:pStyle w:val="ListBullet"/>
      </w:pPr>
      <w:r>
        <w:rPr>
          <w:rFonts w:ascii="Arial" w:hAnsi="Arial"/>
          <w:sz w:val="22"/>
        </w:rPr>
        <w:t>Приложение Б. Перечень документов, запрашиваемых при проверке</w:t>
      </w:r>
    </w:p>
    <w:p>
      <w:pPr>
        <w:pStyle w:val="ListBullet"/>
      </w:pPr>
      <w:r>
        <w:rPr>
          <w:rFonts w:ascii="Arial" w:hAnsi="Arial"/>
          <w:sz w:val="22"/>
        </w:rPr>
        <w:t>Приложение В. Форма акта проверки</w:t>
      </w:r>
    </w:p>
    <w:p>
      <w:pPr>
        <w:pStyle w:val="ListBullet"/>
      </w:pPr>
      <w:r>
        <w:rPr>
          <w:rFonts w:ascii="Arial" w:hAnsi="Arial"/>
          <w:sz w:val="22"/>
        </w:rPr>
        <w:t>Приложение Г. Форма предписания об устранении нарушений</w:t>
      </w:r>
    </w:p>
    <w:p>
      <w:pPr>
        <w:pStyle w:val="ListBullet"/>
      </w:pPr>
      <w:r>
        <w:rPr>
          <w:rFonts w:ascii="Arial" w:hAnsi="Arial"/>
          <w:sz w:val="22"/>
        </w:rPr>
        <w:t>Приложение Д. Форма ежегодного самоотчёта члена СРО</w:t>
      </w:r>
    </w:p>
    <w:p>
      <w:pPr>
        <w:pStyle w:val="ListBullet"/>
      </w:pPr>
      <w:r>
        <w:rPr>
          <w:rFonts w:ascii="Arial" w:hAnsi="Arial"/>
          <w:sz w:val="22"/>
        </w:rPr>
        <w:t>Приложение Е. Методика Mystery Shopping для объектов СРО</w:t>
      </w:r>
    </w:p>
    <w:p>
      <w:pPr>
        <w:pStyle w:val="ListBullet"/>
      </w:pPr>
      <w:r>
        <w:rPr>
          <w:rFonts w:ascii="Arial" w:hAnsi="Arial"/>
          <w:sz w:val="22"/>
        </w:rPr>
        <w:t>Приложение Ж. Квалификационные требования к инспекторам СРО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Arial" w:hAnsi="Arial"/>
          <w:color w:val="1F497D"/>
          <w:sz w:val="28"/>
        </w:rPr>
        <w:t>Календарный план разработки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Правовой анализ, выявление пробелов</w:t>
            </w:r>
          </w:p>
        </w:tc>
        <w:tc>
          <w:tcPr>
            <w:tcW w:type="dxa" w:w="2160"/>
          </w:tcPr>
          <w:p>
            <w:r>
              <w:t>Юрист, Руководитель</w:t>
            </w:r>
          </w:p>
        </w:tc>
        <w:tc>
          <w:tcPr>
            <w:tcW w:type="dxa" w:w="2160"/>
          </w:tcPr>
          <w:p>
            <w:r>
              <w:t>2 нед.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Разработка разделов Стандарта (3–6)</w:t>
            </w:r>
          </w:p>
        </w:tc>
        <w:tc>
          <w:tcPr>
            <w:tcW w:type="dxa" w:w="2160"/>
          </w:tcPr>
          <w:p>
            <w:r>
              <w:t>Все эксперты</w:t>
            </w:r>
          </w:p>
        </w:tc>
        <w:tc>
          <w:tcPr>
            <w:tcW w:type="dxa" w:w="2160"/>
          </w:tcPr>
          <w:p>
            <w:r>
              <w:t>4 нед.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Разработка Правил контроля</w:t>
            </w:r>
          </w:p>
        </w:tc>
        <w:tc>
          <w:tcPr>
            <w:tcW w:type="dxa" w:w="2160"/>
          </w:tcPr>
          <w:p>
            <w:r>
              <w:t>Аудитор, Руководитель</w:t>
            </w:r>
          </w:p>
        </w:tc>
        <w:tc>
          <w:tcPr>
            <w:tcW w:type="dxa" w:w="2160"/>
          </w:tcPr>
          <w:p>
            <w:r>
              <w:t>3 нед.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Разработка приложений (чек-листы)</w:t>
            </w:r>
          </w:p>
        </w:tc>
        <w:tc>
          <w:tcPr>
            <w:tcW w:type="dxa" w:w="2160"/>
          </w:tcPr>
          <w:p>
            <w:r>
              <w:t>Аудитор + профильные</w:t>
            </w:r>
          </w:p>
        </w:tc>
        <w:tc>
          <w:tcPr>
            <w:tcW w:type="dxa" w:w="2160"/>
          </w:tcPr>
          <w:p>
            <w:r>
              <w:t>2 нед.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Внутреннее согласование</w:t>
            </w:r>
          </w:p>
        </w:tc>
        <w:tc>
          <w:tcPr>
            <w:tcW w:type="dxa" w:w="2160"/>
          </w:tcPr>
          <w:p>
            <w:r>
              <w:t>Все эксперты</w:t>
            </w:r>
          </w:p>
        </w:tc>
        <w:tc>
          <w:tcPr>
            <w:tcW w:type="dxa" w:w="2160"/>
          </w:tcPr>
          <w:p>
            <w:r>
              <w:t>1 нед.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Пилотное тестирование на 3–5 объектах</w:t>
            </w:r>
          </w:p>
        </w:tc>
        <w:tc>
          <w:tcPr>
            <w:tcW w:type="dxa" w:w="2160"/>
          </w:tcPr>
          <w:p>
            <w:r>
              <w:t>Аудитор, Операционный</w:t>
            </w:r>
          </w:p>
        </w:tc>
        <w:tc>
          <w:tcPr>
            <w:tcW w:type="dxa" w:w="2160"/>
          </w:tcPr>
          <w:p>
            <w:r>
              <w:t>2 нед.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Доработка по результатам пилота</w:t>
            </w:r>
          </w:p>
        </w:tc>
        <w:tc>
          <w:tcPr>
            <w:tcW w:type="dxa" w:w="2160"/>
          </w:tcPr>
          <w:p>
            <w:r>
              <w:t>Руководитель</w:t>
            </w:r>
          </w:p>
        </w:tc>
        <w:tc>
          <w:tcPr>
            <w:tcW w:type="dxa" w:w="2160"/>
          </w:tcPr>
          <w:p>
            <w:r>
              <w:t>1 нед.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Финальная редакция и утверждение</w:t>
            </w:r>
          </w:p>
        </w:tc>
        <w:tc>
          <w:tcPr>
            <w:tcW w:type="dxa" w:w="2160"/>
          </w:tcPr>
          <w:p>
            <w:r>
              <w:t>Руководитель, Юрист</w:t>
            </w:r>
          </w:p>
        </w:tc>
        <w:tc>
          <w:tcPr>
            <w:tcW w:type="dxa" w:w="2160"/>
          </w:tcPr>
          <w:p>
            <w:r>
              <w:t>1 нед.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