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3EC2C" w14:textId="77777777" w:rsidR="00D03DB6" w:rsidRDefault="00D03DB6" w:rsidP="00D03DB6">
      <w:pPr>
        <w:pStyle w:val="a3"/>
      </w:pPr>
      <w:r>
        <w:t xml:space="preserve">Модель представляет собой крупномасштабную </w:t>
      </w:r>
      <w:proofErr w:type="spellStart"/>
      <w:r>
        <w:t>агентную</w:t>
      </w:r>
      <w:proofErr w:type="spellEnd"/>
      <w:r>
        <w:t xml:space="preserve"> симуляцию макроэкономической динамики, построенную на основе принципов гетерогенности агентов, </w:t>
      </w:r>
      <w:proofErr w:type="spellStart"/>
      <w:r>
        <w:t>микроуровневой</w:t>
      </w:r>
      <w:proofErr w:type="spellEnd"/>
      <w:r>
        <w:t xml:space="preserve"> и </w:t>
      </w:r>
      <w:proofErr w:type="spellStart"/>
      <w:r>
        <w:t>макроуровневой</w:t>
      </w:r>
      <w:proofErr w:type="spellEnd"/>
      <w:r>
        <w:t xml:space="preserve"> согласованности и байесовской калибровки. В системе действуют фирмы, домохозяйства, отдельные индивиды, банки, правительство и центральный банк, объединённые в рамках одной страны, взаимодействующей с агрегированным “Остальным миром”. Агенты функционируют в четырёх основных рынках — товаров, труда, кредита и жилья — и связаны полным балансом потоков и запасов. Индивиды различаются по возрасту, доходу, богатству и профессиональному статусу; они формируют домохозяйства, принимающие решения о потреблении, сбережениях и участии в рынке жилья. Фирмы производят, нанимают работников, запрашивают кредиты и устанавливают цены на основе прогнозов спроса и инфляции. Банки предоставляют фирмам и домохозяйствам кредиты различных типов (потребительские, ипотечные, инвестиционные), формируя процентные ставки с учётом политики центрального банка и кредитных рисков. Государство управляет налогами, расходами и трансфертами, а центральный банк регулирует ставку по инфляционным ожиданиям.</w:t>
      </w:r>
    </w:p>
    <w:p w14:paraId="6C9836E3" w14:textId="77777777" w:rsidR="00D03DB6" w:rsidRDefault="00D03DB6" w:rsidP="00D03DB6">
      <w:pPr>
        <w:pStyle w:val="a3"/>
      </w:pPr>
      <w:r>
        <w:t xml:space="preserve">Среда представляет собой замкнутую экономическую систему, в которой все потоки и запасы учитываются на уровне агентов. Модель развивается дискретными шагами (кварталами), на каждом из которых агенты проходят последовательные фазы: формирование ожиданий, постановка целей, взаимодействие на рынках труда, жилья, кредита и товаров, а затем обновление финансовых показателей. Поведение основано на эвристических правилах и ограниченной информации: агенты используют прошлые наблюдения и агрегированные прогнозы для принятия решений, не обладая полной осведомлённостью о действиях других. Производственная функция фирм реализована в форме вложенной функции Леонтьева, ограниченной трудовыми, капитальными и промежуточными ресурсами, при этом влияние этих ограничений регулируется параметрами </w:t>
      </w:r>
      <w:proofErr w:type="spellStart"/>
      <w:r>
        <w:t>χH</w:t>
      </w:r>
      <w:proofErr w:type="spellEnd"/>
      <w:r>
        <w:t xml:space="preserve">, </w:t>
      </w:r>
      <w:proofErr w:type="spellStart"/>
      <w:r>
        <w:t>χK</w:t>
      </w:r>
      <w:proofErr w:type="spellEnd"/>
      <w:r>
        <w:t xml:space="preserve"> и </w:t>
      </w:r>
      <w:proofErr w:type="spellStart"/>
      <w:r>
        <w:t>χM</w:t>
      </w:r>
      <w:proofErr w:type="spellEnd"/>
      <w:r>
        <w:t>.</w:t>
      </w:r>
    </w:p>
    <w:p w14:paraId="267E99AD" w14:textId="77777777" w:rsidR="00D03DB6" w:rsidRDefault="00D03DB6" w:rsidP="00D03DB6">
      <w:pPr>
        <w:pStyle w:val="a3"/>
      </w:pPr>
      <w:r>
        <w:t xml:space="preserve">Инициализация модели опирается на детализированные эмпирические источники: </w:t>
      </w:r>
      <w:proofErr w:type="spellStart"/>
      <w:r>
        <w:t>межстрановые</w:t>
      </w:r>
      <w:proofErr w:type="spellEnd"/>
      <w:r>
        <w:t xml:space="preserve"> таблицы входов-выходов (OECD ICIO), </w:t>
      </w:r>
      <w:proofErr w:type="spellStart"/>
      <w:r>
        <w:t>микроданные</w:t>
      </w:r>
      <w:proofErr w:type="spellEnd"/>
      <w:r>
        <w:t xml:space="preserve"> </w:t>
      </w:r>
      <w:proofErr w:type="spellStart"/>
      <w:r>
        <w:t>Compustat</w:t>
      </w:r>
      <w:proofErr w:type="spellEnd"/>
      <w:r>
        <w:t xml:space="preserve"> по фирмам и банкам, обследования домохозяйств (HFCS, ECB), данные Всемирного банка по налогам и расходам, а также ставки центральных банков (BIS). Эти данные формируют начальные балансы и </w:t>
      </w:r>
      <w:proofErr w:type="spellStart"/>
      <w:r>
        <w:t>макропропорции</w:t>
      </w:r>
      <w:proofErr w:type="spellEnd"/>
      <w:r>
        <w:t xml:space="preserve"> для каждой из 38 стран OECD, где один симулируемый агент представляет тысячу реальных единиц. Параметры, не наблюдаемые напрямую, калибруются методом приближённого байесовского вывода с использованием </w:t>
      </w:r>
      <w:proofErr w:type="spellStart"/>
      <w:r>
        <w:t>нейросетевых</w:t>
      </w:r>
      <w:proofErr w:type="spellEnd"/>
      <w:r>
        <w:t xml:space="preserve"> методов — нейронной аппроксимации апостериорного распределения (</w:t>
      </w:r>
      <w:proofErr w:type="spellStart"/>
      <w:r>
        <w:t>Neural</w:t>
      </w:r>
      <w:proofErr w:type="spellEnd"/>
      <w:r>
        <w:t xml:space="preserve"> </w:t>
      </w:r>
      <w:proofErr w:type="spellStart"/>
      <w:r>
        <w:t>Posterior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>) и оценки отношения плотностей (</w:t>
      </w:r>
      <w:proofErr w:type="spellStart"/>
      <w:r>
        <w:t>Neural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>). Выбор параметров основан на их влиянии на прогнозную точность; оценивание проводится на временных рядах ВВП, инфляции, потребления, инвестиций и госрасходов.</w:t>
      </w:r>
    </w:p>
    <w:p w14:paraId="61DA5B63" w14:textId="77777777" w:rsidR="00D03DB6" w:rsidRDefault="00D03DB6" w:rsidP="00D03DB6">
      <w:pPr>
        <w:pStyle w:val="a3"/>
      </w:pPr>
      <w:r>
        <w:t xml:space="preserve">Результаты демонстрируют, что калиброванная модель систематически превосходит как базовую </w:t>
      </w:r>
      <w:proofErr w:type="spellStart"/>
      <w:r>
        <w:t>агентную</w:t>
      </w:r>
      <w:proofErr w:type="spellEnd"/>
      <w:r>
        <w:t xml:space="preserve"> модель IIASA, так и стандартную </w:t>
      </w:r>
      <w:proofErr w:type="spellStart"/>
      <w:r>
        <w:t>авторегрессионную</w:t>
      </w:r>
      <w:proofErr w:type="spellEnd"/>
      <w:r>
        <w:t xml:space="preserve"> модель </w:t>
      </w:r>
      <w:proofErr w:type="gramStart"/>
      <w:r>
        <w:t>AR(</w:t>
      </w:r>
      <w:proofErr w:type="gramEnd"/>
      <w:r>
        <w:t>1) при прогнозировании макроагрегатов. Средняя ошибка прогноза (RMSE) по 38 странам и 20 периодам инициализации оказалась на 40–60% ниже по основным показателям (ВВП, инфляция, потребление). В 65% случаев байесовский фактор однозначно поддерживает новую модель против базовой. При этом особенно улучшено качество прогноза ВВП, инфляции и инвестиций, в то время как инвестиционные ряды остаются наиболее волатильными и трудными для предсказания.</w:t>
      </w:r>
    </w:p>
    <w:p w14:paraId="10F0C121" w14:textId="77777777" w:rsidR="00D03DB6" w:rsidRDefault="00D03DB6" w:rsidP="00D03DB6">
      <w:pPr>
        <w:pStyle w:val="a3"/>
      </w:pPr>
      <w:r>
        <w:lastRenderedPageBreak/>
        <w:t xml:space="preserve">Ограничениями остаются высокая вычислительная сложность, чувствительность к выбору </w:t>
      </w:r>
      <w:proofErr w:type="spellStart"/>
      <w:r>
        <w:t>приорных</w:t>
      </w:r>
      <w:proofErr w:type="spellEnd"/>
      <w:r>
        <w:t xml:space="preserve"> распределений и необходимость дальнейшего уточнения поведенческих правил агентов. Авторы намечают расширение модели до одновременного моделирования всех стран с учётом торговых связей и улучшение </w:t>
      </w:r>
      <w:proofErr w:type="spellStart"/>
      <w:r>
        <w:t>микроданных</w:t>
      </w:r>
      <w:proofErr w:type="spellEnd"/>
      <w:r>
        <w:t xml:space="preserve"> для более реалистичной валидации. Таким образом, предложенная модель представляет собой переход от качественных </w:t>
      </w:r>
      <w:proofErr w:type="spellStart"/>
      <w:r>
        <w:t>агентных</w:t>
      </w:r>
      <w:proofErr w:type="spellEnd"/>
      <w:r>
        <w:t xml:space="preserve"> макромоделей к количественным, калиброванным на данных системам с доказанным преимуществом в прогнозировании.</w:t>
      </w:r>
    </w:p>
    <w:p w14:paraId="5265A198" w14:textId="4A04EE65" w:rsidR="000B4D00" w:rsidRPr="00D03DB6" w:rsidRDefault="00D03DB6">
      <w:pPr>
        <w:rPr>
          <w:lang w:val="ru-RU"/>
        </w:rPr>
      </w:pPr>
      <w:r w:rsidRPr="00D03DB6">
        <w:rPr>
          <w:lang w:val="ru-RU"/>
        </w:rPr>
        <w:drawing>
          <wp:inline distT="0" distB="0" distL="0" distR="0" wp14:anchorId="3A3A7B99" wp14:editId="0D763D98">
            <wp:extent cx="6356350" cy="320675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635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4D00" w:rsidRPr="00D03D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F3"/>
    <w:rsid w:val="000B4D00"/>
    <w:rsid w:val="00AF72A2"/>
    <w:rsid w:val="00D03DB6"/>
    <w:rsid w:val="00F4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37F6FE-D3D7-4195-A76F-17A68B6C8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03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0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Мартыненко</dc:creator>
  <cp:keywords/>
  <dc:description/>
  <cp:lastModifiedBy>Александр Мартыненко</cp:lastModifiedBy>
  <cp:revision>2</cp:revision>
  <dcterms:created xsi:type="dcterms:W3CDTF">2025-11-07T12:59:00Z</dcterms:created>
  <dcterms:modified xsi:type="dcterms:W3CDTF">2025-11-07T13:00:00Z</dcterms:modified>
</cp:coreProperties>
</file>