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F577B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ПОДРОБНАЯ РЕЧЬ ПО СЛАЙДАМ</w:t>
      </w:r>
    </w:p>
    <w:p w14:paraId="5D6BDD14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595399">
          <v:rect id="_x0000_i1025" style="width:0;height:1.5pt" o:hralign="center" o:hrstd="t" o:hr="t" fillcolor="#a0a0a0" stroked="f"/>
        </w:pict>
      </w:r>
    </w:p>
    <w:p w14:paraId="0E0D3F7B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Слайд 1. </w:t>
      </w:r>
      <w:proofErr w:type="spellStart"/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Агентное</w:t>
      </w:r>
      <w:proofErr w:type="spellEnd"/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моделирование в экономике</w:t>
      </w:r>
    </w:p>
    <w:p w14:paraId="2D4904C9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я расскажу о том, что такое </w:t>
      </w:r>
      <w:proofErr w:type="spellStart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агентное</w:t>
      </w:r>
      <w:proofErr w:type="spellEnd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моделирование в макроэкономике, почему этот подход появился, какие проблемы он решает и в чем его преимущества по сравнению с традиционными моделями. Мы увидим, как современные </w:t>
      </w:r>
      <w:proofErr w:type="spellStart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data-driven</w:t>
      </w:r>
      <w:proofErr w:type="spellEnd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ABM способны не только объяснять структуру экономики, но и давать количественные прогнозы, сопоставимые или даже превосходящие стандартные DSGE-модели.</w:t>
      </w:r>
    </w:p>
    <w:p w14:paraId="65496836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E8E73B">
          <v:rect id="_x0000_i1026" style="width:0;height:1.5pt" o:hralign="center" o:hrstd="t" o:hr="t" fillcolor="#a0a0a0" stroked="f"/>
        </w:pict>
      </w:r>
    </w:p>
    <w:p w14:paraId="4C2FCD9D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2. Ограничения традиционных макромоделей</w:t>
      </w:r>
    </w:p>
    <w:p w14:paraId="60EFCC63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Традиционные макромодели, такие как DSGE, AR или VAR, десятилетиями были основным инструментом анализа. Но они построены на очень жёстких упрощениях.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Во-первых, они опираются на так называемого репрезентативного агента — некого среднего потребителя или среднюю фирму. Это автоматически исключает возможность учитывать неоднородность домохозяйств или компаний.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Во-вторых, такие модели предполагают рациональные ожидания: агенты полностью понимают будущее развитие экономики и оптимизируются в соответствии с ним.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В-третьих, эти модели почти всегда линейные или квазилинейные. Это делает их удобными математически, но плохо подходит для описания реальных скачков, нелинейных эффектов, фазовых переходов и сетевых взаимодействий.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как результат — они не справляются, когда происходят кризисы, разрывы цепочек поставок или массовые ошибки в ожиданиях.</w:t>
      </w:r>
    </w:p>
    <w:p w14:paraId="6A80CF53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FB8353">
          <v:rect id="_x0000_i1027" style="width:0;height:1.5pt" o:hralign="center" o:hrstd="t" o:hr="t" fillcolor="#a0a0a0" stroked="f"/>
        </w:pict>
      </w:r>
    </w:p>
    <w:p w14:paraId="6A9E896D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3. Почему классические подходы дают сбои</w:t>
      </w:r>
    </w:p>
    <w:p w14:paraId="5F0B187A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Проблемы стандартных моделей становятся особенно заметны, когда мы имеем дело с нестабильными периодами.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Они не видят различий в распределении доходов, богатства или долгов — хотя именно распределения определяют чувствительность экономики к шокам.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Они не ловят нелинейное поведение, когда локальный шок порождает каскад последствий.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они не умеют генерировать эндогенные кризисы. В реальности кризисы часто возникают из внутренних дисбалансов — но DSGE-модели способны описывать только внешние шоки.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Также они не отражают сетевые связи между банками, фирмами и домохозяйствами — а это ключевой механизм распространения нестабильности.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Поэтому способность стандартных моделей предсказывать поведение экономики в турбулентные периоды серьёзно ограничена.</w:t>
      </w:r>
    </w:p>
    <w:p w14:paraId="47B6E027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E9C62A">
          <v:rect id="_x0000_i1028" style="width:0;height:1.5pt" o:hralign="center" o:hrstd="t" o:hr="t" fillcolor="#a0a0a0" stroked="f"/>
        </w:pict>
      </w:r>
    </w:p>
    <w:p w14:paraId="4DC21E38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Слайд 4. Появление ABM как альтернативы</w:t>
      </w:r>
    </w:p>
    <w:p w14:paraId="2B0E3352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Агентное</w:t>
      </w:r>
      <w:proofErr w:type="spellEnd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моделирование — это попытка посмотреть на экономику иначе.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Здесь мы не предполагаем, что есть один средний агент. Вместо этого моделируются тысячи, а иногда сотни тысяч отдельных агентов — домохозяйств, фирм, банков — каждый со своими характеристиками, ограничениями и правилами поведения.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Экономические явления в таких моделях возникают снизу — решения агентов порождают агрегированную динамику.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Здесь не требуется общего равновесия — оно может возникнуть само, а может и не возникнуть.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И, наконец, в ABM естественным образом появляются нерыночные явления: кризисы, пузыри, каскадные дефолты, неустойчивости.</w:t>
      </w:r>
    </w:p>
    <w:p w14:paraId="5AD3969F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64303E">
          <v:rect id="_x0000_i1029" style="width:0;height:1.5pt" o:hralign="center" o:hrstd="t" o:hr="t" fillcolor="#a0a0a0" stroked="f"/>
        </w:pict>
      </w:r>
    </w:p>
    <w:p w14:paraId="024636B2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5. Первые макро-ABM</w:t>
      </w:r>
    </w:p>
    <w:p w14:paraId="5AACF17A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Первые макроэкономические </w:t>
      </w:r>
      <w:proofErr w:type="spellStart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агентные</w:t>
      </w:r>
      <w:proofErr w:type="spellEnd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модели, которые начали появляться в 2000-е годы, были скорее качественными.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Их цель — воспроизвести общие </w:t>
      </w:r>
      <w:proofErr w:type="spellStart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stylized</w:t>
      </w:r>
      <w:proofErr w:type="spellEnd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распределение размеров фирм, ко-движения некоторых переменных, цикличность безработицы.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Начальные условия задавались случайно, параметры подбирались вручную.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были полезные лаборатории, но они не могли делать количественные прогнозы.</w:t>
      </w:r>
    </w:p>
    <w:p w14:paraId="37B8B29C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9BA573">
          <v:rect id="_x0000_i1030" style="width:0;height:1.5pt" o:hralign="center" o:hrstd="t" o:hr="t" fillcolor="#a0a0a0" stroked="f"/>
        </w:pict>
      </w:r>
    </w:p>
    <w:p w14:paraId="43A8DA9F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Слайд 6. Переход к </w:t>
      </w:r>
      <w:proofErr w:type="spellStart"/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data-driven</w:t>
      </w:r>
      <w:proofErr w:type="spellEnd"/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ABM</w:t>
      </w:r>
    </w:p>
    <w:p w14:paraId="3FD7D855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последние пять-семь лет случился качественный скачок.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Начали появляться </w:t>
      </w:r>
      <w:proofErr w:type="spellStart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data-driven</w:t>
      </w:r>
      <w:proofErr w:type="spellEnd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ABM — модели, которые стремятся воспроизвести конкретную экономику конкретной страны в конкретный момент времени.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означает три вещи:</w:t>
      </w:r>
    </w:p>
    <w:p w14:paraId="56931529" w14:textId="77777777" w:rsidR="00B503FC" w:rsidRPr="00B503FC" w:rsidRDefault="00B503FC" w:rsidP="00B50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Инициализация агентов на основе реальных распределений.</w:t>
      </w:r>
    </w:p>
    <w:p w14:paraId="639FAF64" w14:textId="77777777" w:rsidR="00B503FC" w:rsidRPr="00B503FC" w:rsidRDefault="00B503FC" w:rsidP="00B50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берутся из данных, а свободные — калибруются по временным рядам.</w:t>
      </w:r>
    </w:p>
    <w:p w14:paraId="001885F2" w14:textId="77777777" w:rsidR="00B503FC" w:rsidRPr="00B503FC" w:rsidRDefault="00B503FC" w:rsidP="00B50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оценивается на точность прогноза.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фактически минимизируем расстояние между симулированными и реальными временными рядами.</w:t>
      </w:r>
    </w:p>
    <w:p w14:paraId="47D736A2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превращает ABM из лаборатории в инструмент количественного анализа.</w:t>
      </w:r>
    </w:p>
    <w:p w14:paraId="2657B4A7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26E7F9">
          <v:rect id="_x0000_i1031" style="width:0;height:1.5pt" o:hralign="center" o:hrstd="t" o:hr="t" fillcolor="#a0a0a0" stroked="f"/>
        </w:pict>
      </w:r>
    </w:p>
    <w:p w14:paraId="0DBA3CF1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7. Прорыв IIASA</w:t>
      </w:r>
    </w:p>
    <w:p w14:paraId="3CC0ADF6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Серьёзный прорыв произошёл благодаря модели IIASA в 2023 году.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была первая крупная макро-ABM, где авторы построили реальную экономику Австрии, инициализировали домохозяйства и фирмы по данным национальных счетов и </w:t>
      </w:r>
      <w:proofErr w:type="spellStart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микроданных</w:t>
      </w:r>
      <w:proofErr w:type="spellEnd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затем сравнили прогнозы модели с DSGE и </w:t>
      </w:r>
      <w:proofErr w:type="gramStart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AR(</w:t>
      </w:r>
      <w:proofErr w:type="gramEnd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1).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Результат был удивительным: ABM оказалась сопоставима по точности и даже иногда превосходила традиционные подходы.</w:t>
      </w:r>
    </w:p>
    <w:p w14:paraId="46DE89FD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9E01F7">
          <v:rect id="_x0000_i1032" style="width:0;height:1.5pt" o:hralign="center" o:hrstd="t" o:hr="t" fillcolor="#a0a0a0" stroked="f"/>
        </w:pict>
      </w:r>
    </w:p>
    <w:p w14:paraId="62607DA8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Слайд 8. Новизна модели </w:t>
      </w:r>
      <w:proofErr w:type="spellStart"/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Wiese</w:t>
      </w:r>
      <w:proofErr w:type="spellEnd"/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et</w:t>
      </w:r>
      <w:proofErr w:type="spellEnd"/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al</w:t>
      </w:r>
      <w:proofErr w:type="spellEnd"/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</w:p>
    <w:p w14:paraId="2AC19290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модели, которую рассматриваем мы, добавлено несколько ключевых улучшений.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Во-первых, рынок жилья — важнейшая часть экономики, влияющая на богатство домохозяйств.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Во-вторых, детализированный кредитный рынок, где ставки определяются эмпирической ARDL-моделью.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В-третьих, синтетическая популяция: домохозяйства и индивиды моделируются так, чтобы совпадать с реальными распределениями по доходу, возрасту, активам.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В-четвёртых, более реалистичные поведенческие правила фирм и домохозяйств.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В-пятых, байесовская калибровка свободных параметров.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И, наконец, применение к 38 странам OECD — а это уже серьёзный тест модели.</w:t>
      </w:r>
    </w:p>
    <w:p w14:paraId="5F2073CE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BE37A6">
          <v:rect id="_x0000_i1033" style="width:0;height:1.5pt" o:hralign="center" o:hrstd="t" o:hr="t" fillcolor="#a0a0a0" stroked="f"/>
        </w:pict>
      </w:r>
    </w:p>
    <w:p w14:paraId="7B078956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9. Рынок жилья</w:t>
      </w:r>
    </w:p>
    <w:p w14:paraId="6B2CB0D6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рынка жилья резко повышает реалистичность модели.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Жильё — основной компонент богатства домохозяйств.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Рост цен повышает потребление через эффект богатства.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Кроме того, рынок жилья связан с ипотекой, долговой нагрузкой, рисками пузырей.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ABM это приводит к естественной взаимосвязи: изменение цен на жильё может вызвать циклы спроса, нестабильности и корректировки.</w:t>
      </w:r>
    </w:p>
    <w:p w14:paraId="2C88E0AE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69A9C2">
          <v:rect id="_x0000_i1034" style="width:0;height:1.5pt" o:hralign="center" o:hrstd="t" o:hr="t" fillcolor="#a0a0a0" stroked="f"/>
        </w:pict>
      </w:r>
    </w:p>
    <w:p w14:paraId="1A202C16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10. Кредитный рынок</w:t>
      </w:r>
    </w:p>
    <w:p w14:paraId="5F47F64C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модели используется эмпирическая модель формирования ставок, где на проценты влияют ставка ЦБ, инфляция и доля проблемных кредитов.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Каждому агенту банки назначают индивидуальные ставки с учётом его рисков.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создаёт гораздо более реалистичный механизм передачи денежно-кредитной политики.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Решения агентов по кредитам становятся эндогенными, зависящими от их состояния и банковских рисков.</w:t>
      </w:r>
    </w:p>
    <w:p w14:paraId="66C0A530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A231C6">
          <v:rect id="_x0000_i1035" style="width:0;height:1.5pt" o:hralign="center" o:hrstd="t" o:hr="t" fillcolor="#a0a0a0" stroked="f"/>
        </w:pict>
      </w:r>
    </w:p>
    <w:p w14:paraId="078E0BA4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11. Реалистичная популяция</w:t>
      </w:r>
    </w:p>
    <w:p w14:paraId="6F6146F3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модели строится синтетическая </w:t>
      </w:r>
      <w:proofErr w:type="spellStart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микропопуляция</w:t>
      </w:r>
      <w:proofErr w:type="spellEnd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так, чтобы совпадать с реальными данными: возраст, доходы, богатство, структура домохозяйств.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позволяет корректно моделировать распределения, а не только средние значения.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Соответственно, реакция домохозяйств на шоки становится гораздо реалистичнее: богатые и бедные реагируют по-разному, молодые и пожилые — тоже по-разному.</w:t>
      </w:r>
    </w:p>
    <w:p w14:paraId="01EBD736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D5C388B">
          <v:rect id="_x0000_i1036" style="width:0;height:1.5pt" o:hralign="center" o:hrstd="t" o:hr="t" fillcolor="#a0a0a0" stroked="f"/>
        </w:pict>
      </w:r>
    </w:p>
    <w:p w14:paraId="4FABDAB4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12. Поведенческие правила</w:t>
      </w:r>
    </w:p>
    <w:p w14:paraId="0EF20C0E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новой модели фирмы формируют ожидания спроса, учитывают состояние запасов и ресурсов, но не так жёстко ограничены прошлым, как в IIASA.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Ожидания встроены в целевые значения выпуска.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Фирмы думают на шаг вперёд, а не просто повторяют предыдущие уровни.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делает экономическую динамику более гибкой и менее механистичной.</w:t>
      </w:r>
    </w:p>
    <w:p w14:paraId="76C52556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F20E81">
          <v:rect id="_x0000_i1037" style="width:0;height:1.5pt" o:hralign="center" o:hrstd="t" o:hr="t" fillcolor="#a0a0a0" stroked="f"/>
        </w:pict>
      </w:r>
    </w:p>
    <w:p w14:paraId="0436538D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13. Байесовская калибровка</w:t>
      </w:r>
    </w:p>
    <w:p w14:paraId="332FECB7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свободные параметры модели оцениваются с помощью методов NPE и NDRE — это современные </w:t>
      </w:r>
      <w:proofErr w:type="spellStart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нейросетевые</w:t>
      </w:r>
      <w:proofErr w:type="spellEnd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методы аппроксимации апостериорного распределения.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Проще говоря, мы находим параметры, которые максимизируют согласие модели с данными.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Байесовский подход позволяет учитывать неопределённость и повышает статистическую обоснованность результатов.</w:t>
      </w:r>
    </w:p>
    <w:p w14:paraId="5098ED90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2334D2">
          <v:rect id="_x0000_i1038" style="width:0;height:1.5pt" o:hralign="center" o:hrstd="t" o:hr="t" fillcolor="#a0a0a0" stroked="f"/>
        </w:pict>
      </w:r>
    </w:p>
    <w:p w14:paraId="15DE9949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Слайды 14–19. Типы агентов</w:t>
      </w:r>
    </w:p>
    <w:p w14:paraId="17AB558C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включает всех ключевых </w:t>
      </w:r>
      <w:proofErr w:type="spellStart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акторов</w:t>
      </w:r>
      <w:proofErr w:type="spellEnd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экономики: индивидов, домохозяйства, фирмы, банки, государство, центральный банк и внешний мир.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позволяет замыкать экономику в рамках полной </w:t>
      </w:r>
      <w:proofErr w:type="spellStart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stock-flow</w:t>
      </w:r>
      <w:proofErr w:type="spellEnd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консистентности</w:t>
      </w:r>
      <w:proofErr w:type="spellEnd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каждый платеж одного агента — доход другого.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Агенты действуют поквартально, обновляя ожидания, принимая решения и участвуя в нескольких рынках.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 создаётся богатая, многослойная динамика, невозможная в DSGE.</w:t>
      </w:r>
    </w:p>
    <w:p w14:paraId="22FD8F0A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AE1A7B">
          <v:rect id="_x0000_i1039" style="width:0;height:1.5pt" o:hralign="center" o:hrstd="t" o:hr="t" fillcolor="#a0a0a0" stroked="f"/>
        </w:pict>
      </w:r>
    </w:p>
    <w:p w14:paraId="7465286E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Слайды 20–24. Рынки</w:t>
      </w:r>
    </w:p>
    <w:p w14:paraId="67CCEDD5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Экономика моделирует четыре основных рынка: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товарный, рынок труда, кредитный и рынок жилья.</w:t>
      </w:r>
    </w:p>
    <w:p w14:paraId="3BCCF78B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они взаимосвязаны: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спрос домохозяйств зависит от доходов и долгов;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найм зависит от спроса фирм;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кредиты зависят от рисков;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рынок жилья влияет на богатство и ипотеку.</w:t>
      </w:r>
    </w:p>
    <w:p w14:paraId="4141704E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эти каналы шоки проходят по экономике и формируют общую динамику.</w:t>
      </w:r>
    </w:p>
    <w:p w14:paraId="067E2DE4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3AB162">
          <v:rect id="_x0000_i1040" style="width:0;height:1.5pt" o:hralign="center" o:hrstd="t" o:hr="t" fillcolor="#a0a0a0" stroked="f"/>
        </w:pict>
      </w:r>
    </w:p>
    <w:p w14:paraId="31B3373B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Слайд 25–28. Данные</w:t>
      </w:r>
    </w:p>
    <w:p w14:paraId="435A9D23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использует множество источников данных: ICIO, World Bank, HFCS, </w:t>
      </w:r>
      <w:proofErr w:type="spellStart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Compustat</w:t>
      </w:r>
      <w:proofErr w:type="spellEnd"/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, BIS.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Каждый агент инициализируется реальными значениями — так мы избегаем ручной настройки.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Поведение определяется адаптивными ожиданиями, что ближе к реальному поведению людей и фирм.</w:t>
      </w:r>
    </w:p>
    <w:p w14:paraId="064B253B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B3C821">
          <v:rect id="_x0000_i1041" style="width:0;height:1.5pt" o:hralign="center" o:hrstd="t" o:hr="t" fillcolor="#a0a0a0" stroked="f"/>
        </w:pict>
      </w:r>
    </w:p>
    <w:p w14:paraId="0BDFEFED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29–33. Прогнозы</w:t>
      </w:r>
    </w:p>
    <w:p w14:paraId="29040003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цель — сравнить прогнозы новой модели с IIASA и AR(1).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Результаты впечатляющие: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модель снижает ошибку прогноза на 40–60% по ключевым переменным, включая ВВП, потребление и инфляцию.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 инвестициям точность также повышается, несмотря на их высокую волатильность.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33 из 38 стран новая модель предсказывает лучше, чем IIASA.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Байесовский фактор подтверждает статистическую значимость этих улучшений.</w:t>
      </w:r>
    </w:p>
    <w:p w14:paraId="19812D50" w14:textId="77777777" w:rsidR="00B503FC" w:rsidRPr="00B503FC" w:rsidRDefault="00B503FC" w:rsidP="00B5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11776E">
          <v:rect id="_x0000_i1042" style="width:0;height:1.5pt" o:hralign="center" o:hrstd="t" o:hr="t" fillcolor="#a0a0a0" stroked="f"/>
        </w:pict>
      </w:r>
    </w:p>
    <w:p w14:paraId="0BB40EB6" w14:textId="77777777" w:rsidR="00B503FC" w:rsidRPr="00B503FC" w:rsidRDefault="00B503FC" w:rsidP="00B50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03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34+. Симуляции шоков</w:t>
      </w:r>
    </w:p>
    <w:p w14:paraId="15A51BE2" w14:textId="77777777" w:rsidR="00B503FC" w:rsidRPr="00B503FC" w:rsidRDefault="00B503FC" w:rsidP="00B50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способна воспроизводить динамику экономики при различных шоках: падение спроса, восстановление, изменения поведения домохозяйств.</w:t>
      </w:r>
      <w:r w:rsidRPr="00B50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делает её перспективным инструментом для анализа политик, стресс-тестов и оценки устойчивости экономики.</w:t>
      </w:r>
    </w:p>
    <w:p w14:paraId="68F8414F" w14:textId="77777777" w:rsidR="004B56F0" w:rsidRDefault="004B56F0"/>
    <w:sectPr w:rsidR="004B5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8F3D4D"/>
    <w:multiLevelType w:val="multilevel"/>
    <w:tmpl w:val="F31E4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A4"/>
    <w:rsid w:val="004B56F0"/>
    <w:rsid w:val="00B503FC"/>
    <w:rsid w:val="00EE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A3934C-3BE7-44F9-A3E2-591C5D79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03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503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03F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503F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B503FC"/>
    <w:rPr>
      <w:b/>
      <w:bCs/>
    </w:rPr>
  </w:style>
  <w:style w:type="paragraph" w:styleId="a4">
    <w:name w:val="Normal (Web)"/>
    <w:basedOn w:val="a"/>
    <w:uiPriority w:val="99"/>
    <w:semiHidden/>
    <w:unhideWhenUsed/>
    <w:rsid w:val="00B50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8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1298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Мартыненко</dc:creator>
  <cp:keywords/>
  <dc:description/>
  <cp:lastModifiedBy>Александр Мартыненко</cp:lastModifiedBy>
  <cp:revision>2</cp:revision>
  <dcterms:created xsi:type="dcterms:W3CDTF">2025-11-17T22:04:00Z</dcterms:created>
  <dcterms:modified xsi:type="dcterms:W3CDTF">2025-11-17T22:04:00Z</dcterms:modified>
</cp:coreProperties>
</file>