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3C89F" w14:textId="77777777" w:rsidR="00E0189E" w:rsidRDefault="00F05DEF">
      <w:pPr>
        <w:pStyle w:val="Title"/>
      </w:pPr>
      <w:r>
        <w:t>Potential unintended consequences from investments in sustainable cattle ranching</w:t>
      </w:r>
    </w:p>
    <w:p w14:paraId="3553C8A0" w14:textId="77777777" w:rsidR="00E0189E" w:rsidRDefault="00F05DEF">
      <w:pPr>
        <w:pStyle w:val="Heading2"/>
      </w:pPr>
      <w:bookmarkStart w:id="0" w:name="abstract"/>
      <w:r>
        <w:t>Abstract</w:t>
      </w:r>
      <w:bookmarkEnd w:id="0"/>
    </w:p>
    <w:p w14:paraId="3553C8A1" w14:textId="77777777" w:rsidR="00E0189E" w:rsidRDefault="00F05DEF">
      <w:pPr>
        <w:pStyle w:val="FirstParagraph"/>
      </w:pPr>
      <w:r>
        <w:t>Taking Colombia a model system, the present correspondence argues that without appropriate safeguards, donor investments in sustainable cattle ranching could have unintended consequences, such as deforestation leakage. Investments promoting such systems in the Colombian Amazon will likely target farmers that produce milk and sell calves for beef production. It is likely that the adoption of sustainable cattle ranching will increase production outputs and enhance ecosystem services. Consequently such systems would also produce more calves. Evidence suggests, however, that a portion of these calves would then be sold for meat production in the forest frontier, thereby fueling deforestation. Determining unintended effects of sustainable investments, thus, warrants further investigation. In the meantime, because governance is weaker in frontier areas, investments in sustainable cattle ranching in Colombia must target both milk and beef supply chains to limit pasture expansion and the associated deforestation.</w:t>
      </w:r>
    </w:p>
    <w:p w14:paraId="3553C8A2" w14:textId="77777777" w:rsidR="00E0189E" w:rsidRDefault="00F05DEF">
      <w:pPr>
        <w:pStyle w:val="Heading2"/>
      </w:pPr>
      <w:bookmarkStart w:id="1" w:name="commentary"/>
      <w:r>
        <w:t>1. Commentary</w:t>
      </w:r>
      <w:bookmarkEnd w:id="1"/>
    </w:p>
    <w:p w14:paraId="3553C8A3" w14:textId="77777777" w:rsidR="00E0189E" w:rsidRDefault="00F05DEF">
      <w:pPr>
        <w:pStyle w:val="FirstParagraph"/>
      </w:pPr>
      <w:r>
        <w:t>At the COP25 climate summit in Madrid, the governments of Colombia, Germany, Norway and the United Kingdom signed a Declaration of Intent in which the three European countries committed US$366 million in result-based payments to Colombia to reduce deforestation (Republic of Colombia and Ireland 2019). Actions include transforming 147,000 hectares of ‘traditional’ cattle pastures into sustainable cattle ranching by 2022. In the context of the Latin American country, sustainable cattle ranching is commonly referred to as silvopastoral systems (SPS). These integrate trees, forage and cattle within the same area of land. Such systems are seen as critical to reduce deforestation for both climate change mitigation and biodiversity conservation (Nelson and Durschinger 2015). Nevertheless, it remains to be seen whether and how much silvopastoral systems will effectively reduce deforestation (Kaimowitz and Angelsen 2008).</w:t>
      </w:r>
    </w:p>
    <w:p w14:paraId="3553C8A4" w14:textId="77777777" w:rsidR="00E0189E" w:rsidRDefault="00F05DEF">
      <w:pPr>
        <w:pStyle w:val="BodyText"/>
      </w:pPr>
      <w:r>
        <w:t>Relationships between cattle ranching and tropical deforestation have been widely documented (Seymour and Harris 2019). Meanwhile, silvopastoril systems have proven to be economically, socially and environmentally beneficial. Farm level benefits include healthier livestock, more nutrient-rich soils and reduced greenhouse gas emissions (Chirinda et al. 2019). Furthermore, it has been demonstrated that farmers that adopt such systems produce comparatively more on less land than their counterparts working with traditional techniques (Kaimowitz and Angelsen 2008). Thus, it is expected that the widespread adoption of silvopastoral systems will reduce pressure on forests.</w:t>
      </w:r>
    </w:p>
    <w:p w14:paraId="3553C8A5" w14:textId="77777777" w:rsidR="00E0189E" w:rsidRDefault="00F05DEF">
      <w:pPr>
        <w:pStyle w:val="BodyText"/>
      </w:pPr>
      <w:r>
        <w:lastRenderedPageBreak/>
        <w:t>This expectation, though, has to be evaluated in light of several critical points. Likewise, many of these studies are based on anecdotal evidence, descriptive indicators and not incorporate counterfactual approaches (Börner et al. 2017). Hence, the generalized assumption that sustainable intensification always leads to positive impacts on forest conservation is likely to be flawed (Runting et al. 2019). For instance, the argument does not consider the contexts where such systems would be adopted, such as areas connected to markets and that lack land to expand production (Nelson and Durschinger 2015), nor does it consider the reported role that cattle pastures play in the deforestation and land grabbing (Armenteras et al. 2019).Thus, the impact of sustainable intensification on deforestation is likely to be highly context dependent and responds to land use dynamics, livelihoods, market dynamics and productivity.</w:t>
      </w:r>
    </w:p>
    <w:p w14:paraId="3553C8A6" w14:textId="77777777" w:rsidR="00E0189E" w:rsidRDefault="00F05DEF">
      <w:pPr>
        <w:pStyle w:val="BodyText"/>
      </w:pPr>
      <w:r>
        <w:t>We argument that unless these dynamics are better understood and addressed, the widespread adoption of silvopastoral systems may result in unintended consequences and potentially deforestation ‘leakages’. To exemplify our argument, we present the findings of a four years project with cattle farmers in Caquetá-Colombia that sought to develop and implement an SPS’ intervention in their farms. Our results indicate that cattle farmers who adopted SPS increase the size of the herd cattle, rise cows fertility, increase the number of calves and decrease the percentage of males’ cattle in their herd. This means that the farmer specializes in milk production, therefore the number of males’ cattle in its herd decreases over time.</w:t>
      </w:r>
    </w:p>
    <w:p w14:paraId="3553C8A7" w14:textId="77777777" w:rsidR="00E0189E" w:rsidRDefault="00F05DEF">
      <w:pPr>
        <w:pStyle w:val="BodyText"/>
      </w:pPr>
      <w:r>
        <w:t>In Colombia, investments promoting silvopastoral systems in the Amazon will likely target farmers that produce milk and sell calves for beef production (Nelson and Durschinger 2015). Therefore, if SPS’ interventions have multiple environmental benefits in the large term but in the medium term affects the number of calves produced, then complementary actions need be implemented to minimize potential deforestation “leakages”. Complementary actions would be the implementation for Payments for ecosystem services (PES) or green supply chains providing compensation for the opportunity cost of selling the calves. Since the Sustainable Cattle Ranching Project, a project implemented by the World Bank from 2012 across five cattle ranching regions in Colombia, the PES are used like a mechanism to encourage the SPS adoption (WorldBank 2009). Our results suggest that it is necessary to incorporate in the mechanisms and investments that promote the SPS’ adoption, like as PES, the possible negative externalities that could lead to a larger scale than the farm.</w:t>
      </w:r>
    </w:p>
    <w:p w14:paraId="3553C8A8" w14:textId="77777777" w:rsidR="00E0189E" w:rsidRDefault="00F05DEF">
      <w:pPr>
        <w:pStyle w:val="BodyText"/>
      </w:pPr>
      <w:r>
        <w:t xml:space="preserve">Our findings are based on a intervention undertaken with catlle farmers in municipalities of the Department of Caquetá, wich has one of the highest rates of deforestation in the country. The data was obtained from the implementation of the “Sustainable Amazonian Landscapes”. The project sought to provide national environmental authorities and local farmers with evidence to improve their capacity to mitigate and adapt to climate change, while improving environmental services and economic benefits for producers (CIAT 2015). To this end, the project collected </w:t>
      </w:r>
      <w:r>
        <w:lastRenderedPageBreak/>
        <w:t>socioeconomic information at the household level for 341 farmers in four municipalities</w:t>
      </w:r>
      <w:r>
        <w:rPr>
          <w:rStyle w:val="FootnoteReference"/>
        </w:rPr>
        <w:footnoteReference w:id="1"/>
      </w:r>
      <w:r>
        <w:t>, as a baseline, of which 121 was pre-selected and the implementation of silvopastoral system was randomly assigned to 24 cattle farmers. To examine the effects of adopting a silvopastoral system, we re-surveyed, the majority of the baseline’ participants in the 2020 year.</w:t>
      </w:r>
    </w:p>
    <w:p w14:paraId="3553C8A9" w14:textId="77777777" w:rsidR="00E0189E" w:rsidRDefault="00F05DEF">
      <w:pPr>
        <w:pStyle w:val="BodyText"/>
      </w:pPr>
      <w:r>
        <w:t>In general, milk- and calf-producing farms are common in areas with good governance conditions, good market access, lower deforestation rates, and low-quality pastures (Nelson and Durschinger 2015). The conditions of cattle farmers surveyed for the project’s baseline, reflect broader these aspects, their main source of livelihoods comes from milk and they have a small number of hectares of forest on their farms (Table 1). In contrast, further afield at the Amazon’s receding forest frontier, where deforestation and armed conflict overlap , producers focus almost exclusively on beef. These systems thrive, in part, because of decreased governance, limited market access, the higher-quality pastures that are available on recently deforested land – and, of course, a steady supply of calves to occupy new land.</w:t>
      </w:r>
    </w:p>
    <w:p w14:paraId="3553C8AA" w14:textId="77777777" w:rsidR="00E0189E" w:rsidRDefault="00F05DEF">
      <w:pPr>
        <w:pStyle w:val="TableCaption"/>
      </w:pPr>
      <w:r>
        <w:t>Table 1. Description of variables by adoption groups in Baseline (2016).</w:t>
      </w:r>
    </w:p>
    <w:tbl>
      <w:tblPr>
        <w:tblW w:w="11955" w:type="dxa"/>
        <w:jc w:val="center"/>
        <w:tblLayout w:type="fixed"/>
        <w:tblLook w:val="0420" w:firstRow="1" w:lastRow="0" w:firstColumn="0" w:lastColumn="0" w:noHBand="0" w:noVBand="1"/>
      </w:tblPr>
      <w:tblGrid>
        <w:gridCol w:w="3346"/>
        <w:gridCol w:w="1475"/>
        <w:gridCol w:w="3706"/>
        <w:gridCol w:w="3428"/>
      </w:tblGrid>
      <w:tr w:rsidR="00E0189E" w14:paraId="3553C8AF" w14:textId="77777777">
        <w:trPr>
          <w:cantSplit/>
          <w:tblHeader/>
          <w:jc w:val="center"/>
        </w:trPr>
        <w:tc>
          <w:tcPr>
            <w:tcW w:w="3346" w:type="dxa"/>
            <w:tcBorders>
              <w:top w:val="single" w:sz="16" w:space="0" w:color="000000"/>
            </w:tcBorders>
            <w:shd w:val="clear" w:color="auto" w:fill="FFFFFF"/>
            <w:tcMar>
              <w:top w:w="0" w:type="dxa"/>
              <w:left w:w="0" w:type="dxa"/>
              <w:bottom w:w="0" w:type="dxa"/>
              <w:right w:w="0" w:type="dxa"/>
            </w:tcMar>
            <w:vAlign w:val="center"/>
          </w:tcPr>
          <w:p w14:paraId="3553C8AB" w14:textId="77777777" w:rsidR="00E0189E" w:rsidRDefault="00E0189E">
            <w:pPr>
              <w:spacing w:after="0"/>
              <w:jc w:val="center"/>
            </w:pPr>
          </w:p>
        </w:tc>
        <w:tc>
          <w:tcPr>
            <w:tcW w:w="1475" w:type="dxa"/>
            <w:tcBorders>
              <w:top w:val="single" w:sz="16" w:space="0" w:color="000000"/>
              <w:bottom w:val="single" w:sz="8" w:space="0" w:color="000000"/>
            </w:tcBorders>
            <w:shd w:val="clear" w:color="auto" w:fill="FFFFFF"/>
            <w:tcMar>
              <w:top w:w="0" w:type="dxa"/>
              <w:left w:w="0" w:type="dxa"/>
              <w:bottom w:w="0" w:type="dxa"/>
              <w:right w:w="0" w:type="dxa"/>
            </w:tcMar>
            <w:vAlign w:val="center"/>
          </w:tcPr>
          <w:p w14:paraId="3553C8AC" w14:textId="77777777" w:rsidR="00E0189E" w:rsidRDefault="00F05DEF">
            <w:pPr>
              <w:spacing w:after="0"/>
              <w:jc w:val="center"/>
            </w:pPr>
            <w:r>
              <w:rPr>
                <w:rFonts w:ascii="Arial" w:eastAsia="Arial" w:hAnsi="Arial" w:cs="Arial"/>
                <w:b/>
                <w:color w:val="000000"/>
                <w:sz w:val="20"/>
                <w:szCs w:val="20"/>
              </w:rPr>
              <w:t>ALL</w:t>
            </w:r>
          </w:p>
        </w:tc>
        <w:tc>
          <w:tcPr>
            <w:tcW w:w="3706" w:type="dxa"/>
            <w:tcBorders>
              <w:top w:val="single" w:sz="16" w:space="0" w:color="000000"/>
              <w:bottom w:val="single" w:sz="8" w:space="0" w:color="000000"/>
            </w:tcBorders>
            <w:shd w:val="clear" w:color="auto" w:fill="FFFFFF"/>
            <w:tcMar>
              <w:top w:w="0" w:type="dxa"/>
              <w:left w:w="0" w:type="dxa"/>
              <w:bottom w:w="0" w:type="dxa"/>
              <w:right w:w="0" w:type="dxa"/>
            </w:tcMar>
            <w:vAlign w:val="center"/>
          </w:tcPr>
          <w:p w14:paraId="3553C8AD" w14:textId="77777777" w:rsidR="00E0189E" w:rsidRDefault="00F05DEF">
            <w:pPr>
              <w:spacing w:after="0"/>
              <w:jc w:val="center"/>
            </w:pPr>
            <w:r>
              <w:rPr>
                <w:rFonts w:ascii="Arial" w:eastAsia="Arial" w:hAnsi="Arial" w:cs="Arial"/>
                <w:b/>
                <w:color w:val="000000"/>
                <w:sz w:val="20"/>
                <w:szCs w:val="20"/>
              </w:rPr>
              <w:t xml:space="preserve">Farmer without </w:t>
            </w:r>
            <w:r>
              <w:rPr>
                <w:rFonts w:ascii="Arial" w:eastAsia="Arial" w:hAnsi="Arial" w:cs="Arial"/>
                <w:b/>
                <w:color w:val="000000"/>
                <w:sz w:val="20"/>
                <w:szCs w:val="20"/>
              </w:rPr>
              <w:br/>
              <w:t xml:space="preserve"> Silvopastoral Systems</w:t>
            </w:r>
          </w:p>
        </w:tc>
        <w:tc>
          <w:tcPr>
            <w:tcW w:w="3428" w:type="dxa"/>
            <w:tcBorders>
              <w:top w:val="single" w:sz="16" w:space="0" w:color="000000"/>
              <w:bottom w:val="single" w:sz="8" w:space="0" w:color="000000"/>
            </w:tcBorders>
            <w:shd w:val="clear" w:color="auto" w:fill="FFFFFF"/>
            <w:tcMar>
              <w:top w:w="0" w:type="dxa"/>
              <w:left w:w="0" w:type="dxa"/>
              <w:bottom w:w="0" w:type="dxa"/>
              <w:right w:w="0" w:type="dxa"/>
            </w:tcMar>
            <w:vAlign w:val="center"/>
          </w:tcPr>
          <w:p w14:paraId="3553C8AE" w14:textId="77777777" w:rsidR="00E0189E" w:rsidRDefault="00F05DEF">
            <w:pPr>
              <w:spacing w:after="0"/>
              <w:jc w:val="center"/>
            </w:pPr>
            <w:r>
              <w:rPr>
                <w:rFonts w:ascii="Arial" w:eastAsia="Arial" w:hAnsi="Arial" w:cs="Arial"/>
                <w:b/>
                <w:color w:val="000000"/>
                <w:sz w:val="20"/>
                <w:szCs w:val="20"/>
              </w:rPr>
              <w:t xml:space="preserve">Farmer with </w:t>
            </w:r>
            <w:r>
              <w:rPr>
                <w:rFonts w:ascii="Arial" w:eastAsia="Arial" w:hAnsi="Arial" w:cs="Arial"/>
                <w:b/>
                <w:color w:val="000000"/>
                <w:sz w:val="20"/>
                <w:szCs w:val="20"/>
              </w:rPr>
              <w:br/>
              <w:t xml:space="preserve"> Silvopastoral Systems</w:t>
            </w:r>
          </w:p>
        </w:tc>
      </w:tr>
      <w:tr w:rsidR="00E0189E" w14:paraId="3553C8B4" w14:textId="77777777">
        <w:trPr>
          <w:cantSplit/>
          <w:tblHeader/>
          <w:jc w:val="center"/>
        </w:trPr>
        <w:tc>
          <w:tcPr>
            <w:tcW w:w="3346" w:type="dxa"/>
            <w:shd w:val="clear" w:color="auto" w:fill="FFFFFF"/>
            <w:tcMar>
              <w:top w:w="0" w:type="dxa"/>
              <w:left w:w="0" w:type="dxa"/>
              <w:bottom w:w="0" w:type="dxa"/>
              <w:right w:w="0" w:type="dxa"/>
            </w:tcMar>
            <w:vAlign w:val="center"/>
          </w:tcPr>
          <w:p w14:paraId="3553C8B0" w14:textId="77777777" w:rsidR="00E0189E" w:rsidRDefault="00F05DEF">
            <w:pPr>
              <w:spacing w:after="0"/>
              <w:jc w:val="center"/>
            </w:pPr>
            <w:r>
              <w:rPr>
                <w:rFonts w:ascii="Arial" w:eastAsia="Arial" w:hAnsi="Arial" w:cs="Arial"/>
                <w:b/>
                <w:color w:val="000000"/>
                <w:sz w:val="20"/>
                <w:szCs w:val="20"/>
              </w:rPr>
              <w:t xml:space="preserve"> </w:t>
            </w:r>
          </w:p>
        </w:tc>
        <w:tc>
          <w:tcPr>
            <w:tcW w:w="1475" w:type="dxa"/>
            <w:tcBorders>
              <w:top w:val="single" w:sz="8" w:space="0" w:color="000000"/>
            </w:tcBorders>
            <w:shd w:val="clear" w:color="auto" w:fill="FFFFFF"/>
            <w:tcMar>
              <w:top w:w="0" w:type="dxa"/>
              <w:left w:w="0" w:type="dxa"/>
              <w:bottom w:w="0" w:type="dxa"/>
              <w:right w:w="0" w:type="dxa"/>
            </w:tcMar>
            <w:vAlign w:val="center"/>
          </w:tcPr>
          <w:p w14:paraId="3553C8B1" w14:textId="77777777" w:rsidR="00E0189E" w:rsidRDefault="00F05DEF">
            <w:pPr>
              <w:spacing w:after="0"/>
              <w:jc w:val="center"/>
            </w:pPr>
            <w:r>
              <w:rPr>
                <w:rFonts w:ascii="Arial" w:eastAsia="Arial" w:hAnsi="Arial" w:cs="Arial"/>
                <w:b/>
                <w:color w:val="000000"/>
                <w:sz w:val="20"/>
                <w:szCs w:val="20"/>
              </w:rPr>
              <w:t>Baseline</w:t>
            </w:r>
          </w:p>
        </w:tc>
        <w:tc>
          <w:tcPr>
            <w:tcW w:w="3706" w:type="dxa"/>
            <w:tcBorders>
              <w:top w:val="single" w:sz="8" w:space="0" w:color="000000"/>
            </w:tcBorders>
            <w:shd w:val="clear" w:color="auto" w:fill="FFFFFF"/>
            <w:tcMar>
              <w:top w:w="0" w:type="dxa"/>
              <w:left w:w="0" w:type="dxa"/>
              <w:bottom w:w="0" w:type="dxa"/>
              <w:right w:w="0" w:type="dxa"/>
            </w:tcMar>
            <w:vAlign w:val="center"/>
          </w:tcPr>
          <w:p w14:paraId="3553C8B2" w14:textId="77777777" w:rsidR="00E0189E" w:rsidRDefault="00F05DEF">
            <w:pPr>
              <w:spacing w:after="0"/>
              <w:jc w:val="center"/>
            </w:pPr>
            <w:r>
              <w:rPr>
                <w:rFonts w:ascii="Arial" w:eastAsia="Arial" w:hAnsi="Arial" w:cs="Arial"/>
                <w:b/>
                <w:color w:val="000000"/>
                <w:sz w:val="20"/>
                <w:szCs w:val="20"/>
              </w:rPr>
              <w:t>Baseline</w:t>
            </w:r>
          </w:p>
        </w:tc>
        <w:tc>
          <w:tcPr>
            <w:tcW w:w="3428" w:type="dxa"/>
            <w:tcBorders>
              <w:top w:val="single" w:sz="8" w:space="0" w:color="000000"/>
            </w:tcBorders>
            <w:shd w:val="clear" w:color="auto" w:fill="FFFFFF"/>
            <w:tcMar>
              <w:top w:w="0" w:type="dxa"/>
              <w:left w:w="0" w:type="dxa"/>
              <w:bottom w:w="0" w:type="dxa"/>
              <w:right w:w="0" w:type="dxa"/>
            </w:tcMar>
            <w:vAlign w:val="center"/>
          </w:tcPr>
          <w:p w14:paraId="3553C8B3" w14:textId="77777777" w:rsidR="00E0189E" w:rsidRDefault="00F05DEF">
            <w:pPr>
              <w:spacing w:after="0"/>
              <w:jc w:val="center"/>
            </w:pPr>
            <w:r>
              <w:rPr>
                <w:rFonts w:ascii="Arial" w:eastAsia="Arial" w:hAnsi="Arial" w:cs="Arial"/>
                <w:b/>
                <w:color w:val="000000"/>
                <w:sz w:val="20"/>
                <w:szCs w:val="20"/>
              </w:rPr>
              <w:t>Baseline</w:t>
            </w:r>
          </w:p>
        </w:tc>
      </w:tr>
      <w:tr w:rsidR="00E0189E" w14:paraId="3553C8B9" w14:textId="77777777">
        <w:trPr>
          <w:cantSplit/>
          <w:tblHeader/>
          <w:jc w:val="center"/>
        </w:trPr>
        <w:tc>
          <w:tcPr>
            <w:tcW w:w="3346" w:type="dxa"/>
            <w:tcBorders>
              <w:bottom w:val="single" w:sz="16" w:space="0" w:color="000000"/>
            </w:tcBorders>
            <w:shd w:val="clear" w:color="auto" w:fill="FFFFFF"/>
            <w:tcMar>
              <w:top w:w="0" w:type="dxa"/>
              <w:left w:w="0" w:type="dxa"/>
              <w:bottom w:w="0" w:type="dxa"/>
              <w:right w:w="0" w:type="dxa"/>
            </w:tcMar>
            <w:vAlign w:val="center"/>
          </w:tcPr>
          <w:p w14:paraId="3553C8B5" w14:textId="77777777" w:rsidR="00E0189E" w:rsidRDefault="00E0189E">
            <w:pPr>
              <w:spacing w:after="0"/>
              <w:jc w:val="center"/>
            </w:pPr>
          </w:p>
        </w:tc>
        <w:tc>
          <w:tcPr>
            <w:tcW w:w="1475" w:type="dxa"/>
            <w:tcBorders>
              <w:bottom w:val="single" w:sz="16" w:space="0" w:color="000000"/>
            </w:tcBorders>
            <w:shd w:val="clear" w:color="auto" w:fill="FFFFFF"/>
            <w:tcMar>
              <w:top w:w="0" w:type="dxa"/>
              <w:left w:w="0" w:type="dxa"/>
              <w:bottom w:w="0" w:type="dxa"/>
              <w:right w:w="0" w:type="dxa"/>
            </w:tcMar>
            <w:vAlign w:val="center"/>
          </w:tcPr>
          <w:p w14:paraId="3553C8B6" w14:textId="77777777" w:rsidR="00E0189E" w:rsidRDefault="00F05DEF">
            <w:pPr>
              <w:spacing w:after="0"/>
              <w:jc w:val="center"/>
            </w:pPr>
            <w:r>
              <w:rPr>
                <w:rFonts w:ascii="Arial" w:eastAsia="Arial" w:hAnsi="Arial" w:cs="Arial"/>
                <w:b/>
                <w:i/>
                <w:color w:val="000000"/>
                <w:sz w:val="20"/>
                <w:szCs w:val="20"/>
              </w:rPr>
              <w:t>N=149</w:t>
            </w:r>
          </w:p>
        </w:tc>
        <w:tc>
          <w:tcPr>
            <w:tcW w:w="3706" w:type="dxa"/>
            <w:tcBorders>
              <w:bottom w:val="single" w:sz="16" w:space="0" w:color="000000"/>
            </w:tcBorders>
            <w:shd w:val="clear" w:color="auto" w:fill="FFFFFF"/>
            <w:tcMar>
              <w:top w:w="0" w:type="dxa"/>
              <w:left w:w="0" w:type="dxa"/>
              <w:bottom w:w="0" w:type="dxa"/>
              <w:right w:w="0" w:type="dxa"/>
            </w:tcMar>
            <w:vAlign w:val="center"/>
          </w:tcPr>
          <w:p w14:paraId="3553C8B7" w14:textId="77777777" w:rsidR="00E0189E" w:rsidRDefault="00F05DEF">
            <w:pPr>
              <w:spacing w:after="0"/>
              <w:jc w:val="center"/>
            </w:pPr>
            <w:r>
              <w:rPr>
                <w:rFonts w:ascii="Arial" w:eastAsia="Arial" w:hAnsi="Arial" w:cs="Arial"/>
                <w:b/>
                <w:i/>
                <w:color w:val="000000"/>
                <w:sz w:val="20"/>
                <w:szCs w:val="20"/>
              </w:rPr>
              <w:t>N=97</w:t>
            </w:r>
          </w:p>
        </w:tc>
        <w:tc>
          <w:tcPr>
            <w:tcW w:w="3428" w:type="dxa"/>
            <w:tcBorders>
              <w:bottom w:val="single" w:sz="16" w:space="0" w:color="000000"/>
            </w:tcBorders>
            <w:shd w:val="clear" w:color="auto" w:fill="FFFFFF"/>
            <w:tcMar>
              <w:top w:w="0" w:type="dxa"/>
              <w:left w:w="0" w:type="dxa"/>
              <w:bottom w:w="0" w:type="dxa"/>
              <w:right w:w="0" w:type="dxa"/>
            </w:tcMar>
            <w:vAlign w:val="center"/>
          </w:tcPr>
          <w:p w14:paraId="3553C8B8" w14:textId="77777777" w:rsidR="00E0189E" w:rsidRDefault="00F05DEF">
            <w:pPr>
              <w:spacing w:after="0"/>
              <w:jc w:val="center"/>
            </w:pPr>
            <w:r>
              <w:rPr>
                <w:rFonts w:ascii="Arial" w:eastAsia="Arial" w:hAnsi="Arial" w:cs="Arial"/>
                <w:b/>
                <w:i/>
                <w:color w:val="000000"/>
                <w:sz w:val="20"/>
                <w:szCs w:val="20"/>
              </w:rPr>
              <w:t>N=45</w:t>
            </w:r>
          </w:p>
        </w:tc>
      </w:tr>
      <w:tr w:rsidR="00E0189E" w14:paraId="3553C8BE" w14:textId="77777777">
        <w:trPr>
          <w:cantSplit/>
          <w:jc w:val="center"/>
        </w:trPr>
        <w:tc>
          <w:tcPr>
            <w:tcW w:w="3346" w:type="dxa"/>
            <w:shd w:val="clear" w:color="auto" w:fill="FFFFFF"/>
            <w:tcMar>
              <w:top w:w="0" w:type="dxa"/>
              <w:left w:w="0" w:type="dxa"/>
              <w:bottom w:w="0" w:type="dxa"/>
              <w:right w:w="0" w:type="dxa"/>
            </w:tcMar>
            <w:vAlign w:val="center"/>
          </w:tcPr>
          <w:p w14:paraId="3553C8BA" w14:textId="77777777" w:rsidR="00E0189E" w:rsidRDefault="00F05DEF">
            <w:pPr>
              <w:spacing w:before="40" w:after="40"/>
              <w:ind w:left="100" w:right="100"/>
            </w:pPr>
            <w:r>
              <w:rPr>
                <w:rFonts w:ascii="Arial" w:eastAsia="Arial" w:hAnsi="Arial" w:cs="Arial"/>
                <w:color w:val="111111"/>
                <w:sz w:val="22"/>
                <w:szCs w:val="22"/>
              </w:rPr>
              <w:t>Farm_area_ha</w:t>
            </w:r>
          </w:p>
        </w:tc>
        <w:tc>
          <w:tcPr>
            <w:tcW w:w="1475" w:type="dxa"/>
            <w:shd w:val="clear" w:color="auto" w:fill="FFFFFF"/>
            <w:tcMar>
              <w:top w:w="0" w:type="dxa"/>
              <w:left w:w="0" w:type="dxa"/>
              <w:bottom w:w="0" w:type="dxa"/>
              <w:right w:w="0" w:type="dxa"/>
            </w:tcMar>
            <w:vAlign w:val="center"/>
          </w:tcPr>
          <w:p w14:paraId="3553C8BB" w14:textId="77777777" w:rsidR="00E0189E" w:rsidRDefault="00F05DEF">
            <w:pPr>
              <w:spacing w:before="40" w:after="40"/>
              <w:ind w:left="100" w:right="100"/>
              <w:jc w:val="center"/>
            </w:pPr>
            <w:r>
              <w:rPr>
                <w:rFonts w:ascii="Arial" w:eastAsia="Arial" w:hAnsi="Arial" w:cs="Arial"/>
                <w:color w:val="111111"/>
                <w:sz w:val="22"/>
                <w:szCs w:val="22"/>
              </w:rPr>
              <w:t>46.9 (34.8)</w:t>
            </w:r>
          </w:p>
        </w:tc>
        <w:tc>
          <w:tcPr>
            <w:tcW w:w="3706" w:type="dxa"/>
            <w:shd w:val="clear" w:color="auto" w:fill="FFFFFF"/>
            <w:tcMar>
              <w:top w:w="0" w:type="dxa"/>
              <w:left w:w="0" w:type="dxa"/>
              <w:bottom w:w="0" w:type="dxa"/>
              <w:right w:w="0" w:type="dxa"/>
            </w:tcMar>
            <w:vAlign w:val="center"/>
          </w:tcPr>
          <w:p w14:paraId="3553C8BC" w14:textId="77777777" w:rsidR="00E0189E" w:rsidRDefault="00F05DEF">
            <w:pPr>
              <w:spacing w:before="40" w:after="40"/>
              <w:ind w:left="100" w:right="100"/>
              <w:jc w:val="center"/>
            </w:pPr>
            <w:r>
              <w:rPr>
                <w:rFonts w:ascii="Arial" w:eastAsia="Arial" w:hAnsi="Arial" w:cs="Arial"/>
                <w:color w:val="111111"/>
                <w:sz w:val="22"/>
                <w:szCs w:val="22"/>
              </w:rPr>
              <w:t>48.9 (36.1)</w:t>
            </w:r>
          </w:p>
        </w:tc>
        <w:tc>
          <w:tcPr>
            <w:tcW w:w="3428" w:type="dxa"/>
            <w:shd w:val="clear" w:color="auto" w:fill="FFFFFF"/>
            <w:tcMar>
              <w:top w:w="0" w:type="dxa"/>
              <w:left w:w="0" w:type="dxa"/>
              <w:bottom w:w="0" w:type="dxa"/>
              <w:right w:w="0" w:type="dxa"/>
            </w:tcMar>
            <w:vAlign w:val="center"/>
          </w:tcPr>
          <w:p w14:paraId="3553C8BD" w14:textId="77777777" w:rsidR="00E0189E" w:rsidRDefault="00F05DEF">
            <w:pPr>
              <w:spacing w:before="40" w:after="40"/>
              <w:ind w:left="100" w:right="100"/>
              <w:jc w:val="center"/>
            </w:pPr>
            <w:r>
              <w:rPr>
                <w:rFonts w:ascii="Arial" w:eastAsia="Arial" w:hAnsi="Arial" w:cs="Arial"/>
                <w:color w:val="111111"/>
                <w:sz w:val="22"/>
                <w:szCs w:val="22"/>
              </w:rPr>
              <w:t>49.1 (30.7)</w:t>
            </w:r>
          </w:p>
        </w:tc>
      </w:tr>
      <w:tr w:rsidR="00E0189E" w14:paraId="3553C8C3" w14:textId="77777777">
        <w:trPr>
          <w:cantSplit/>
          <w:jc w:val="center"/>
        </w:trPr>
        <w:tc>
          <w:tcPr>
            <w:tcW w:w="3346" w:type="dxa"/>
            <w:shd w:val="clear" w:color="auto" w:fill="FFFFFF"/>
            <w:tcMar>
              <w:top w:w="0" w:type="dxa"/>
              <w:left w:w="0" w:type="dxa"/>
              <w:bottom w:w="0" w:type="dxa"/>
              <w:right w:w="0" w:type="dxa"/>
            </w:tcMar>
            <w:vAlign w:val="center"/>
          </w:tcPr>
          <w:p w14:paraId="3553C8BF" w14:textId="77777777" w:rsidR="00E0189E" w:rsidRDefault="00F05DEF">
            <w:pPr>
              <w:spacing w:before="40" w:after="40"/>
              <w:ind w:left="100" w:right="100"/>
            </w:pPr>
            <w:r>
              <w:rPr>
                <w:rFonts w:ascii="Arial" w:eastAsia="Arial" w:hAnsi="Arial" w:cs="Arial"/>
                <w:color w:val="111111"/>
                <w:sz w:val="22"/>
                <w:szCs w:val="22"/>
              </w:rPr>
              <w:t>Forest_Farm_area_ha</w:t>
            </w:r>
          </w:p>
        </w:tc>
        <w:tc>
          <w:tcPr>
            <w:tcW w:w="1475" w:type="dxa"/>
            <w:shd w:val="clear" w:color="auto" w:fill="FFFFFF"/>
            <w:tcMar>
              <w:top w:w="0" w:type="dxa"/>
              <w:left w:w="0" w:type="dxa"/>
              <w:bottom w:w="0" w:type="dxa"/>
              <w:right w:w="0" w:type="dxa"/>
            </w:tcMar>
            <w:vAlign w:val="center"/>
          </w:tcPr>
          <w:p w14:paraId="3553C8C0" w14:textId="77777777" w:rsidR="00E0189E" w:rsidRDefault="00F05DEF">
            <w:pPr>
              <w:spacing w:before="40" w:after="40"/>
              <w:ind w:left="100" w:right="100"/>
              <w:jc w:val="center"/>
            </w:pPr>
            <w:r>
              <w:rPr>
                <w:rFonts w:ascii="Arial" w:eastAsia="Arial" w:hAnsi="Arial" w:cs="Arial"/>
                <w:color w:val="111111"/>
                <w:sz w:val="22"/>
                <w:szCs w:val="22"/>
              </w:rPr>
              <w:t>3.65 (5.13)</w:t>
            </w:r>
          </w:p>
        </w:tc>
        <w:tc>
          <w:tcPr>
            <w:tcW w:w="3706" w:type="dxa"/>
            <w:shd w:val="clear" w:color="auto" w:fill="FFFFFF"/>
            <w:tcMar>
              <w:top w:w="0" w:type="dxa"/>
              <w:left w:w="0" w:type="dxa"/>
              <w:bottom w:w="0" w:type="dxa"/>
              <w:right w:w="0" w:type="dxa"/>
            </w:tcMar>
            <w:vAlign w:val="center"/>
          </w:tcPr>
          <w:p w14:paraId="3553C8C1" w14:textId="77777777" w:rsidR="00E0189E" w:rsidRDefault="00F05DEF">
            <w:pPr>
              <w:spacing w:before="40" w:after="40"/>
              <w:ind w:left="100" w:right="100"/>
              <w:jc w:val="center"/>
            </w:pPr>
            <w:r>
              <w:rPr>
                <w:rFonts w:ascii="Arial" w:eastAsia="Arial" w:hAnsi="Arial" w:cs="Arial"/>
                <w:color w:val="111111"/>
                <w:sz w:val="22"/>
                <w:szCs w:val="22"/>
              </w:rPr>
              <w:t>3.52 (4.95)</w:t>
            </w:r>
          </w:p>
        </w:tc>
        <w:tc>
          <w:tcPr>
            <w:tcW w:w="3428" w:type="dxa"/>
            <w:shd w:val="clear" w:color="auto" w:fill="FFFFFF"/>
            <w:tcMar>
              <w:top w:w="0" w:type="dxa"/>
              <w:left w:w="0" w:type="dxa"/>
              <w:bottom w:w="0" w:type="dxa"/>
              <w:right w:w="0" w:type="dxa"/>
            </w:tcMar>
            <w:vAlign w:val="center"/>
          </w:tcPr>
          <w:p w14:paraId="3553C8C2" w14:textId="77777777" w:rsidR="00E0189E" w:rsidRDefault="00F05DEF">
            <w:pPr>
              <w:spacing w:before="40" w:after="40"/>
              <w:ind w:left="100" w:right="100"/>
              <w:jc w:val="center"/>
            </w:pPr>
            <w:r>
              <w:rPr>
                <w:rFonts w:ascii="Arial" w:eastAsia="Arial" w:hAnsi="Arial" w:cs="Arial"/>
                <w:color w:val="111111"/>
                <w:sz w:val="22"/>
                <w:szCs w:val="22"/>
              </w:rPr>
              <w:t>4.48 (5.66)</w:t>
            </w:r>
          </w:p>
        </w:tc>
      </w:tr>
      <w:tr w:rsidR="00E0189E" w14:paraId="3553C8C8" w14:textId="77777777">
        <w:trPr>
          <w:cantSplit/>
          <w:jc w:val="center"/>
        </w:trPr>
        <w:tc>
          <w:tcPr>
            <w:tcW w:w="3346" w:type="dxa"/>
            <w:shd w:val="clear" w:color="auto" w:fill="FFFFFF"/>
            <w:tcMar>
              <w:top w:w="0" w:type="dxa"/>
              <w:left w:w="0" w:type="dxa"/>
              <w:bottom w:w="0" w:type="dxa"/>
              <w:right w:w="0" w:type="dxa"/>
            </w:tcMar>
            <w:vAlign w:val="center"/>
          </w:tcPr>
          <w:p w14:paraId="3553C8C4" w14:textId="77777777" w:rsidR="00E0189E" w:rsidRDefault="00F05DEF">
            <w:pPr>
              <w:spacing w:before="40" w:after="40"/>
              <w:ind w:left="100" w:right="100"/>
            </w:pPr>
            <w:r>
              <w:rPr>
                <w:rFonts w:ascii="Arial" w:eastAsia="Arial" w:hAnsi="Arial" w:cs="Arial"/>
                <w:color w:val="111111"/>
                <w:sz w:val="22"/>
                <w:szCs w:val="22"/>
              </w:rPr>
              <w:t>Cattle</w:t>
            </w:r>
          </w:p>
        </w:tc>
        <w:tc>
          <w:tcPr>
            <w:tcW w:w="1475" w:type="dxa"/>
            <w:shd w:val="clear" w:color="auto" w:fill="FFFFFF"/>
            <w:tcMar>
              <w:top w:w="0" w:type="dxa"/>
              <w:left w:w="0" w:type="dxa"/>
              <w:bottom w:w="0" w:type="dxa"/>
              <w:right w:w="0" w:type="dxa"/>
            </w:tcMar>
            <w:vAlign w:val="center"/>
          </w:tcPr>
          <w:p w14:paraId="3553C8C5" w14:textId="77777777" w:rsidR="00E0189E" w:rsidRDefault="00F05DEF">
            <w:pPr>
              <w:spacing w:before="40" w:after="40"/>
              <w:ind w:left="100" w:right="100"/>
              <w:jc w:val="center"/>
            </w:pPr>
            <w:r>
              <w:rPr>
                <w:rFonts w:ascii="Arial" w:eastAsia="Arial" w:hAnsi="Arial" w:cs="Arial"/>
                <w:color w:val="111111"/>
                <w:sz w:val="22"/>
                <w:szCs w:val="22"/>
              </w:rPr>
              <w:t>32.3 (26.1)</w:t>
            </w:r>
          </w:p>
        </w:tc>
        <w:tc>
          <w:tcPr>
            <w:tcW w:w="3706" w:type="dxa"/>
            <w:shd w:val="clear" w:color="auto" w:fill="FFFFFF"/>
            <w:tcMar>
              <w:top w:w="0" w:type="dxa"/>
              <w:left w:w="0" w:type="dxa"/>
              <w:bottom w:w="0" w:type="dxa"/>
              <w:right w:w="0" w:type="dxa"/>
            </w:tcMar>
            <w:vAlign w:val="center"/>
          </w:tcPr>
          <w:p w14:paraId="3553C8C6" w14:textId="77777777" w:rsidR="00E0189E" w:rsidRDefault="00F05DEF">
            <w:pPr>
              <w:spacing w:before="40" w:after="40"/>
              <w:ind w:left="100" w:right="100"/>
              <w:jc w:val="center"/>
            </w:pPr>
            <w:r>
              <w:rPr>
                <w:rFonts w:ascii="Arial" w:eastAsia="Arial" w:hAnsi="Arial" w:cs="Arial"/>
                <w:color w:val="111111"/>
                <w:sz w:val="22"/>
                <w:szCs w:val="22"/>
              </w:rPr>
              <w:t>32.4 (25.7)</w:t>
            </w:r>
          </w:p>
        </w:tc>
        <w:tc>
          <w:tcPr>
            <w:tcW w:w="3428" w:type="dxa"/>
            <w:shd w:val="clear" w:color="auto" w:fill="FFFFFF"/>
            <w:tcMar>
              <w:top w:w="0" w:type="dxa"/>
              <w:left w:w="0" w:type="dxa"/>
              <w:bottom w:w="0" w:type="dxa"/>
              <w:right w:w="0" w:type="dxa"/>
            </w:tcMar>
            <w:vAlign w:val="center"/>
          </w:tcPr>
          <w:p w14:paraId="3553C8C7" w14:textId="77777777" w:rsidR="00E0189E" w:rsidRDefault="00F05DEF">
            <w:pPr>
              <w:spacing w:before="40" w:after="40"/>
              <w:ind w:left="100" w:right="100"/>
              <w:jc w:val="center"/>
            </w:pPr>
            <w:r>
              <w:rPr>
                <w:rFonts w:ascii="Arial" w:eastAsia="Arial" w:hAnsi="Arial" w:cs="Arial"/>
                <w:color w:val="111111"/>
                <w:sz w:val="22"/>
                <w:szCs w:val="22"/>
              </w:rPr>
              <w:t>36.9 (26.0)</w:t>
            </w:r>
          </w:p>
        </w:tc>
      </w:tr>
      <w:tr w:rsidR="00E0189E" w14:paraId="3553C8CD" w14:textId="77777777">
        <w:trPr>
          <w:cantSplit/>
          <w:jc w:val="center"/>
        </w:trPr>
        <w:tc>
          <w:tcPr>
            <w:tcW w:w="3346" w:type="dxa"/>
            <w:shd w:val="clear" w:color="auto" w:fill="FFFFFF"/>
            <w:tcMar>
              <w:top w:w="0" w:type="dxa"/>
              <w:left w:w="0" w:type="dxa"/>
              <w:bottom w:w="0" w:type="dxa"/>
              <w:right w:w="0" w:type="dxa"/>
            </w:tcMar>
            <w:vAlign w:val="center"/>
          </w:tcPr>
          <w:p w14:paraId="3553C8C9" w14:textId="77777777" w:rsidR="00E0189E" w:rsidRDefault="00F05DEF">
            <w:pPr>
              <w:spacing w:before="40" w:after="40"/>
              <w:ind w:left="100" w:right="100"/>
            </w:pPr>
            <w:r>
              <w:rPr>
                <w:rFonts w:ascii="Arial" w:eastAsia="Arial" w:hAnsi="Arial" w:cs="Arial"/>
                <w:color w:val="111111"/>
                <w:sz w:val="22"/>
                <w:szCs w:val="22"/>
              </w:rPr>
              <w:t>Cattle_Per_Ha</w:t>
            </w:r>
          </w:p>
        </w:tc>
        <w:tc>
          <w:tcPr>
            <w:tcW w:w="1475" w:type="dxa"/>
            <w:shd w:val="clear" w:color="auto" w:fill="FFFFFF"/>
            <w:tcMar>
              <w:top w:w="0" w:type="dxa"/>
              <w:left w:w="0" w:type="dxa"/>
              <w:bottom w:w="0" w:type="dxa"/>
              <w:right w:w="0" w:type="dxa"/>
            </w:tcMar>
            <w:vAlign w:val="center"/>
          </w:tcPr>
          <w:p w14:paraId="3553C8CA" w14:textId="77777777" w:rsidR="00E0189E" w:rsidRDefault="00F05DEF">
            <w:pPr>
              <w:spacing w:before="40" w:after="40"/>
              <w:ind w:left="100" w:right="100"/>
              <w:jc w:val="center"/>
            </w:pPr>
            <w:r>
              <w:rPr>
                <w:rFonts w:ascii="Arial" w:eastAsia="Arial" w:hAnsi="Arial" w:cs="Arial"/>
                <w:color w:val="111111"/>
                <w:sz w:val="22"/>
                <w:szCs w:val="22"/>
              </w:rPr>
              <w:t>0.73 (0.58)</w:t>
            </w:r>
          </w:p>
        </w:tc>
        <w:tc>
          <w:tcPr>
            <w:tcW w:w="3706" w:type="dxa"/>
            <w:shd w:val="clear" w:color="auto" w:fill="FFFFFF"/>
            <w:tcMar>
              <w:top w:w="0" w:type="dxa"/>
              <w:left w:w="0" w:type="dxa"/>
              <w:bottom w:w="0" w:type="dxa"/>
              <w:right w:w="0" w:type="dxa"/>
            </w:tcMar>
            <w:vAlign w:val="center"/>
          </w:tcPr>
          <w:p w14:paraId="3553C8CB" w14:textId="77777777" w:rsidR="00E0189E" w:rsidRDefault="00F05DEF">
            <w:pPr>
              <w:spacing w:before="40" w:after="40"/>
              <w:ind w:left="100" w:right="100"/>
              <w:jc w:val="center"/>
            </w:pPr>
            <w:r>
              <w:rPr>
                <w:rFonts w:ascii="Arial" w:eastAsia="Arial" w:hAnsi="Arial" w:cs="Arial"/>
                <w:color w:val="111111"/>
                <w:sz w:val="22"/>
                <w:szCs w:val="22"/>
              </w:rPr>
              <w:t>0.69 (0.51)</w:t>
            </w:r>
          </w:p>
        </w:tc>
        <w:tc>
          <w:tcPr>
            <w:tcW w:w="3428" w:type="dxa"/>
            <w:shd w:val="clear" w:color="auto" w:fill="FFFFFF"/>
            <w:tcMar>
              <w:top w:w="0" w:type="dxa"/>
              <w:left w:w="0" w:type="dxa"/>
              <w:bottom w:w="0" w:type="dxa"/>
              <w:right w:w="0" w:type="dxa"/>
            </w:tcMar>
            <w:vAlign w:val="center"/>
          </w:tcPr>
          <w:p w14:paraId="3553C8CC" w14:textId="77777777" w:rsidR="00E0189E" w:rsidRDefault="00F05DEF">
            <w:pPr>
              <w:spacing w:before="40" w:after="40"/>
              <w:ind w:left="100" w:right="100"/>
              <w:jc w:val="center"/>
            </w:pPr>
            <w:r>
              <w:rPr>
                <w:rFonts w:ascii="Arial" w:eastAsia="Arial" w:hAnsi="Arial" w:cs="Arial"/>
                <w:color w:val="111111"/>
                <w:sz w:val="22"/>
                <w:szCs w:val="22"/>
              </w:rPr>
              <w:t>0.87 (0.63)</w:t>
            </w:r>
          </w:p>
        </w:tc>
      </w:tr>
      <w:tr w:rsidR="00E0189E" w14:paraId="3553C8D2" w14:textId="77777777">
        <w:trPr>
          <w:cantSplit/>
          <w:jc w:val="center"/>
        </w:trPr>
        <w:tc>
          <w:tcPr>
            <w:tcW w:w="3346" w:type="dxa"/>
            <w:shd w:val="clear" w:color="auto" w:fill="FFFFFF"/>
            <w:tcMar>
              <w:top w:w="0" w:type="dxa"/>
              <w:left w:w="0" w:type="dxa"/>
              <w:bottom w:w="0" w:type="dxa"/>
              <w:right w:w="0" w:type="dxa"/>
            </w:tcMar>
            <w:vAlign w:val="center"/>
          </w:tcPr>
          <w:p w14:paraId="3553C8CE" w14:textId="77777777" w:rsidR="00E0189E" w:rsidRDefault="00F05DEF">
            <w:pPr>
              <w:spacing w:before="40" w:after="40"/>
              <w:ind w:left="100" w:right="100"/>
            </w:pPr>
            <w:r>
              <w:rPr>
                <w:rFonts w:ascii="Arial" w:eastAsia="Arial" w:hAnsi="Arial" w:cs="Arial"/>
                <w:color w:val="111111"/>
                <w:sz w:val="22"/>
                <w:szCs w:val="22"/>
              </w:rPr>
              <w:t>Milk_Prod_Per_Cow</w:t>
            </w:r>
          </w:p>
        </w:tc>
        <w:tc>
          <w:tcPr>
            <w:tcW w:w="1475" w:type="dxa"/>
            <w:shd w:val="clear" w:color="auto" w:fill="FFFFFF"/>
            <w:tcMar>
              <w:top w:w="0" w:type="dxa"/>
              <w:left w:w="0" w:type="dxa"/>
              <w:bottom w:w="0" w:type="dxa"/>
              <w:right w:w="0" w:type="dxa"/>
            </w:tcMar>
            <w:vAlign w:val="center"/>
          </w:tcPr>
          <w:p w14:paraId="3553C8CF" w14:textId="77777777" w:rsidR="00E0189E" w:rsidRDefault="00F05DEF">
            <w:pPr>
              <w:spacing w:before="40" w:after="40"/>
              <w:ind w:left="100" w:right="100"/>
              <w:jc w:val="center"/>
            </w:pPr>
            <w:r>
              <w:rPr>
                <w:rFonts w:ascii="Arial" w:eastAsia="Arial" w:hAnsi="Arial" w:cs="Arial"/>
                <w:color w:val="111111"/>
                <w:sz w:val="22"/>
                <w:szCs w:val="22"/>
              </w:rPr>
              <w:t>3.24 (2.44)</w:t>
            </w:r>
          </w:p>
        </w:tc>
        <w:tc>
          <w:tcPr>
            <w:tcW w:w="3706" w:type="dxa"/>
            <w:shd w:val="clear" w:color="auto" w:fill="FFFFFF"/>
            <w:tcMar>
              <w:top w:w="0" w:type="dxa"/>
              <w:left w:w="0" w:type="dxa"/>
              <w:bottom w:w="0" w:type="dxa"/>
              <w:right w:w="0" w:type="dxa"/>
            </w:tcMar>
            <w:vAlign w:val="center"/>
          </w:tcPr>
          <w:p w14:paraId="3553C8D0" w14:textId="77777777" w:rsidR="00E0189E" w:rsidRDefault="00F05DEF">
            <w:pPr>
              <w:spacing w:before="40" w:after="40"/>
              <w:ind w:left="100" w:right="100"/>
              <w:jc w:val="center"/>
            </w:pPr>
            <w:r>
              <w:rPr>
                <w:rFonts w:ascii="Arial" w:eastAsia="Arial" w:hAnsi="Arial" w:cs="Arial"/>
                <w:color w:val="111111"/>
                <w:sz w:val="22"/>
                <w:szCs w:val="22"/>
              </w:rPr>
              <w:t>3.27 (2.41)</w:t>
            </w:r>
          </w:p>
        </w:tc>
        <w:tc>
          <w:tcPr>
            <w:tcW w:w="3428" w:type="dxa"/>
            <w:shd w:val="clear" w:color="auto" w:fill="FFFFFF"/>
            <w:tcMar>
              <w:top w:w="0" w:type="dxa"/>
              <w:left w:w="0" w:type="dxa"/>
              <w:bottom w:w="0" w:type="dxa"/>
              <w:right w:w="0" w:type="dxa"/>
            </w:tcMar>
            <w:vAlign w:val="center"/>
          </w:tcPr>
          <w:p w14:paraId="3553C8D1" w14:textId="77777777" w:rsidR="00E0189E" w:rsidRDefault="00F05DEF">
            <w:pPr>
              <w:spacing w:before="40" w:after="40"/>
              <w:ind w:left="100" w:right="100"/>
              <w:jc w:val="center"/>
            </w:pPr>
            <w:r>
              <w:rPr>
                <w:rFonts w:ascii="Arial" w:eastAsia="Arial" w:hAnsi="Arial" w:cs="Arial"/>
                <w:color w:val="111111"/>
                <w:sz w:val="22"/>
                <w:szCs w:val="22"/>
              </w:rPr>
              <w:t>3.67 (2.33)</w:t>
            </w:r>
          </w:p>
        </w:tc>
      </w:tr>
      <w:tr w:rsidR="00E0189E" w14:paraId="3553C8D7" w14:textId="77777777">
        <w:trPr>
          <w:cantSplit/>
          <w:jc w:val="center"/>
        </w:trPr>
        <w:tc>
          <w:tcPr>
            <w:tcW w:w="3346" w:type="dxa"/>
            <w:shd w:val="clear" w:color="auto" w:fill="FFFFFF"/>
            <w:tcMar>
              <w:top w:w="0" w:type="dxa"/>
              <w:left w:w="0" w:type="dxa"/>
              <w:bottom w:w="0" w:type="dxa"/>
              <w:right w:w="0" w:type="dxa"/>
            </w:tcMar>
            <w:vAlign w:val="center"/>
          </w:tcPr>
          <w:p w14:paraId="3553C8D3" w14:textId="77777777" w:rsidR="00E0189E" w:rsidRDefault="00F05DEF">
            <w:pPr>
              <w:spacing w:before="40" w:after="40"/>
              <w:ind w:left="100" w:right="100"/>
            </w:pPr>
            <w:r>
              <w:rPr>
                <w:rFonts w:ascii="Arial" w:eastAsia="Arial" w:hAnsi="Arial" w:cs="Arial"/>
                <w:color w:val="111111"/>
                <w:sz w:val="22"/>
                <w:szCs w:val="22"/>
              </w:rPr>
              <w:t>Livestock_Income_millon_cop</w:t>
            </w:r>
          </w:p>
        </w:tc>
        <w:tc>
          <w:tcPr>
            <w:tcW w:w="1475" w:type="dxa"/>
            <w:shd w:val="clear" w:color="auto" w:fill="FFFFFF"/>
            <w:tcMar>
              <w:top w:w="0" w:type="dxa"/>
              <w:left w:w="0" w:type="dxa"/>
              <w:bottom w:w="0" w:type="dxa"/>
              <w:right w:w="0" w:type="dxa"/>
            </w:tcMar>
            <w:vAlign w:val="center"/>
          </w:tcPr>
          <w:p w14:paraId="3553C8D4" w14:textId="77777777" w:rsidR="00E0189E" w:rsidRDefault="00F05DEF">
            <w:pPr>
              <w:spacing w:before="40" w:after="40"/>
              <w:ind w:left="100" w:right="100"/>
              <w:jc w:val="center"/>
            </w:pPr>
            <w:r>
              <w:rPr>
                <w:rFonts w:ascii="Arial" w:eastAsia="Arial" w:hAnsi="Arial" w:cs="Arial"/>
                <w:color w:val="111111"/>
                <w:sz w:val="22"/>
                <w:szCs w:val="22"/>
              </w:rPr>
              <w:t>0.32 (0.94)</w:t>
            </w:r>
          </w:p>
        </w:tc>
        <w:tc>
          <w:tcPr>
            <w:tcW w:w="3706" w:type="dxa"/>
            <w:shd w:val="clear" w:color="auto" w:fill="FFFFFF"/>
            <w:tcMar>
              <w:top w:w="0" w:type="dxa"/>
              <w:left w:w="0" w:type="dxa"/>
              <w:bottom w:w="0" w:type="dxa"/>
              <w:right w:w="0" w:type="dxa"/>
            </w:tcMar>
            <w:vAlign w:val="center"/>
          </w:tcPr>
          <w:p w14:paraId="3553C8D5" w14:textId="77777777" w:rsidR="00E0189E" w:rsidRDefault="00F05DEF">
            <w:pPr>
              <w:spacing w:before="40" w:after="40"/>
              <w:ind w:left="100" w:right="100"/>
              <w:jc w:val="center"/>
            </w:pPr>
            <w:r>
              <w:rPr>
                <w:rFonts w:ascii="Arial" w:eastAsia="Arial" w:hAnsi="Arial" w:cs="Arial"/>
                <w:color w:val="111111"/>
                <w:sz w:val="22"/>
                <w:szCs w:val="22"/>
              </w:rPr>
              <w:t>0.21 (0.81)</w:t>
            </w:r>
          </w:p>
        </w:tc>
        <w:tc>
          <w:tcPr>
            <w:tcW w:w="3428" w:type="dxa"/>
            <w:shd w:val="clear" w:color="auto" w:fill="FFFFFF"/>
            <w:tcMar>
              <w:top w:w="0" w:type="dxa"/>
              <w:left w:w="0" w:type="dxa"/>
              <w:bottom w:w="0" w:type="dxa"/>
              <w:right w:w="0" w:type="dxa"/>
            </w:tcMar>
            <w:vAlign w:val="center"/>
          </w:tcPr>
          <w:p w14:paraId="3553C8D6" w14:textId="77777777" w:rsidR="00E0189E" w:rsidRDefault="00F05DEF">
            <w:pPr>
              <w:spacing w:before="40" w:after="40"/>
              <w:ind w:left="100" w:right="100"/>
              <w:jc w:val="center"/>
            </w:pPr>
            <w:r>
              <w:rPr>
                <w:rFonts w:ascii="Arial" w:eastAsia="Arial" w:hAnsi="Arial" w:cs="Arial"/>
                <w:color w:val="111111"/>
                <w:sz w:val="22"/>
                <w:szCs w:val="22"/>
              </w:rPr>
              <w:t>0.60 (1.18)</w:t>
            </w:r>
          </w:p>
        </w:tc>
      </w:tr>
      <w:tr w:rsidR="00E0189E" w14:paraId="3553C8DC" w14:textId="77777777">
        <w:trPr>
          <w:cantSplit/>
          <w:jc w:val="center"/>
        </w:trPr>
        <w:tc>
          <w:tcPr>
            <w:tcW w:w="3346" w:type="dxa"/>
            <w:tcBorders>
              <w:bottom w:val="single" w:sz="16" w:space="0" w:color="000000"/>
            </w:tcBorders>
            <w:shd w:val="clear" w:color="auto" w:fill="FFFFFF"/>
            <w:tcMar>
              <w:top w:w="0" w:type="dxa"/>
              <w:left w:w="0" w:type="dxa"/>
              <w:bottom w:w="0" w:type="dxa"/>
              <w:right w:w="0" w:type="dxa"/>
            </w:tcMar>
            <w:vAlign w:val="center"/>
          </w:tcPr>
          <w:p w14:paraId="3553C8D8" w14:textId="77777777" w:rsidR="00E0189E" w:rsidRDefault="00F05DEF">
            <w:pPr>
              <w:spacing w:before="40" w:after="40"/>
              <w:ind w:left="100" w:right="100"/>
            </w:pPr>
            <w:r>
              <w:rPr>
                <w:rFonts w:ascii="Arial" w:eastAsia="Arial" w:hAnsi="Arial" w:cs="Arial"/>
                <w:color w:val="111111"/>
                <w:sz w:val="22"/>
                <w:szCs w:val="22"/>
              </w:rPr>
              <w:t>Milk_Income_millon_cop</w:t>
            </w:r>
          </w:p>
        </w:tc>
        <w:tc>
          <w:tcPr>
            <w:tcW w:w="1475" w:type="dxa"/>
            <w:tcBorders>
              <w:bottom w:val="single" w:sz="16" w:space="0" w:color="000000"/>
            </w:tcBorders>
            <w:shd w:val="clear" w:color="auto" w:fill="FFFFFF"/>
            <w:tcMar>
              <w:top w:w="0" w:type="dxa"/>
              <w:left w:w="0" w:type="dxa"/>
              <w:bottom w:w="0" w:type="dxa"/>
              <w:right w:w="0" w:type="dxa"/>
            </w:tcMar>
            <w:vAlign w:val="center"/>
          </w:tcPr>
          <w:p w14:paraId="3553C8D9" w14:textId="77777777" w:rsidR="00E0189E" w:rsidRDefault="00F05DEF">
            <w:pPr>
              <w:spacing w:before="40" w:after="40"/>
              <w:ind w:left="100" w:right="100"/>
              <w:jc w:val="center"/>
            </w:pPr>
            <w:r>
              <w:rPr>
                <w:rFonts w:ascii="Arial" w:eastAsia="Arial" w:hAnsi="Arial" w:cs="Arial"/>
                <w:color w:val="111111"/>
                <w:sz w:val="22"/>
                <w:szCs w:val="22"/>
              </w:rPr>
              <w:t>13.7 (32.4)</w:t>
            </w:r>
          </w:p>
        </w:tc>
        <w:tc>
          <w:tcPr>
            <w:tcW w:w="3706" w:type="dxa"/>
            <w:tcBorders>
              <w:bottom w:val="single" w:sz="16" w:space="0" w:color="000000"/>
            </w:tcBorders>
            <w:shd w:val="clear" w:color="auto" w:fill="FFFFFF"/>
            <w:tcMar>
              <w:top w:w="0" w:type="dxa"/>
              <w:left w:w="0" w:type="dxa"/>
              <w:bottom w:w="0" w:type="dxa"/>
              <w:right w:w="0" w:type="dxa"/>
            </w:tcMar>
            <w:vAlign w:val="center"/>
          </w:tcPr>
          <w:p w14:paraId="3553C8DA" w14:textId="77777777" w:rsidR="00E0189E" w:rsidRDefault="00F05DEF">
            <w:pPr>
              <w:spacing w:before="40" w:after="40"/>
              <w:ind w:left="100" w:right="100"/>
              <w:jc w:val="center"/>
            </w:pPr>
            <w:r>
              <w:rPr>
                <w:rFonts w:ascii="Arial" w:eastAsia="Arial" w:hAnsi="Arial" w:cs="Arial"/>
                <w:color w:val="111111"/>
                <w:sz w:val="22"/>
                <w:szCs w:val="22"/>
              </w:rPr>
              <w:t>17.4 (39.0)</w:t>
            </w:r>
          </w:p>
        </w:tc>
        <w:tc>
          <w:tcPr>
            <w:tcW w:w="3428" w:type="dxa"/>
            <w:tcBorders>
              <w:bottom w:val="single" w:sz="16" w:space="0" w:color="000000"/>
            </w:tcBorders>
            <w:shd w:val="clear" w:color="auto" w:fill="FFFFFF"/>
            <w:tcMar>
              <w:top w:w="0" w:type="dxa"/>
              <w:left w:w="0" w:type="dxa"/>
              <w:bottom w:w="0" w:type="dxa"/>
              <w:right w:w="0" w:type="dxa"/>
            </w:tcMar>
            <w:vAlign w:val="center"/>
          </w:tcPr>
          <w:p w14:paraId="3553C8DB" w14:textId="77777777" w:rsidR="00E0189E" w:rsidRDefault="00F05DEF">
            <w:pPr>
              <w:spacing w:before="40" w:after="40"/>
              <w:ind w:left="100" w:right="100"/>
              <w:jc w:val="center"/>
            </w:pPr>
            <w:r>
              <w:rPr>
                <w:rFonts w:ascii="Arial" w:eastAsia="Arial" w:hAnsi="Arial" w:cs="Arial"/>
                <w:color w:val="111111"/>
                <w:sz w:val="22"/>
                <w:szCs w:val="22"/>
              </w:rPr>
              <w:t>7.94 (10.3)</w:t>
            </w:r>
          </w:p>
        </w:tc>
      </w:tr>
    </w:tbl>
    <w:p w14:paraId="3553C8DD" w14:textId="77777777" w:rsidR="00E0189E" w:rsidRDefault="00F05DEF">
      <w:pPr>
        <w:pStyle w:val="BodyText"/>
      </w:pPr>
      <w:r>
        <w:t>Because governance is weaker in frontier areas (Baptiste et al. 2017), it is uncertain whether investments in silvopastoral systems will create conditions that facilitate deforestation – including increased supply of calves that are part of deforestation and land-grabbing strategies at the agricultural frontier. Existing literature has yet to provide an answer; thus, determining any unintended effects of investments promoting sustainable cattle ranching warrants further investigation. A better understanding of such effects may help to maximize the benefits and develop safeguards to address the risk of deforestation “leakage,” in Colombia and elsewhere.</w:t>
      </w:r>
    </w:p>
    <w:p w14:paraId="3553C8DE" w14:textId="77777777" w:rsidR="00E0189E" w:rsidRDefault="00F05DEF">
      <w:pPr>
        <w:pStyle w:val="BodyText"/>
      </w:pPr>
      <w:r>
        <w:t xml:space="preserve">In the meantime, interventions to promote silvopastoral systems in Colombia must target both milk and beef supply chains to limit pasture expansion and the associated deforestation. However, economic theory suggests that improving returns to land increases the demand for </w:t>
      </w:r>
      <w:r>
        <w:lastRenderedPageBreak/>
        <w:t>land for intensive farming activities (Kaimowitz and Angelsen 2008). Thus, reinforcing governance at forest frontiers is required to ensure that well-intentioned investments to reduce deforestation are indeed well-conceived and achieve the expected results (Armenteras et al. 2019).</w:t>
      </w:r>
    </w:p>
    <w:p w14:paraId="3553C8DF" w14:textId="77777777" w:rsidR="00E0189E" w:rsidRDefault="00F05DEF">
      <w:pPr>
        <w:pStyle w:val="BodyText"/>
      </w:pPr>
      <w:r>
        <w:rPr>
          <w:b/>
        </w:rPr>
        <w:t>REFERENCES</w:t>
      </w:r>
    </w:p>
    <w:p w14:paraId="3553C8E0" w14:textId="77777777" w:rsidR="00E0189E" w:rsidRPr="00F05DEF" w:rsidRDefault="00F05DEF" w:rsidP="00F05DEF">
      <w:pPr>
        <w:pStyle w:val="Bibliography"/>
      </w:pPr>
      <w:bookmarkStart w:id="2" w:name="ref-armenteras2019curb"/>
      <w:bookmarkStart w:id="3" w:name="refs"/>
      <w:proofErr w:type="spellStart"/>
      <w:r w:rsidRPr="00F05DEF">
        <w:t>Armenteras</w:t>
      </w:r>
      <w:proofErr w:type="spellEnd"/>
      <w:r w:rsidRPr="00F05DEF">
        <w:t xml:space="preserve">, Dolors, Pablo Negret, Luis F Melgarejo, Tobia M Lakes, </w:t>
      </w:r>
      <w:proofErr w:type="spellStart"/>
      <w:r w:rsidRPr="00F05DEF">
        <w:t>Marı́a</w:t>
      </w:r>
      <w:proofErr w:type="spellEnd"/>
      <w:r w:rsidRPr="00F05DEF">
        <w:t xml:space="preserve"> C Londo</w:t>
      </w:r>
      <w:r w:rsidRPr="00F05DEF">
        <w:rPr>
          <w:rFonts w:cs="Garamond"/>
        </w:rPr>
        <w:t>ñ</w:t>
      </w:r>
      <w:r w:rsidRPr="00F05DEF">
        <w:t>o, Jaime Garc</w:t>
      </w:r>
      <w:r w:rsidRPr="00F05DEF">
        <w:rPr>
          <w:rFonts w:cs="Garamond"/>
        </w:rPr>
        <w:t>ı</w:t>
      </w:r>
      <w:r w:rsidRPr="00F05DEF">
        <w:t xml:space="preserve">́a, Tobias Krueger, Matthias Baumann, and Liliana M Davalos. 2019. </w:t>
      </w:r>
      <w:r w:rsidRPr="00F05DEF">
        <w:rPr>
          <w:rFonts w:cs="Garamond"/>
        </w:rPr>
        <w:t>“</w:t>
      </w:r>
      <w:r w:rsidRPr="00F05DEF">
        <w:t>Curb Land Grabbing to Save the Amazon.</w:t>
      </w:r>
      <w:r w:rsidRPr="00F05DEF">
        <w:rPr>
          <w:rFonts w:cs="Garamond"/>
        </w:rPr>
        <w:t>”</w:t>
      </w:r>
      <w:r w:rsidRPr="00F05DEF">
        <w:t xml:space="preserve"> Nature Ecology &amp; Evolution 3 (11): 1497–7.</w:t>
      </w:r>
    </w:p>
    <w:p w14:paraId="3553C8E1" w14:textId="77777777" w:rsidR="00E0189E" w:rsidRDefault="00F05DEF" w:rsidP="00F05DEF">
      <w:pPr>
        <w:pStyle w:val="Bibliography"/>
      </w:pPr>
      <w:bookmarkStart w:id="4" w:name="ref-baptiste2017greening"/>
      <w:bookmarkEnd w:id="2"/>
      <w:proofErr w:type="spellStart"/>
      <w:r w:rsidRPr="00491FDE">
        <w:rPr>
          <w:lang w:val="es-CO"/>
        </w:rPr>
        <w:t>Baptiste</w:t>
      </w:r>
      <w:proofErr w:type="spellEnd"/>
      <w:r w:rsidRPr="00491FDE">
        <w:rPr>
          <w:lang w:val="es-CO"/>
        </w:rPr>
        <w:t xml:space="preserve">, Brigitte, Miguel Pinedo-Vasquez, </w:t>
      </w:r>
      <w:proofErr w:type="spellStart"/>
      <w:r w:rsidRPr="00491FDE">
        <w:rPr>
          <w:lang w:val="es-CO"/>
        </w:rPr>
        <w:t>Victor</w:t>
      </w:r>
      <w:proofErr w:type="spellEnd"/>
      <w:r w:rsidRPr="00491FDE">
        <w:rPr>
          <w:lang w:val="es-CO"/>
        </w:rPr>
        <w:t xml:space="preserve"> H Gutierrez-Velez, Germán I Andrade, Pablo Vieira, Lina M Estupiñán-Suárez, Maria C Londoño, William Laurance, and </w:t>
      </w:r>
      <w:proofErr w:type="spellStart"/>
      <w:r w:rsidRPr="00491FDE">
        <w:rPr>
          <w:lang w:val="es-CO"/>
        </w:rPr>
        <w:t>Tien</w:t>
      </w:r>
      <w:proofErr w:type="spellEnd"/>
      <w:r w:rsidRPr="00491FDE">
        <w:rPr>
          <w:lang w:val="es-CO"/>
        </w:rPr>
        <w:t xml:space="preserve"> Ming Lee. 2017. </w:t>
      </w:r>
      <w:r>
        <w:t xml:space="preserve">“Greening Peace in Colombia.” </w:t>
      </w:r>
      <w:r>
        <w:rPr>
          <w:i/>
        </w:rPr>
        <w:t>Nature Ecology &amp; Evolution</w:t>
      </w:r>
      <w:r>
        <w:t xml:space="preserve"> 1 (4): 1–3.</w:t>
      </w:r>
    </w:p>
    <w:p w14:paraId="3553C8E2" w14:textId="77777777" w:rsidR="00E0189E" w:rsidRDefault="00F05DEF" w:rsidP="00F05DEF">
      <w:pPr>
        <w:pStyle w:val="Bibliography"/>
      </w:pPr>
      <w:bookmarkStart w:id="5" w:name="ref-borner2017effectiveness"/>
      <w:bookmarkEnd w:id="4"/>
      <w:r>
        <w:t xml:space="preserve">Börner, Jan, Kathy Baylis, Esteve Corbera, Driss Ezzine-de-Blas, Jordi Honey-Rosés, U Martin Persson, and Sven Wunder. 2017. “The Effectiveness of Payments for Environmental Services.” </w:t>
      </w:r>
      <w:r>
        <w:rPr>
          <w:i/>
        </w:rPr>
        <w:t>World Development</w:t>
      </w:r>
      <w:r>
        <w:t xml:space="preserve"> 96: 359–74.</w:t>
      </w:r>
    </w:p>
    <w:p w14:paraId="3553C8E3" w14:textId="77777777" w:rsidR="00E0189E" w:rsidRDefault="00F05DEF" w:rsidP="00F05DEF">
      <w:pPr>
        <w:pStyle w:val="Bibliography"/>
      </w:pPr>
      <w:bookmarkStart w:id="6" w:name="ref-chirinda2019adequate"/>
      <w:bookmarkEnd w:id="5"/>
      <w:r>
        <w:t xml:space="preserve">Chirinda, Ngonidzashe, Sandra Loaiza, Laura Arenas, Verónica Ruiz, Claudia Faverı́n, Carolina Alvarez, Jean Vı́ctor Savian, et al. 2019. </w:t>
      </w:r>
      <w:r>
        <w:rPr>
          <w:rFonts w:cs="Garamond"/>
        </w:rPr>
        <w:t>“</w:t>
      </w:r>
      <w:r>
        <w:t>Adequate Vegetative Cover Decreases Nitrous Oxide Emissions from Cattle Urine Deposited in Grazed Pastures Under Rainy Season Conditions.</w:t>
      </w:r>
      <w:r>
        <w:rPr>
          <w:rFonts w:cs="Garamond"/>
        </w:rPr>
        <w:t>”</w:t>
      </w:r>
      <w:r>
        <w:t xml:space="preserve"> </w:t>
      </w:r>
      <w:r>
        <w:rPr>
          <w:i/>
        </w:rPr>
        <w:t>Scientific Reports</w:t>
      </w:r>
      <w:r>
        <w:t xml:space="preserve"> 9 (1): 1–9.</w:t>
      </w:r>
    </w:p>
    <w:p w14:paraId="3553C8E4" w14:textId="77777777" w:rsidR="00E0189E" w:rsidRDefault="00F05DEF" w:rsidP="00F05DEF">
      <w:pPr>
        <w:pStyle w:val="Bibliography"/>
      </w:pPr>
      <w:bookmarkStart w:id="7" w:name="ref-sal2015"/>
      <w:bookmarkEnd w:id="6"/>
      <w:r>
        <w:t>CIAT. 2015. “Sustainable Amazonian Landscapes.” Cali, Colombia: International Center for Tropical Agriculture., 1P.</w:t>
      </w:r>
    </w:p>
    <w:p w14:paraId="3553C8E5" w14:textId="77777777" w:rsidR="00E0189E" w:rsidRDefault="00F05DEF" w:rsidP="00F05DEF">
      <w:pPr>
        <w:pStyle w:val="Bibliography"/>
      </w:pPr>
      <w:bookmarkStart w:id="8" w:name="ref-kaimowitz2008will"/>
      <w:bookmarkEnd w:id="7"/>
      <w:r>
        <w:t xml:space="preserve">Kaimowitz, David, and Arild Angelsen. 2008. “Will Livestock Intensification Help Save Latin America’s Tropical Forests?” </w:t>
      </w:r>
      <w:r>
        <w:rPr>
          <w:i/>
        </w:rPr>
        <w:t>Journal of Sustainable Forestry</w:t>
      </w:r>
      <w:r>
        <w:t xml:space="preserve"> 27 (1-2): 6–24.</w:t>
      </w:r>
    </w:p>
    <w:p w14:paraId="3553C8E6" w14:textId="77777777" w:rsidR="00E0189E" w:rsidRDefault="00F05DEF" w:rsidP="00F05DEF">
      <w:pPr>
        <w:pStyle w:val="Bibliography"/>
      </w:pPr>
      <w:bookmarkStart w:id="9" w:name="ref-nelson2015supporting"/>
      <w:bookmarkEnd w:id="8"/>
      <w:r>
        <w:t xml:space="preserve">Nelson, N, and L Durschinger. 2015. “Supporting Zero-Deforestation Cattle in Colombia.” </w:t>
      </w:r>
      <w:r>
        <w:rPr>
          <w:i/>
        </w:rPr>
        <w:t>USAID-Supported Forest Carbon, Markets and Communities Program. Washington, DC, USA</w:t>
      </w:r>
      <w:r>
        <w:t>.</w:t>
      </w:r>
    </w:p>
    <w:p w14:paraId="3553C8E7" w14:textId="77777777" w:rsidR="00E0189E" w:rsidRDefault="00F05DEF" w:rsidP="00F05DEF">
      <w:pPr>
        <w:pStyle w:val="Bibliography"/>
      </w:pPr>
      <w:bookmarkStart w:id="10" w:name="ref-col2019z"/>
      <w:bookmarkEnd w:id="9"/>
      <w:r>
        <w:t xml:space="preserve">Republic of Colombia, F. R. of Germany, K. of Norway, and N. Ireland. 2019. “Joint Declaration of Intent (Jdi) Between the Governments of the Republic of Colombia, the Kingdom of Norway, the Federal Republic of Germany and the United Kingdom of Great Britain and Northern Ireland on the Cooperation on Reducing Greenhouse Gas Emission.” </w:t>
      </w:r>
      <w:hyperlink r:id="rId10">
        <w:r>
          <w:rPr>
            <w:rStyle w:val="Hyperlink"/>
          </w:rPr>
          <w:t>https://www.bmu.de/fileadmin/Daten_BMU/Download_PDF/Klimaschutz/cop_25_joint_declaration_of_intent_en_bf.pdf</w:t>
        </w:r>
      </w:hyperlink>
      <w:r>
        <w:t>.</w:t>
      </w:r>
    </w:p>
    <w:p w14:paraId="3553C8E8" w14:textId="77777777" w:rsidR="00E0189E" w:rsidRDefault="00F05DEF" w:rsidP="00F05DEF">
      <w:pPr>
        <w:pStyle w:val="Bibliography"/>
      </w:pPr>
      <w:bookmarkStart w:id="11" w:name="ref-runting2019larger"/>
      <w:bookmarkEnd w:id="10"/>
      <w:r>
        <w:t xml:space="preserve">Runting, Rebecca K, Bronson W Griscom, Matthew J Struebig, Musnanda Satar, Erik Meijaard, Zuzana Burivalova, Susan M Cheyne, et al. 2019. “Larger Gains from Improved Management over Sparing–Sharing for Tropical Forests.” </w:t>
      </w:r>
      <w:r>
        <w:rPr>
          <w:i/>
        </w:rPr>
        <w:t>Nature Sustainability</w:t>
      </w:r>
      <w:r>
        <w:t xml:space="preserve"> 2 (1): 53–61.</w:t>
      </w:r>
    </w:p>
    <w:p w14:paraId="3553C8E9" w14:textId="77777777" w:rsidR="00E0189E" w:rsidRDefault="00F05DEF" w:rsidP="00F05DEF">
      <w:pPr>
        <w:pStyle w:val="Bibliography"/>
      </w:pPr>
      <w:bookmarkStart w:id="12" w:name="ref-seymour2019reducing"/>
      <w:bookmarkEnd w:id="11"/>
      <w:r>
        <w:t xml:space="preserve">Seymour, Frances, and Nancy L Harris. 2019. “Reducing Tropical Deforestation.” </w:t>
      </w:r>
      <w:r>
        <w:rPr>
          <w:i/>
        </w:rPr>
        <w:t>Science</w:t>
      </w:r>
      <w:r>
        <w:t xml:space="preserve"> 365 (6455): 756–57.</w:t>
      </w:r>
    </w:p>
    <w:p w14:paraId="3553C8EA" w14:textId="77777777" w:rsidR="00E0189E" w:rsidRDefault="00F05DEF" w:rsidP="00F05DEF">
      <w:pPr>
        <w:pStyle w:val="Bibliography"/>
      </w:pPr>
      <w:bookmarkStart w:id="13" w:name="ref-worldbank09"/>
      <w:bookmarkEnd w:id="12"/>
      <w:r>
        <w:t>WorldBank. 2009. “Colombia - Mainstreaming Sustainable Cattle Ranching.”</w:t>
      </w:r>
      <w:bookmarkEnd w:id="3"/>
      <w:bookmarkEnd w:id="13"/>
    </w:p>
    <w:sectPr w:rsidR="00E0189E">
      <w:headerReference w:type="default" r:id="rId11"/>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C75C7" w14:textId="77777777" w:rsidR="00215862" w:rsidRDefault="00215862">
      <w:pPr>
        <w:spacing w:after="0"/>
      </w:pPr>
      <w:r>
        <w:separator/>
      </w:r>
    </w:p>
  </w:endnote>
  <w:endnote w:type="continuationSeparator" w:id="0">
    <w:p w14:paraId="3D20F016" w14:textId="77777777" w:rsidR="00215862" w:rsidRDefault="002158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35A25" w14:textId="77777777" w:rsidR="00215862" w:rsidRDefault="00215862">
      <w:r>
        <w:separator/>
      </w:r>
    </w:p>
  </w:footnote>
  <w:footnote w:type="continuationSeparator" w:id="0">
    <w:p w14:paraId="4497E020" w14:textId="77777777" w:rsidR="00215862" w:rsidRDefault="00215862">
      <w:r>
        <w:continuationSeparator/>
      </w:r>
    </w:p>
  </w:footnote>
  <w:footnote w:id="1">
    <w:p w14:paraId="3553C8ED" w14:textId="77777777" w:rsidR="00E0189E" w:rsidRDefault="00F05DEF">
      <w:pPr>
        <w:pStyle w:val="FootnoteText"/>
      </w:pPr>
      <w:r>
        <w:rPr>
          <w:rStyle w:val="FootnoteReference"/>
        </w:rPr>
        <w:footnoteRef/>
      </w:r>
      <w:r>
        <w:t xml:space="preserve"> The households surveyed are from the municipalities of Albania, Morelia, Belén de los Andaquies and San José del Fragua.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217" w14:textId="4FF41164" w:rsidR="00491FDE" w:rsidRPr="00491FDE" w:rsidRDefault="00491FDE" w:rsidP="00491FDE">
    <w:pPr>
      <w:pStyle w:val="Header"/>
    </w:pPr>
    <w:r>
      <w:rPr>
        <w:noProof/>
      </w:rPr>
      <w:drawing>
        <wp:anchor distT="0" distB="0" distL="114300" distR="114300" simplePos="0" relativeHeight="251658240" behindDoc="0" locked="0" layoutInCell="1" allowOverlap="1" wp14:anchorId="614BFEF8" wp14:editId="22D0D1C1">
          <wp:simplePos x="0" y="0"/>
          <wp:positionH relativeFrom="margin">
            <wp:posOffset>4596765</wp:posOffset>
          </wp:positionH>
          <wp:positionV relativeFrom="margin">
            <wp:posOffset>-717550</wp:posOffset>
          </wp:positionV>
          <wp:extent cx="1903730" cy="595630"/>
          <wp:effectExtent l="0" t="0" r="1270" b="0"/>
          <wp:wrapSquare wrapText="bothSides"/>
          <wp:docPr id="188109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99280" name="Picture 1881099280"/>
                  <pic:cNvPicPr/>
                </pic:nvPicPr>
                <pic:blipFill>
                  <a:blip r:embed="rId1">
                    <a:extLst>
                      <a:ext uri="{28A0092B-C50C-407E-A947-70E740481C1C}">
                        <a14:useLocalDpi xmlns:a14="http://schemas.microsoft.com/office/drawing/2010/main" val="0"/>
                      </a:ext>
                    </a:extLst>
                  </a:blip>
                  <a:stretch>
                    <a:fillRect/>
                  </a:stretch>
                </pic:blipFill>
                <pic:spPr>
                  <a:xfrm>
                    <a:off x="0" y="0"/>
                    <a:ext cx="1903730" cy="5956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DC8F0F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A523B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DFAE58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A49A8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D7428E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EFA0A3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53EA36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7A6876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550F1F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B06D7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AE401"/>
    <w:multiLevelType w:val="multilevel"/>
    <w:tmpl w:val="85C8BA7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1" w15:restartNumberingAfterBreak="0">
    <w:nsid w:val="3FF135D3"/>
    <w:multiLevelType w:val="hybridMultilevel"/>
    <w:tmpl w:val="A2123D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00696058">
    <w:abstractNumId w:val="10"/>
  </w:num>
  <w:num w:numId="2" w16cid:durableId="1888107053">
    <w:abstractNumId w:val="8"/>
  </w:num>
  <w:num w:numId="3" w16cid:durableId="1527210754">
    <w:abstractNumId w:val="3"/>
  </w:num>
  <w:num w:numId="4" w16cid:durableId="293174596">
    <w:abstractNumId w:val="2"/>
  </w:num>
  <w:num w:numId="5" w16cid:durableId="673151146">
    <w:abstractNumId w:val="1"/>
  </w:num>
  <w:num w:numId="6" w16cid:durableId="661740718">
    <w:abstractNumId w:val="0"/>
  </w:num>
  <w:num w:numId="7" w16cid:durableId="1560168280">
    <w:abstractNumId w:val="9"/>
  </w:num>
  <w:num w:numId="8" w16cid:durableId="294872374">
    <w:abstractNumId w:val="7"/>
  </w:num>
  <w:num w:numId="9" w16cid:durableId="166405225">
    <w:abstractNumId w:val="6"/>
  </w:num>
  <w:num w:numId="10" w16cid:durableId="103576044">
    <w:abstractNumId w:val="5"/>
  </w:num>
  <w:num w:numId="11" w16cid:durableId="1066798808">
    <w:abstractNumId w:val="4"/>
  </w:num>
  <w:num w:numId="12" w16cid:durableId="512302441">
    <w:abstractNumId w:val="10"/>
  </w:num>
  <w:num w:numId="13" w16cid:durableId="345258017">
    <w:abstractNumId w:val="11"/>
  </w:num>
  <w:num w:numId="14" w16cid:durableId="1085497031">
    <w:abstractNumId w:val="10"/>
  </w:num>
  <w:num w:numId="15" w16cid:durableId="728695324">
    <w:abstractNumId w:val="10"/>
  </w:num>
  <w:num w:numId="16" w16cid:durableId="1955014915">
    <w:abstractNumId w:val="10"/>
  </w:num>
  <w:num w:numId="17" w16cid:durableId="20704206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D07"/>
    <w:rsid w:val="00011C8B"/>
    <w:rsid w:val="00215862"/>
    <w:rsid w:val="00491FDE"/>
    <w:rsid w:val="004E29B3"/>
    <w:rsid w:val="00590D07"/>
    <w:rsid w:val="00642910"/>
    <w:rsid w:val="00784D58"/>
    <w:rsid w:val="008D6863"/>
    <w:rsid w:val="00B86B75"/>
    <w:rsid w:val="00BC48D5"/>
    <w:rsid w:val="00C36279"/>
    <w:rsid w:val="00C613E3"/>
    <w:rsid w:val="00E0189E"/>
    <w:rsid w:val="00E315A3"/>
    <w:rsid w:val="00F05DE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3C89F"/>
  <w15:docId w15:val="{762C8AF9-59B6-4BB2-829B-091211662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rsid w:val="00443946"/>
    <w:pPr>
      <w:keepNext/>
      <w:keepLines/>
      <w:spacing w:before="200" w:after="0" w:line="276" w:lineRule="auto"/>
      <w:outlineLvl w:val="1"/>
    </w:pPr>
    <w:rPr>
      <w:rFonts w:ascii="Garamond" w:eastAsiaTheme="majorEastAsia" w:hAnsi="Garamond" w:cstheme="majorBidi"/>
      <w:b/>
      <w:bCs/>
      <w:color w:val="000000" w:themeColor="text1"/>
      <w:sz w:val="32"/>
      <w:szCs w:val="32"/>
    </w:rPr>
  </w:style>
  <w:style w:type="paragraph" w:styleId="Heading3">
    <w:name w:val="heading 3"/>
    <w:basedOn w:val="Normal"/>
    <w:next w:val="BodyText"/>
    <w:uiPriority w:val="9"/>
    <w:unhideWhenUsed/>
    <w:qFormat/>
    <w:rsid w:val="00443946"/>
    <w:pPr>
      <w:keepNext/>
      <w:keepLines/>
      <w:spacing w:before="200" w:after="0" w:line="480" w:lineRule="auto"/>
      <w:outlineLvl w:val="2"/>
    </w:pPr>
    <w:rPr>
      <w:rFonts w:ascii="Garamond" w:eastAsiaTheme="majorEastAsia" w:hAnsi="Garamond" w:cstheme="majorBidi"/>
      <w:b/>
      <w:bCs/>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77011"/>
    <w:pPr>
      <w:spacing w:before="180" w:after="180" w:line="276" w:lineRule="auto"/>
      <w:jc w:val="both"/>
    </w:pPr>
    <w:rPr>
      <w:rFonts w:ascii="Garamond" w:hAnsi="Garamond"/>
    </w:rPr>
  </w:style>
  <w:style w:type="paragraph" w:customStyle="1" w:styleId="FirstParagraph">
    <w:name w:val="First Paragraph"/>
    <w:basedOn w:val="BodyText"/>
    <w:next w:val="BodyText"/>
    <w:qFormat/>
    <w:rsid w:val="009C747B"/>
  </w:style>
  <w:style w:type="paragraph" w:customStyle="1" w:styleId="Compact">
    <w:name w:val="Compact"/>
    <w:basedOn w:val="BodyText"/>
    <w:qFormat/>
    <w:pPr>
      <w:spacing w:before="36" w:after="36"/>
    </w:pPr>
  </w:style>
  <w:style w:type="paragraph" w:styleId="Title">
    <w:name w:val="Title"/>
    <w:basedOn w:val="Normal"/>
    <w:next w:val="BodyText"/>
    <w:qFormat/>
    <w:rsid w:val="009C747B"/>
    <w:pPr>
      <w:keepNext/>
      <w:keepLines/>
      <w:spacing w:before="480" w:after="240" w:line="276" w:lineRule="auto"/>
      <w:jc w:val="both"/>
    </w:pPr>
    <w:rPr>
      <w:rFonts w:ascii="Garamond" w:eastAsiaTheme="majorEastAsia" w:hAnsi="Garamond"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Heading2"/>
    <w:next w:val="BodyText"/>
    <w:qFormat/>
    <w:rsid w:val="009C747B"/>
  </w:style>
  <w:style w:type="paragraph" w:styleId="Bibliography">
    <w:name w:val="Bibliography"/>
    <w:basedOn w:val="Normal"/>
    <w:qFormat/>
    <w:rsid w:val="00F05DEF"/>
    <w:rPr>
      <w:rFonts w:ascii="Garamond" w:hAnsi="Garamond"/>
    </w:r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123A7A"/>
    <w:rPr>
      <w:rFonts w:ascii="Garamond" w:hAnsi="Garamond"/>
      <w:sz w:val="22"/>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B77011"/>
    <w:rPr>
      <w:rFonts w:ascii="Garamond" w:hAnsi="Garamond"/>
    </w:rPr>
  </w:style>
  <w:style w:type="paragraph" w:styleId="Header">
    <w:name w:val="header"/>
    <w:basedOn w:val="Normal"/>
    <w:link w:val="HeaderChar"/>
    <w:unhideWhenUsed/>
    <w:rsid w:val="00491FDE"/>
    <w:pPr>
      <w:tabs>
        <w:tab w:val="center" w:pos="4680"/>
        <w:tab w:val="right" w:pos="9360"/>
      </w:tabs>
      <w:spacing w:after="0"/>
    </w:pPr>
  </w:style>
  <w:style w:type="character" w:customStyle="1" w:styleId="HeaderChar">
    <w:name w:val="Header Char"/>
    <w:basedOn w:val="DefaultParagraphFont"/>
    <w:link w:val="Header"/>
    <w:rsid w:val="00491FDE"/>
  </w:style>
  <w:style w:type="paragraph" w:styleId="Footer">
    <w:name w:val="footer"/>
    <w:basedOn w:val="Normal"/>
    <w:link w:val="FooterChar"/>
    <w:unhideWhenUsed/>
    <w:rsid w:val="00491FDE"/>
    <w:pPr>
      <w:tabs>
        <w:tab w:val="center" w:pos="4680"/>
        <w:tab w:val="right" w:pos="9360"/>
      </w:tabs>
      <w:spacing w:after="0"/>
    </w:pPr>
  </w:style>
  <w:style w:type="character" w:customStyle="1" w:styleId="FooterChar">
    <w:name w:val="Footer Char"/>
    <w:basedOn w:val="DefaultParagraphFont"/>
    <w:link w:val="Footer"/>
    <w:rsid w:val="00491F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bmu.de/fileadmin/Daten_BMU/Download_PDF/Klimaschutz/cop_25_joint_declaration_of_intent_en_bf.pdf"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E68D166B24E0B4A823B7F7E1C04DAAF" ma:contentTypeVersion="12" ma:contentTypeDescription="Crear nuevo documento." ma:contentTypeScope="" ma:versionID="93f07c156bf6f63c2c95e9807c462a3f">
  <xsd:schema xmlns:xsd="http://www.w3.org/2001/XMLSchema" xmlns:xs="http://www.w3.org/2001/XMLSchema" xmlns:p="http://schemas.microsoft.com/office/2006/metadata/properties" xmlns:ns3="0805292a-e62f-47ca-b0ab-34d35daa8ddc" xmlns:ns4="58189065-29c2-42fe-97b5-daf378ac3285" targetNamespace="http://schemas.microsoft.com/office/2006/metadata/properties" ma:root="true" ma:fieldsID="d6376be9abe4d14f46e93690c30711be" ns3:_="" ns4:_="">
    <xsd:import namespace="0805292a-e62f-47ca-b0ab-34d35daa8ddc"/>
    <xsd:import namespace="58189065-29c2-42fe-97b5-daf378ac328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05292a-e62f-47ca-b0ab-34d35daa8ddc"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189065-29c2-42fe-97b5-daf378ac3285"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8A6BE6-E117-4181-96AC-9F99604199CD}">
  <ds:schemaRefs>
    <ds:schemaRef ds:uri="http://schemas.microsoft.com/sharepoint/v3/contenttype/forms"/>
  </ds:schemaRefs>
</ds:datastoreItem>
</file>

<file path=customXml/itemProps2.xml><?xml version="1.0" encoding="utf-8"?>
<ds:datastoreItem xmlns:ds="http://schemas.openxmlformats.org/officeDocument/2006/customXml" ds:itemID="{BA70E350-F741-486F-B377-627111F7B3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05292a-e62f-47ca-b0ab-34d35daa8ddc"/>
    <ds:schemaRef ds:uri="58189065-29c2-42fe-97b5-daf378ac32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372E5F-DD89-476E-A6D6-BBC08790FEF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1715</Words>
  <Characters>9776</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Potential unintended consequences from investments in sustainable cattle ranching</vt:lpstr>
    </vt:vector>
  </TitlesOfParts>
  <Company/>
  <LinksUpToDate>false</LinksUpToDate>
  <CharactersWithSpaces>11469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Potential unintended consequences from investments in sustainable cattle ranching</dc:title>
  <dc:creator>Alexander Buritica Casanova</dc:creator>
  <cp:keywords/>
  <cp:lastModifiedBy>Buritica, Alexander (Alliance Bioversity-CIAT)</cp:lastModifiedBy>
  <cp:revision>3</cp:revision>
  <dcterms:created xsi:type="dcterms:W3CDTF">2020-07-31T04:32:00Z</dcterms:created>
  <dcterms:modified xsi:type="dcterms:W3CDTF">2026-01-30T16:43:00Z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
  </property>
  <property fmtid="{D5CDD505-2E9C-101B-9397-08002B2CF9AE}" pid="4" name="output">
    <vt:lpwstr/>
  </property>
  <property fmtid="{D5CDD505-2E9C-101B-9397-08002B2CF9AE}" pid="5" name="ContentTypeId">
    <vt:lpwstr>0x0101009E68D166B24E0B4A823B7F7E1C04DAAF</vt:lpwstr>
  </property>
  <property fmtid="{D5CDD505-2E9C-101B-9397-08002B2CF9AE}" pid="6" name="GrammarlyDocumentId">
    <vt:lpwstr>fc340312-6720-475e-85da-c35a5ac6760f</vt:lpwstr>
  </property>
</Properties>
</file>