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Gamma Correction and Tone Processing Study Notes</w:t>
      </w:r>
    </w:p>
    <w:p>
      <w:r>
        <w:t>1. Why this topic matters</w:t>
        <w:br/>
        <w:t>Human vision is non-linear. Gamma and tone processing align image values with perception.</w:t>
      </w:r>
    </w:p>
    <w:p>
      <w:r>
        <w:t>2. Power Law Transformations</w:t>
        <w:br/>
        <w:t>s = c * r^gamma for r in [0,1]. gamma&lt;1 brightens, gamma&gt;1 darkens.</w:t>
        <w:br/>
        <w:t>Worked example: r=0.25, gamma=0.5 gives 0.5. r=0.25, gamma=2.2 gives about 0.047.</w:t>
      </w:r>
    </w:p>
    <w:p>
      <w:r>
        <w:t>3. Perceptual motivation</w:t>
        <w:br/>
        <w:t>Non-linear transfer allocates precision where perception is strongest.</w:t>
      </w:r>
    </w:p>
    <w:p>
      <w:r>
        <w:t>4. Gamma Encoding and Decoding</w:t>
        <w:br/>
        <w:t>Encode linear values for display, decode encoded values for linear operations.</w:t>
      </w:r>
    </w:p>
    <w:p>
      <w:r>
        <w:t>5. Non-linear standards</w:t>
        <w:br/>
        <w:t>sRGB piecewise transfer, Log encodings, Rec.2020 context.</w:t>
      </w:r>
    </w:p>
    <w:p>
      <w:r>
        <w:t>6. Tone Curves</w:t>
        <w:br/>
        <w:t>Sigmoid/S-curves shape midtone contrast and protect extremes.</w:t>
      </w:r>
    </w:p>
    <w:p>
      <w:r>
        <w:t>7. HDR Tone Mapping</w:t>
        <w:br/>
        <w:t>Global and local operators compress scene range to display range.</w:t>
      </w:r>
    </w:p>
    <w:p>
      <w:r>
        <w:t>8. Real-world applications</w:t>
        <w:br/>
        <w:t>Photography, cinema post, medical imaging, machine vision preprocessing.</w:t>
      </w:r>
    </w:p>
    <w:p>
      <w:r>
        <w:t>9. Common misconceptions</w:t>
        <w:br/>
        <w:t>Gamma is not simple brightness, and tone mapping does not recover clipped data.</w:t>
      </w:r>
    </w:p>
    <w:p>
      <w:r>
        <w:t>10. Key papers and standards</w:t>
        <w:br/>
        <w:t>[1] Reinhard et al. SIGGRAPH 2002. URL: https://dl.acm.org/doi/10.1145/566570.566575</w:t>
        <w:br/>
        <w:t>[2] Mantiuk et al. ACM TOG 2006. URL: https://dl.acm.org/doi/10.1145/1141911.1141915</w:t>
        <w:br/>
        <w:t>[3] IEC 61966-2-1 sRGB. URL: https://www.color.org/chardata/rgb/srgb.xalter</w:t>
        <w:br/>
        <w:t>[4] ITU-R BT.2020. URL: https://www.itu.int/rec/R-REC-BT.2020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