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3FDD" w14:textId="77777777" w:rsidR="00087198" w:rsidRPr="0031359F" w:rsidRDefault="00DD51FD">
      <w:pPr>
        <w:pBdr>
          <w:top w:val="single" w:sz="24" w:space="10" w:color="2E75B6"/>
        </w:pBdr>
        <w:spacing w:before="200" w:after="80"/>
      </w:pPr>
      <w:r w:rsidRPr="0031359F">
        <w:rPr>
          <w:b/>
          <w:bCs/>
          <w:color w:val="2E75B6"/>
          <w:spacing w:val="40"/>
          <w:sz w:val="22"/>
          <w:szCs w:val="22"/>
        </w:rPr>
        <w:t>DOCUMENTO DE COTIZACIÓN</w:t>
      </w:r>
    </w:p>
    <w:p w14:paraId="60F2C65E" w14:textId="77777777" w:rsidR="00087198" w:rsidRPr="0031359F" w:rsidRDefault="00DD51FD">
      <w:pPr>
        <w:spacing w:after="100"/>
      </w:pPr>
      <w:r>
        <w:rPr>
          <w:b/>
          <w:bCs/>
          <w:color w:val="1F3864"/>
          <w:sz w:val="44"/>
          <w:szCs w:val="44"/>
        </w:rPr>
        <w:t>Integración de equipos, contingencias y mejoras</w:t>
      </w:r>
    </w:p>
    <w:p w14:paraId="5CB0F01E" w14:textId="77777777" w:rsidR="00087198" w:rsidRPr="0031359F" w:rsidRDefault="00DD51FD">
      <w:pPr>
        <w:spacing w:after="60"/>
      </w:pPr>
      <w:r w:rsidRPr="0031359F">
        <w:rPr>
          <w:color w:val="595959"/>
          <w:sz w:val="26"/>
          <w:szCs w:val="26"/>
        </w:rPr>
        <w:t>Sistema de Control de Accesos · Terminal Monte Azul Mollendo (TMAM)</w:t>
      </w:r>
    </w:p>
    <w:p w14:paraId="0AF8A54A" w14:textId="77777777" w:rsidR="00087198" w:rsidRPr="0031359F" w:rsidRDefault="00DD51FD">
      <w:pPr>
        <w:spacing w:after="360"/>
      </w:pPr>
      <w:r>
        <w:rPr>
          <w:color w:val="595959"/>
          <w:sz w:val="22"/>
          <w:szCs w:val="22"/>
        </w:rPr>
        <w:t>23 de octubre de 2026</w:t>
      </w:r>
    </w:p>
    <w:p w14:paraId="7FE9BB0E" w14:textId="77777777" w:rsidR="00087198" w:rsidRPr="0031359F" w:rsidRDefault="00DD51FD">
      <w:pPr>
        <w:spacing w:after="140" w:line="288" w:lineRule="auto"/>
        <w:jc w:val="both"/>
      </w:pPr>
      <w:r>
        <w:t xml:space="preserve">Cotización de los desarrollos implementados sobre el Sistema de Control de Accesos después del 2 de octubre de 2026: el servidor en Azure con HTTPS, la integración del ingreso con el terminal facial y el alcoholímetro, las mejoras en personal y empresas y en el Panel de vigilancia, las contingencias del punto de acceso, el </w:t>
      </w:r>
      <w:proofErr w:type="spellStart"/>
      <w:r>
        <w:t>Dashboard</w:t>
      </w:r>
      <w:proofErr w:type="spellEnd"/>
      <w:r>
        <w:t xml:space="preserve"> y los reportes, y las mejoras de cuentas, seguridad y auditoría.</w:t>
      </w:r>
    </w:p>
    <w:p w14:paraId="44BA0A9C" w14:textId="77777777" w:rsidR="00D709E0" w:rsidRDefault="00DD51FD">
      <w:pPr>
        <w:pStyle w:val="Heading1"/>
        <w:rPr>
          <w:lang w:val="es-PE"/>
        </w:rPr>
      </w:pPr>
      <w:r>
        <w:rPr>
          <w:lang w:val="es-PE"/>
        </w:rPr>
        <w:t>1. Servidor y respaldos</w:t>
      </w:r>
    </w:p>
    <w:p w14:paraId="3035ECB2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Servidor en Azure:</w:t>
      </w:r>
      <w:r>
        <w:rPr>
          <w:lang w:val="es-PE"/>
        </w:rPr>
        <w:t xml:space="preserve"> el sistema funciona en la nube desde el 16/10/2026, en accesos.monteazulsur.com.pe con HTTPS.</w:t>
      </w:r>
    </w:p>
    <w:p w14:paraId="1FC64354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Controlador (PC):</w:t>
      </w:r>
      <w:r>
        <w:rPr>
          <w:lang w:val="es-PE"/>
        </w:rPr>
        <w:t xml:space="preserve"> lee los DNI, abre los molinetes e informa su estado, sin abrir puertos en la red del terminal.</w:t>
      </w:r>
    </w:p>
    <w:p w14:paraId="1411BF1E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Respaldos:</w:t>
      </w:r>
      <w:r>
        <w:rPr>
          <w:lang w:val="es-PE"/>
        </w:rPr>
        <w:t xml:space="preserve"> diarios a las 04:00, se guardan 30 días, y uno antes de cada actualización.</w:t>
      </w:r>
    </w:p>
    <w:p w14:paraId="07DD8DF6" w14:textId="77777777" w:rsidR="00087198" w:rsidRPr="0031359F" w:rsidRDefault="00087198">
      <w:pPr>
        <w:spacing w:after="60"/>
      </w:pPr>
    </w:p>
    <w:p w14:paraId="599BC259" w14:textId="77777777" w:rsidR="00D709E0" w:rsidRDefault="00DD51FD">
      <w:pPr>
        <w:pStyle w:val="Heading1"/>
        <w:rPr>
          <w:lang w:val="es-PE"/>
        </w:rPr>
      </w:pPr>
      <w:r>
        <w:rPr>
          <w:lang w:val="es-PE"/>
        </w:rPr>
        <w:t>2. Integración del ingreso con el terminal facial</w:t>
      </w:r>
    </w:p>
    <w:p w14:paraId="477BC213" w14:textId="77777777" w:rsidR="00D709E0" w:rsidRDefault="00DD51FD">
      <w:pPr>
        <w:spacing w:after="140" w:line="288" w:lineRule="auto"/>
        <w:jc w:val="both"/>
      </w:pPr>
      <w:r>
        <w:t xml:space="preserve">El terminal facial G4 Pro con alcoholímetro DT1700 queda integrado al sistema en </w:t>
      </w:r>
      <w:r>
        <w:rPr>
          <w:b/>
          <w:bCs/>
        </w:rPr>
        <w:t>modo asistencia</w:t>
      </w:r>
      <w:r>
        <w:t>: reconoce al personal, toma la prueba de alcohol y el sistema decide si abre el molinete.</w:t>
      </w:r>
    </w:p>
    <w:p w14:paraId="71D12266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Orden del ingreso:</w:t>
      </w:r>
      <w:r>
        <w:rPr>
          <w:lang w:val="es-PE"/>
        </w:rPr>
        <w:t xml:space="preserve"> DNI → Facial + Alcohol o Facial + Alcohol → DNI, elegido en Sistema y </w:t>
      </w:r>
      <w:proofErr w:type="spellStart"/>
      <w:r>
        <w:rPr>
          <w:lang w:val="es-PE"/>
        </w:rPr>
        <w:t>APIs</w:t>
      </w:r>
      <w:proofErr w:type="spellEnd"/>
      <w:r>
        <w:rPr>
          <w:lang w:val="es-PE"/>
        </w:rPr>
        <w:t>. En uso: primero la prueba y luego 30 segundos para pasar el DNI.</w:t>
      </w:r>
    </w:p>
    <w:p w14:paraId="7F21988A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Apertura de los molinetes</w:t>
      </w:r>
      <w:r>
        <w:rPr>
          <w:lang w:val="es-PE"/>
        </w:rPr>
        <w:t xml:space="preserve"> con relés, y relés de aviso (luz o sirena) cuando se deniega un ingreso o una salida.</w:t>
      </w:r>
    </w:p>
    <w:p w14:paraId="46E5DF24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proofErr w:type="spellStart"/>
      <w:r>
        <w:rPr>
          <w:b/>
          <w:bCs/>
          <w:lang w:val="es-PE"/>
        </w:rPr>
        <w:t>Antipassback</w:t>
      </w:r>
      <w:proofErr w:type="spellEnd"/>
      <w:r>
        <w:rPr>
          <w:b/>
          <w:bCs/>
          <w:lang w:val="es-PE"/>
        </w:rPr>
        <w:t>:</w:t>
      </w:r>
      <w:r>
        <w:rPr>
          <w:lang w:val="es-PE"/>
        </w:rPr>
        <w:t xml:space="preserve"> no se ingresa dos veces sin salir ni se sale sin haber entrado; el vigilante lo corrige con un motivo.</w:t>
      </w:r>
    </w:p>
    <w:p w14:paraId="7BAE4F67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Registro automático</w:t>
      </w:r>
      <w:r>
        <w:rPr>
          <w:lang w:val="es-PE"/>
        </w:rPr>
        <w:t xml:space="preserve"> del personal en el terminal con su foto y sincronización diaria.</w:t>
      </w:r>
    </w:p>
    <w:p w14:paraId="69290EC3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Sin internet:</w:t>
      </w:r>
      <w:r>
        <w:rPr>
          <w:lang w:val="es-PE"/>
        </w:rPr>
        <w:t xml:space="preserve"> nadie ingresa, pero las salidas siguen con la lista guardada en el Controlador (PC).</w:t>
      </w:r>
    </w:p>
    <w:p w14:paraId="672841DA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Monitor del G4 Pro:</w:t>
      </w:r>
      <w:r>
        <w:rPr>
          <w:lang w:val="es-PE"/>
        </w:rPr>
        <w:t xml:space="preserve"> cada prueba de rostro y alcohol, en vivo.</w:t>
      </w:r>
    </w:p>
    <w:p w14:paraId="0E73416F" w14:textId="77777777" w:rsidR="00087198" w:rsidRPr="0031359F" w:rsidRDefault="00087198">
      <w:pPr>
        <w:spacing w:after="60"/>
      </w:pPr>
    </w:p>
    <w:p w14:paraId="76A1EEC0" w14:textId="77777777" w:rsidR="00D709E0" w:rsidRDefault="00DD51FD">
      <w:pPr>
        <w:pStyle w:val="Heading1"/>
        <w:rPr>
          <w:lang w:val="es-PE"/>
        </w:rPr>
      </w:pPr>
      <w:r>
        <w:rPr>
          <w:lang w:val="es-PE"/>
        </w:rPr>
        <w:t>3. Personal y empresas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D709E0" w14:paraId="35E536A8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3B21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32BC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709E0" w14:paraId="3D9799B5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9549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Perfil de la persona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EB95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Personal de planta, contratista, subcontratista / proveedor, conductor, visita o cliente / mayorista; con filtro en la lista y en los reportes.</w:t>
            </w:r>
          </w:p>
        </w:tc>
      </w:tr>
      <w:tr w:rsidR="00D709E0" w14:paraId="5FA068CE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81DA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Pantalla Empresas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84E0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Registrar, editar, activar o desactivar y eliminar empresas, con su personal activo.</w:t>
            </w:r>
          </w:p>
        </w:tc>
      </w:tr>
      <w:tr w:rsidR="00D709E0" w14:paraId="332F29A1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821A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Carga masiva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DC11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Registro de hasta 2000 personas desde un Excel, revisado antes de guardar, con Excel de filas con error.</w:t>
            </w:r>
          </w:p>
        </w:tc>
      </w:tr>
      <w:tr w:rsidR="00D709E0" w14:paraId="25CC1864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DAD5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Editar datos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F2F3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Corregir los datos de una persona; el terminal facial se actualiza solo.</w:t>
            </w:r>
          </w:p>
        </w:tc>
      </w:tr>
      <w:tr w:rsidR="00D709E0" w14:paraId="4578B762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6C14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Documentos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F423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Lista fija (SCTR, CAMO e Inducción SSMA) y opción para ver cada documento cargado.</w:t>
            </w:r>
          </w:p>
        </w:tc>
      </w:tr>
      <w:tr w:rsidR="00D709E0" w14:paraId="32503C62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0E2E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Período de autorización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E3E9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Fechas y motivo en que la persona puede ingresar.</w:t>
            </w:r>
          </w:p>
        </w:tc>
      </w:tr>
      <w:tr w:rsidR="00D709E0" w14:paraId="7EFF0774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542B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Motivo de baja y reactivación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C3ED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Obligatorio y registrado en la Auditoría.</w:t>
            </w:r>
          </w:p>
        </w:tc>
      </w:tr>
      <w:tr w:rsidR="00D709E0" w14:paraId="42657914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DB5D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Consulta del vigilante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39C1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Personal y documentos en solo consulta.</w:t>
            </w:r>
          </w:p>
        </w:tc>
      </w:tr>
    </w:tbl>
    <w:p w14:paraId="49E2D78C" w14:textId="77777777" w:rsidR="00087198" w:rsidRPr="0031359F" w:rsidRDefault="00087198">
      <w:pPr>
        <w:spacing w:after="60"/>
      </w:pPr>
    </w:p>
    <w:p w14:paraId="1E73E330" w14:textId="77777777" w:rsidR="00D709E0" w:rsidRDefault="00DD51FD">
      <w:pPr>
        <w:pStyle w:val="Heading1"/>
        <w:rPr>
          <w:lang w:val="es-PE"/>
        </w:rPr>
      </w:pPr>
      <w:r>
        <w:rPr>
          <w:lang w:val="es-PE"/>
        </w:rPr>
        <w:t>4. Panel de vigilancia</w:t>
      </w:r>
    </w:p>
    <w:p w14:paraId="5EDF6D4C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Pase su DNI:</w:t>
      </w:r>
      <w:r>
        <w:rPr>
          <w:lang w:val="es-PE"/>
        </w:rPr>
        <w:t xml:space="preserve"> muestra a quien aprobó rostro y alcohol, con su foto y el tiempo que le queda.</w:t>
      </w:r>
    </w:p>
    <w:p w14:paraId="3C70D3AD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Foto y perfil</w:t>
      </w:r>
      <w:r>
        <w:rPr>
          <w:lang w:val="es-PE"/>
        </w:rPr>
        <w:t xml:space="preserve"> en cada ingreso y salida.</w:t>
      </w:r>
    </w:p>
    <w:p w14:paraId="4F75703C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Avisos:</w:t>
      </w:r>
      <w:r>
        <w:rPr>
          <w:lang w:val="es-PE"/>
        </w:rPr>
        <w:t xml:space="preserve"> orden del ingreso, salida sin DNI, contingencia, verificación manual y personas que no completaron la prueba.</w:t>
      </w:r>
    </w:p>
    <w:p w14:paraId="675F8636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Motivos de denegación</w:t>
      </w:r>
      <w:r>
        <w:rPr>
          <w:lang w:val="es-PE"/>
        </w:rPr>
        <w:t xml:space="preserve"> nuevos: fuera del período autorizado, ya figura dentro, no pasó su DNI a tiempo, entre otros.</w:t>
      </w:r>
    </w:p>
    <w:p w14:paraId="56ACAC58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Presentes ahora:</w:t>
      </w:r>
      <w:r>
        <w:rPr>
          <w:lang w:val="es-PE"/>
        </w:rPr>
        <w:t xml:space="preserve"> quiénes están dentro del terminal y desde hace cuánto.</w:t>
      </w:r>
    </w:p>
    <w:p w14:paraId="395C86EF" w14:textId="77777777" w:rsidR="00087198" w:rsidRPr="0031359F" w:rsidRDefault="00087198">
      <w:pPr>
        <w:spacing w:after="60"/>
      </w:pPr>
    </w:p>
    <w:p w14:paraId="2DB145EF" w14:textId="77777777" w:rsidR="00D709E0" w:rsidRDefault="00DD51FD">
      <w:pPr>
        <w:pStyle w:val="Heading1"/>
        <w:rPr>
          <w:lang w:val="es-PE"/>
        </w:rPr>
      </w:pPr>
      <w:r>
        <w:rPr>
          <w:lang w:val="es-PE"/>
        </w:rPr>
        <w:t>5. Contingencias del punto de acceso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D709E0" w14:paraId="1B80743B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A3C4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Contingencia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43AF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709E0" w14:paraId="6CC9FE03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C564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Aviso de fallas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4B85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Recuadro rojo en todas las pantallas cuando cae un equipo.</w:t>
            </w:r>
          </w:p>
        </w:tc>
      </w:tr>
      <w:tr w:rsidR="00D709E0" w14:paraId="7F5066A4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AAFC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Verificación manual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3C9E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Si falla el terminal facial o el alcoholímetro, el vigilante compara el rostro y registra el grado de un alcoholímetro de repuesto.</w:t>
            </w:r>
          </w:p>
        </w:tc>
      </w:tr>
      <w:tr w:rsidR="00D709E0" w14:paraId="3DD25BF6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9B7C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Tarjeta de contingencia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D243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Reemplaza al DNI olvidado o que el lector no lee; sola no abre.</w:t>
            </w:r>
          </w:p>
        </w:tc>
      </w:tr>
      <w:tr w:rsidR="00D709E0" w14:paraId="32F6522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BD84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Contingencia sin lector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3FEE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Se activa sola si falla un lector de DNI: ingreso con rostro y alcohol, salida desde Presentes ahora.</w:t>
            </w:r>
          </w:p>
        </w:tc>
      </w:tr>
      <w:tr w:rsidR="00D709E0" w14:paraId="74180EE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2B1E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Tarjeta de acceso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DC2A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Abre el molinete a visitas y autoridades, sin prueba ni DNI.</w:t>
            </w:r>
          </w:p>
        </w:tc>
      </w:tr>
      <w:tr w:rsidR="00D709E0" w14:paraId="4BF9E314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6181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Administración de tarjetas</w:t>
            </w:r>
          </w:p>
        </w:tc>
        <w:tc>
          <w:tcPr>
            <w:tcW w:w="68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6FC1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Crear, imprimir, cambiar vencimiento o código, desactivar y eliminar, con el historial de usos.</w:t>
            </w:r>
          </w:p>
        </w:tc>
      </w:tr>
    </w:tbl>
    <w:p w14:paraId="4C89574D" w14:textId="77777777" w:rsidR="00087198" w:rsidRPr="0031359F" w:rsidRDefault="00087198">
      <w:pPr>
        <w:spacing w:after="60"/>
      </w:pPr>
    </w:p>
    <w:p w14:paraId="4BE6F811" w14:textId="77777777" w:rsidR="00D709E0" w:rsidRDefault="00DD51FD">
      <w:pPr>
        <w:pStyle w:val="Heading1"/>
        <w:rPr>
          <w:lang w:val="es-PE"/>
        </w:rPr>
      </w:pPr>
      <w:r>
        <w:rPr>
          <w:lang w:val="es-PE"/>
        </w:rPr>
        <w:lastRenderedPageBreak/>
        <w:t xml:space="preserve">6. </w:t>
      </w:r>
      <w:proofErr w:type="spellStart"/>
      <w:r>
        <w:rPr>
          <w:lang w:val="es-PE"/>
        </w:rPr>
        <w:t>Dashboard</w:t>
      </w:r>
      <w:proofErr w:type="spellEnd"/>
      <w:r>
        <w:rPr>
          <w:lang w:val="es-PE"/>
        </w:rPr>
        <w:t xml:space="preserve"> y reportes</w:t>
      </w:r>
    </w:p>
    <w:p w14:paraId="76C78EDF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Gráficos nuevos:</w:t>
      </w:r>
      <w:r>
        <w:rPr>
          <w:lang w:val="es-PE"/>
        </w:rPr>
        <w:t xml:space="preserve"> ingresos por perfil y horas-hombre por empresa; permanencia mayor a 12 horas.</w:t>
      </w:r>
    </w:p>
    <w:p w14:paraId="60C0F406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Reportes nuevos:</w:t>
      </w:r>
      <w:r>
        <w:rPr>
          <w:lang w:val="es-PE"/>
        </w:rPr>
        <w:t xml:space="preserve"> Horas-hombre y Empresas por perfil, con filtro por perfil en todos los reportes.</w:t>
      </w:r>
    </w:p>
    <w:p w14:paraId="655E837D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Documentos con sus archivos:</w:t>
      </w:r>
      <w:r>
        <w:rPr>
          <w:lang w:val="es-PE"/>
        </w:rPr>
        <w:t xml:space="preserve"> descarga en ZIP, ordenados por empresa y persona.</w:t>
      </w:r>
    </w:p>
    <w:p w14:paraId="75E72F2B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Hoja Leyenda</w:t>
      </w:r>
      <w:r>
        <w:rPr>
          <w:lang w:val="es-PE"/>
        </w:rPr>
        <w:t xml:space="preserve"> en cada reporte y hasta 100 000 filas en Excel.</w:t>
      </w:r>
    </w:p>
    <w:p w14:paraId="41097FE1" w14:textId="77777777" w:rsidR="00087198" w:rsidRPr="0031359F" w:rsidRDefault="00087198">
      <w:pPr>
        <w:spacing w:after="60"/>
      </w:pPr>
    </w:p>
    <w:p w14:paraId="247BACF0" w14:textId="77777777" w:rsidR="00D709E0" w:rsidRDefault="00DD51FD">
      <w:pPr>
        <w:pStyle w:val="Heading1"/>
        <w:rPr>
          <w:lang w:val="es-PE"/>
        </w:rPr>
      </w:pPr>
      <w:r>
        <w:rPr>
          <w:lang w:val="es-PE"/>
        </w:rPr>
        <w:t>7. Cuentas, seguridad, auditoría y documentación</w:t>
      </w:r>
    </w:p>
    <w:p w14:paraId="37A630A1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Pantalla Usuarios:</w:t>
      </w:r>
      <w:r>
        <w:rPr>
          <w:lang w:val="es-PE"/>
        </w:rPr>
        <w:t xml:space="preserve"> cambiar correo y contraseña del vigilante, dar de baja o eliminar cuentas.</w:t>
      </w:r>
    </w:p>
    <w:p w14:paraId="7DA4683A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Seguridad:</w:t>
      </w:r>
      <w:r>
        <w:rPr>
          <w:lang w:val="es-PE"/>
        </w:rPr>
        <w:t xml:space="preserve"> contraseñas de al menos 10 caracteres y bloqueo tras 5 intentos fallidos.</w:t>
      </w:r>
    </w:p>
    <w:p w14:paraId="273F6DCF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Auditoría ampliada:</w:t>
      </w:r>
      <w:r>
        <w:rPr>
          <w:lang w:val="es-PE"/>
        </w:rPr>
        <w:t xml:space="preserve"> inicios de sesión, descargas, archivos abiertos y desconexiones de equipos.</w:t>
      </w:r>
    </w:p>
    <w:p w14:paraId="4764780A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 xml:space="preserve">Sistema y </w:t>
      </w:r>
      <w:proofErr w:type="spellStart"/>
      <w:r>
        <w:rPr>
          <w:b/>
          <w:bCs/>
          <w:lang w:val="es-PE"/>
        </w:rPr>
        <w:t>APIs</w:t>
      </w:r>
      <w:proofErr w:type="spellEnd"/>
      <w:r>
        <w:rPr>
          <w:b/>
          <w:bCs/>
          <w:lang w:val="es-PE"/>
        </w:rPr>
        <w:t>:</w:t>
      </w:r>
      <w:r>
        <w:rPr>
          <w:lang w:val="es-PE"/>
        </w:rPr>
        <w:t xml:space="preserve"> estado en vivo del Controlador (PC), el terminal facial, el alcoholímetro, los lectores y los relés.</w:t>
      </w:r>
    </w:p>
    <w:p w14:paraId="745DE94D" w14:textId="77777777" w:rsidR="00D709E0" w:rsidRDefault="00DD51F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Documentación:</w:t>
      </w:r>
      <w:r>
        <w:rPr>
          <w:lang w:val="es-PE"/>
        </w:rPr>
        <w:t xml:space="preserve"> manual con capturas, Documento Funcional actualizado, Infraestructura y Operación, y flujos de ingreso y de contingencias.</w:t>
      </w:r>
    </w:p>
    <w:p w14:paraId="51CC2EBA" w14:textId="77777777" w:rsidR="00087198" w:rsidRPr="0031359F" w:rsidRDefault="00087198">
      <w:pPr>
        <w:spacing w:after="60"/>
      </w:pPr>
    </w:p>
    <w:p w14:paraId="212963DF" w14:textId="038271CF" w:rsidR="00D709E0" w:rsidRDefault="00DD51FD">
      <w:pPr>
        <w:pStyle w:val="Heading1"/>
        <w:rPr>
          <w:lang w:val="es-PE"/>
        </w:rPr>
      </w:pPr>
      <w:r>
        <w:rPr>
          <w:lang w:val="es-PE"/>
        </w:rPr>
        <w:t>8. Co</w:t>
      </w:r>
      <w:r w:rsidR="001E5BD4">
        <w:rPr>
          <w:lang w:val="es-PE"/>
        </w:rPr>
        <w:t>sto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8"/>
        <w:gridCol w:w="3000"/>
      </w:tblGrid>
      <w:tr w:rsidR="00D709E0" w14:paraId="1EA9316D" w14:textId="77777777">
        <w:trPr>
          <w:tblHeader/>
        </w:trPr>
        <w:tc>
          <w:tcPr>
            <w:tcW w:w="66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34BB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D827" w14:textId="77777777" w:rsidR="00D709E0" w:rsidRDefault="00DD51FD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D709E0" w14:paraId="1675A1B7" w14:textId="77777777">
        <w:tc>
          <w:tcPr>
            <w:tcW w:w="66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F398" w14:textId="77777777" w:rsidR="00D709E0" w:rsidRDefault="00DD51FD">
            <w:pPr>
              <w:spacing w:line="264" w:lineRule="auto"/>
            </w:pPr>
            <w:r>
              <w:rPr>
                <w:sz w:val="20"/>
                <w:szCs w:val="20"/>
              </w:rPr>
              <w:t>Integración de equipos, contingencias y mejoras (secciones 1 a 7)</w:t>
            </w:r>
          </w:p>
        </w:tc>
        <w:tc>
          <w:tcPr>
            <w:tcW w:w="30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F59E" w14:textId="77777777" w:rsidR="00D709E0" w:rsidRDefault="00DD51FD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S/ 4,000.00</w:t>
            </w:r>
          </w:p>
        </w:tc>
      </w:tr>
      <w:tr w:rsidR="00D709E0" w14:paraId="208A11BC" w14:textId="77777777">
        <w:tc>
          <w:tcPr>
            <w:tcW w:w="66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B1DD" w14:textId="77777777" w:rsidR="00D709E0" w:rsidRDefault="00DD51F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3099" w14:textId="77777777" w:rsidR="00D709E0" w:rsidRDefault="00DD51FD">
            <w:pPr>
              <w:spacing w:line="264" w:lineRule="auto"/>
              <w:jc w:val="right"/>
            </w:pPr>
            <w:r>
              <w:rPr>
                <w:b/>
                <w:bCs/>
                <w:color w:val="1F3864"/>
                <w:sz w:val="24"/>
                <w:szCs w:val="24"/>
              </w:rPr>
              <w:t>S/ 4,000.00</w:t>
            </w:r>
          </w:p>
        </w:tc>
      </w:tr>
    </w:tbl>
    <w:p w14:paraId="6BD71CF4" w14:textId="77777777" w:rsidR="00087198" w:rsidRPr="0031359F" w:rsidRDefault="00087198">
      <w:pPr>
        <w:spacing w:after="60"/>
      </w:pPr>
    </w:p>
    <w:sectPr w:rsidR="00087198" w:rsidRPr="003135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300" w:left="1134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163B" w14:textId="77777777" w:rsidR="00760D4A" w:rsidRPr="0031359F" w:rsidRDefault="00760D4A">
      <w:r w:rsidRPr="0031359F">
        <w:separator/>
      </w:r>
    </w:p>
  </w:endnote>
  <w:endnote w:type="continuationSeparator" w:id="0">
    <w:p w14:paraId="57E1B485" w14:textId="77777777" w:rsidR="00760D4A" w:rsidRPr="0031359F" w:rsidRDefault="00760D4A">
      <w:r w:rsidRPr="003135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4771" w14:textId="77777777" w:rsidR="00023977" w:rsidRDefault="000239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9713" w14:textId="77777777" w:rsidR="00087198" w:rsidRPr="0031359F" w:rsidRDefault="00DD51FD">
    <w:pPr>
      <w:tabs>
        <w:tab w:val="right" w:pos="9638"/>
      </w:tabs>
    </w:pPr>
    <w:r w:rsidRPr="0031359F">
      <w:rPr>
        <w:color w:val="595959"/>
        <w:sz w:val="17"/>
        <w:szCs w:val="17"/>
      </w:rPr>
      <w:t>23/10/2026</w:t>
    </w:r>
    <w:r w:rsidRPr="0031359F">
      <w:rPr>
        <w:color w:val="595959"/>
        <w:sz w:val="17"/>
        <w:szCs w:val="17"/>
      </w:rPr>
      <w:tab/>
      <w:t xml:space="preserve">Página </w:t>
    </w:r>
    <w:r w:rsidRPr="0031359F">
      <w:rPr>
        <w:color w:val="595959"/>
        <w:sz w:val="17"/>
        <w:szCs w:val="17"/>
      </w:rPr>
      <w:fldChar w:fldCharType="begin"/>
    </w:r>
    <w:r w:rsidRPr="0031359F">
      <w:rPr>
        <w:color w:val="595959"/>
        <w:sz w:val="17"/>
        <w:szCs w:val="17"/>
      </w:rPr>
      <w:instrText>PAGE</w:instrText>
    </w:r>
    <w:r w:rsidRPr="0031359F">
      <w:rPr>
        <w:color w:val="595959"/>
        <w:sz w:val="17"/>
        <w:szCs w:val="17"/>
      </w:rPr>
      <w:fldChar w:fldCharType="separate"/>
    </w:r>
    <w:r w:rsidR="0031359F" w:rsidRPr="0031359F">
      <w:rPr>
        <w:color w:val="595959"/>
        <w:sz w:val="17"/>
        <w:szCs w:val="17"/>
      </w:rPr>
      <w:t>1</w:t>
    </w:r>
    <w:r w:rsidRPr="0031359F">
      <w:rPr>
        <w:color w:val="595959"/>
        <w:sz w:val="17"/>
        <w:szCs w:val="17"/>
      </w:rPr>
      <w:fldChar w:fldCharType="end"/>
    </w:r>
    <w:r w:rsidRPr="0031359F">
      <w:rPr>
        <w:color w:val="595959"/>
        <w:sz w:val="17"/>
        <w:szCs w:val="17"/>
      </w:rPr>
      <w:t xml:space="preserve"> de </w:t>
    </w:r>
    <w:r w:rsidRPr="0031359F">
      <w:rPr>
        <w:color w:val="595959"/>
        <w:sz w:val="17"/>
        <w:szCs w:val="17"/>
      </w:rPr>
      <w:fldChar w:fldCharType="begin"/>
    </w:r>
    <w:r w:rsidRPr="0031359F">
      <w:rPr>
        <w:color w:val="595959"/>
        <w:sz w:val="17"/>
        <w:szCs w:val="17"/>
      </w:rPr>
      <w:instrText>NUMPAGES</w:instrText>
    </w:r>
    <w:r w:rsidRPr="0031359F">
      <w:rPr>
        <w:color w:val="595959"/>
        <w:sz w:val="17"/>
        <w:szCs w:val="17"/>
      </w:rPr>
      <w:fldChar w:fldCharType="separate"/>
    </w:r>
    <w:r w:rsidR="0031359F" w:rsidRPr="0031359F">
      <w:rPr>
        <w:color w:val="595959"/>
        <w:sz w:val="17"/>
        <w:szCs w:val="17"/>
      </w:rPr>
      <w:t>2</w:t>
    </w:r>
    <w:r w:rsidRPr="0031359F">
      <w:rPr>
        <w:color w:val="595959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DD750" w14:textId="77777777" w:rsidR="00023977" w:rsidRDefault="000239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3826" w14:textId="77777777" w:rsidR="00760D4A" w:rsidRPr="0031359F" w:rsidRDefault="00760D4A">
      <w:r w:rsidRPr="0031359F">
        <w:separator/>
      </w:r>
    </w:p>
  </w:footnote>
  <w:footnote w:type="continuationSeparator" w:id="0">
    <w:p w14:paraId="25D37C19" w14:textId="77777777" w:rsidR="00760D4A" w:rsidRPr="0031359F" w:rsidRDefault="00760D4A">
      <w:r w:rsidRPr="003135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A522" w14:textId="77777777" w:rsidR="00023977" w:rsidRDefault="000239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5EF9" w14:textId="77777777" w:rsidR="00087198" w:rsidRPr="0031359F" w:rsidRDefault="00DD51FD">
    <w:pPr>
      <w:pBdr>
        <w:bottom w:val="single" w:sz="4" w:space="4" w:color="BFCBDA"/>
      </w:pBdr>
      <w:tabs>
        <w:tab w:val="right" w:pos="9638"/>
      </w:tabs>
    </w:pPr>
    <w:r w:rsidRPr="0031359F">
      <w:rPr>
        <w:b/>
        <w:bCs/>
        <w:color w:val="1F3864"/>
        <w:sz w:val="17"/>
        <w:szCs w:val="17"/>
      </w:rPr>
      <w:t>Sistema de Control de Accesos</w:t>
    </w:r>
    <w:r w:rsidRPr="0031359F">
      <w:rPr>
        <w:color w:val="595959"/>
        <w:sz w:val="17"/>
        <w:szCs w:val="17"/>
      </w:rPr>
      <w:tab/>
      <w:t>Terminal Monte Azul Mollendo (TMAM) · Documento de cotización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FCD9" w14:textId="77777777" w:rsidR="00023977" w:rsidRDefault="000239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61542"/>
    <w:multiLevelType w:val="hybridMultilevel"/>
    <w:tmpl w:val="65D64D90"/>
    <w:lvl w:ilvl="0" w:tplc="F7E0E18E">
      <w:start w:val="1"/>
      <w:numFmt w:val="bullet"/>
      <w:lvlText w:val="●"/>
      <w:lvlJc w:val="left"/>
      <w:pPr>
        <w:ind w:left="720" w:hanging="360"/>
      </w:pPr>
    </w:lvl>
    <w:lvl w:ilvl="1" w:tplc="B0DC5E9A">
      <w:start w:val="1"/>
      <w:numFmt w:val="bullet"/>
      <w:lvlText w:val="○"/>
      <w:lvlJc w:val="left"/>
      <w:pPr>
        <w:ind w:left="1440" w:hanging="360"/>
      </w:pPr>
    </w:lvl>
    <w:lvl w:ilvl="2" w:tplc="96CED906">
      <w:start w:val="1"/>
      <w:numFmt w:val="bullet"/>
      <w:lvlText w:val="■"/>
      <w:lvlJc w:val="left"/>
      <w:pPr>
        <w:ind w:left="2160" w:hanging="360"/>
      </w:pPr>
    </w:lvl>
    <w:lvl w:ilvl="3" w:tplc="510EE6B6">
      <w:start w:val="1"/>
      <w:numFmt w:val="bullet"/>
      <w:lvlText w:val="●"/>
      <w:lvlJc w:val="left"/>
      <w:pPr>
        <w:ind w:left="2880" w:hanging="360"/>
      </w:pPr>
    </w:lvl>
    <w:lvl w:ilvl="4" w:tplc="6E58BD56">
      <w:start w:val="1"/>
      <w:numFmt w:val="bullet"/>
      <w:lvlText w:val="○"/>
      <w:lvlJc w:val="left"/>
      <w:pPr>
        <w:ind w:left="3600" w:hanging="360"/>
      </w:pPr>
    </w:lvl>
    <w:lvl w:ilvl="5" w:tplc="1DF82F02">
      <w:start w:val="1"/>
      <w:numFmt w:val="bullet"/>
      <w:lvlText w:val="■"/>
      <w:lvlJc w:val="left"/>
      <w:pPr>
        <w:ind w:left="4320" w:hanging="360"/>
      </w:pPr>
    </w:lvl>
    <w:lvl w:ilvl="6" w:tplc="A4BA1F50">
      <w:start w:val="1"/>
      <w:numFmt w:val="bullet"/>
      <w:lvlText w:val="●"/>
      <w:lvlJc w:val="left"/>
      <w:pPr>
        <w:ind w:left="5040" w:hanging="360"/>
      </w:pPr>
    </w:lvl>
    <w:lvl w:ilvl="7" w:tplc="B8C63300">
      <w:start w:val="1"/>
      <w:numFmt w:val="bullet"/>
      <w:lvlText w:val="●"/>
      <w:lvlJc w:val="left"/>
      <w:pPr>
        <w:ind w:left="5760" w:hanging="360"/>
      </w:pPr>
    </w:lvl>
    <w:lvl w:ilvl="8" w:tplc="17AA32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E570B0"/>
    <w:multiLevelType w:val="hybridMultilevel"/>
    <w:tmpl w:val="A4B6755E"/>
    <w:lvl w:ilvl="0" w:tplc="0752255E">
      <w:start w:val="1"/>
      <w:numFmt w:val="bullet"/>
      <w:lvlText w:val="•"/>
      <w:lvlJc w:val="left"/>
      <w:pPr>
        <w:ind w:left="540" w:hanging="300"/>
      </w:pPr>
      <w:rPr>
        <w:color w:val="2E75B6"/>
      </w:rPr>
    </w:lvl>
    <w:lvl w:ilvl="1" w:tplc="FC141206">
      <w:numFmt w:val="decimal"/>
      <w:lvlText w:val=""/>
      <w:lvlJc w:val="left"/>
    </w:lvl>
    <w:lvl w:ilvl="2" w:tplc="B7164E5E">
      <w:numFmt w:val="decimal"/>
      <w:lvlText w:val=""/>
      <w:lvlJc w:val="left"/>
    </w:lvl>
    <w:lvl w:ilvl="3" w:tplc="D58A9626">
      <w:numFmt w:val="decimal"/>
      <w:lvlText w:val=""/>
      <w:lvlJc w:val="left"/>
    </w:lvl>
    <w:lvl w:ilvl="4" w:tplc="A9ACA140">
      <w:numFmt w:val="decimal"/>
      <w:lvlText w:val=""/>
      <w:lvlJc w:val="left"/>
    </w:lvl>
    <w:lvl w:ilvl="5" w:tplc="8F2E8500">
      <w:numFmt w:val="decimal"/>
      <w:lvlText w:val=""/>
      <w:lvlJc w:val="left"/>
    </w:lvl>
    <w:lvl w:ilvl="6" w:tplc="B9F44D02">
      <w:numFmt w:val="decimal"/>
      <w:lvlText w:val=""/>
      <w:lvlJc w:val="left"/>
    </w:lvl>
    <w:lvl w:ilvl="7" w:tplc="B7C0F08E">
      <w:numFmt w:val="decimal"/>
      <w:lvlText w:val=""/>
      <w:lvlJc w:val="left"/>
    </w:lvl>
    <w:lvl w:ilvl="8" w:tplc="333E4ED8">
      <w:numFmt w:val="decimal"/>
      <w:lvlText w:val=""/>
      <w:lvlJc w:val="left"/>
    </w:lvl>
  </w:abstractNum>
  <w:num w:numId="1" w16cid:durableId="1835875347">
    <w:abstractNumId w:val="0"/>
    <w:lvlOverride w:ilvl="0">
      <w:startOverride w:val="1"/>
    </w:lvlOverride>
  </w:num>
  <w:num w:numId="2" w16cid:durableId="1388527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98"/>
    <w:rsid w:val="00023977"/>
    <w:rsid w:val="00087198"/>
    <w:rsid w:val="001E5BD4"/>
    <w:rsid w:val="0031359F"/>
    <w:rsid w:val="003C4009"/>
    <w:rsid w:val="00453F1B"/>
    <w:rsid w:val="00760D4A"/>
    <w:rsid w:val="008212AC"/>
    <w:rsid w:val="00BE5858"/>
    <w:rsid w:val="00CB5133"/>
    <w:rsid w:val="00D709E0"/>
    <w:rsid w:val="00DD51FD"/>
    <w:rsid w:val="00FB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B587"/>
  <w15:docId w15:val="{94055BFA-8FC3-457F-84EB-5D7333E7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Heading1">
    <w:name w:val="heading 1"/>
    <w:uiPriority w:val="9"/>
    <w:qFormat/>
    <w:pPr>
      <w:keepNext/>
      <w:pBdr>
        <w:bottom w:val="single" w:sz="8" w:space="4" w:color="2E75B6"/>
      </w:pBdr>
      <w:spacing w:before="3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keepNext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9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977"/>
    <w:rPr>
      <w:lang w:val="es-PE"/>
    </w:rPr>
  </w:style>
  <w:style w:type="paragraph" w:styleId="Footer">
    <w:name w:val="footer"/>
    <w:basedOn w:val="Normal"/>
    <w:link w:val="FooterChar"/>
    <w:uiPriority w:val="99"/>
    <w:unhideWhenUsed/>
    <w:rsid w:val="000239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977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Dashboard, reportes y despliegue en Azure</vt:lpstr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Dashboard, reportes y despliegue en Azure</dc:title>
  <dc:creator>TMAM</dc:creator>
  <cp:lastModifiedBy>Alexander Onocc Navarro</cp:lastModifiedBy>
  <cp:revision>4</cp:revision>
  <cp:lastPrinted>2026-10-03T00:19:00Z</cp:lastPrinted>
  <dcterms:created xsi:type="dcterms:W3CDTF">2026-10-23T19:35:00Z</dcterms:created>
  <dcterms:modified xsi:type="dcterms:W3CDTF">2026-10-23T19:40:00Z</dcterms:modified>
</cp:coreProperties>
</file>