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r>
        <w:rPr>
          <w:rFonts w:ascii="Calibri Light" w:cs="Calibri Light" w:eastAsia="Calibri Light" w:hAnsi="Calibri Light"/>
          <w:b/>
          <w:bCs/>
          <w:color w:val="0F4C5C"/>
          <w:sz w:val="56"/>
          <w:szCs w:val="56"/>
        </w:rPr>
        <w:t xml:space="preserve">Edupleace</w:t>
      </w:r>
    </w:p>
    <w:p>
      <w:pPr>
        <w:spacing w:after="400" w:before="200"/>
      </w:pPr>
    </w:p>
    <w:p>
      <w:r>
        <w:rPr>
          <w:rFonts w:ascii="Calibri Light" w:cs="Calibri Light" w:eastAsia="Calibri Light" w:hAnsi="Calibri Light"/>
          <w:color w:val="0F4C5C"/>
          <w:sz w:val="40"/>
          <w:szCs w:val="40"/>
        </w:rPr>
        <w:t xml:space="preserve">Cotización Comercial</w:t>
      </w:r>
    </w:p>
    <w:p>
      <w:pPr>
        <w:spacing w:after="600"/>
      </w:pPr>
      <w:r>
        <w:rPr>
          <w:rFonts w:ascii="Calibri" w:cs="Calibri" w:eastAsia="Calibri" w:hAnsi="Calibri"/>
          <w:color w:val="52606D"/>
          <w:sz w:val="28"/>
          <w:szCs w:val="28"/>
        </w:rPr>
        <w:t xml:space="preserve">250 Estudiantes — Plan Académico</w:t>
      </w:r>
    </w:p>
    <w:p>
      <w:pPr>
        <w:pBdr>
          <w:top w:val="single" w:color="0F4C5C" w:sz="12"/>
        </w:pBdr>
        <w:spacing w:after="200" w:before="20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Moneda: </w:t>
      </w:r>
      <w:r>
        <w:rPr>
          <w:rFonts w:ascii="Calibri" w:cs="Calibri" w:eastAsia="Calibri" w:hAnsi="Calibri"/>
          <w:color w:val="52606D"/>
          <w:sz w:val="22"/>
          <w:szCs w:val="22"/>
        </w:rPr>
        <w:t xml:space="preserve">COP (Pesos Colombianos)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Fecha: </w:t>
      </w:r>
      <w:r>
        <w:rPr>
          <w:rFonts w:ascii="Calibri" w:cs="Calibri" w:eastAsia="Calibri" w:hAnsi="Calibri"/>
          <w:color w:val="52606D"/>
          <w:sz w:val="22"/>
          <w:szCs w:val="22"/>
        </w:rPr>
        <w:t xml:space="preserve">17 de julio de 2026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Vigencia: </w:t>
      </w:r>
      <w:r>
        <w:rPr>
          <w:rFonts w:ascii="Calibri" w:cs="Calibri" w:eastAsia="Calibri" w:hAnsi="Calibri"/>
          <w:color w:val="52606D"/>
          <w:sz w:val="22"/>
          <w:szCs w:val="22"/>
        </w:rPr>
        <w:t xml:space="preserve">30 días calendario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Plan sugerido: </w:t>
      </w:r>
      <w:r>
        <w:rPr>
          <w:rFonts w:ascii="Calibri" w:cs="Calibri" w:eastAsia="Calibri" w:hAnsi="Calibri"/>
          <w:color w:val="52606D"/>
          <w:sz w:val="22"/>
          <w:szCs w:val="22"/>
        </w:rPr>
        <w:t xml:space="preserve">Académico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Estudiantes: </w:t>
      </w:r>
      <w:r>
        <w:rPr>
          <w:rFonts w:ascii="Calibri" w:cs="Calibri" w:eastAsia="Calibri" w:hAnsi="Calibri"/>
          <w:color w:val="52606D"/>
          <w:sz w:val="22"/>
          <w:szCs w:val="22"/>
        </w:rPr>
        <w:t xml:space="preserve">250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Mensualidad estimada: </w:t>
      </w:r>
      <w:r>
        <w:rPr>
          <w:rFonts w:ascii="Calibri" w:cs="Calibri" w:eastAsia="Calibri" w:hAnsi="Calibri"/>
          <w:color w:val="52606D"/>
          <w:sz w:val="22"/>
          <w:szCs w:val="22"/>
        </w:rPr>
        <w:t xml:space="preserve">COP $1.450.000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Implementación: </w:t>
      </w:r>
      <w:r>
        <w:rPr>
          <w:rFonts w:ascii="Calibri" w:cs="Calibri" w:eastAsia="Calibri" w:hAnsi="Calibri"/>
          <w:color w:val="52606D"/>
          <w:sz w:val="22"/>
          <w:szCs w:val="22"/>
        </w:rPr>
        <w:t xml:space="preserve">COP $7.000.000 a $12.000.000</w:t>
      </w:r>
    </w:p>
    <w:p>
      <w:pPr>
        <w:sectPr>
          <w:pgSz w:w="11906" w:h="16838" w:orient="portrait"/>
          <w:pgMar w:top="1440" w:right="1727" w:bottom="1440" w:left="1727" w:header="708" w:footer="708" w:gutter="0"/>
          <w:pgNumType/>
          <w:docGrid w:linePitch="360"/>
        </w:sectPr>
      </w:pPr>
    </w:p>
    <w:p>
      <w:pPr>
        <w:pBdr>
          <w:bottom w:val="single" w:color="EAF4F6" w:sz="6"/>
        </w:pBdr>
        <w:spacing w:after="120" w:before="300"/>
      </w:pPr>
      <w:r>
        <w:rPr>
          <w:rFonts w:ascii="Calibri Light" w:cs="Calibri Light" w:eastAsia="Calibri Light" w:hAnsi="Calibri Light"/>
          <w:b/>
          <w:bCs/>
          <w:color w:val="0F4C5C"/>
          <w:sz w:val="26"/>
          <w:szCs w:val="26"/>
        </w:rPr>
        <w:t xml:space="preserve">1. Resumen Ejecutivo</w:t>
      </w:r>
    </w:p>
    <w:p>
      <w:pPr>
        <w:spacing w:after="100"/>
      </w:pPr>
      <w:r>
        <w:rPr>
          <w:rFonts w:ascii="Calibri" w:cs="Calibri" w:eastAsia="Calibri" w:hAnsi="Calibri"/>
          <w:color w:val="52606D"/>
          <w:sz w:val="22"/>
          <w:szCs w:val="22"/>
        </w:rPr>
        <w:t xml:space="preserve">PlataformaEscolar es un sistema integral de gestión educativa diseñado para digitalizar y optimizar todos los procesos administrativos, académicos y de comunicación de instituciones educativas. La presente propuesta detalla los términos, alcance y pricing para la implementación de la plataforma en una institución con 250 estudiantes.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2606D"/>
          <w:sz w:val="22"/>
          <w:szCs w:val="22"/>
        </w:rPr>
        <w:t xml:space="preserve">Para una operación cercana a 250 estudiantes, el plan recomendado es Académico. Incluye los usuarios internos base, acudientes sin costo adicional y los módulos operativos necesarios para la gestión académica integral de la institución.</w:t>
      </w:r>
    </w:p>
    <w:p>
      <w:pPr>
        <w:pBdr>
          <w:bottom w:val="single" w:color="EAF4F6" w:sz="6"/>
        </w:pBdr>
        <w:spacing w:after="120" w:before="300"/>
      </w:pPr>
      <w:r>
        <w:rPr>
          <w:rFonts w:ascii="Calibri Light" w:cs="Calibri Light" w:eastAsia="Calibri Light" w:hAnsi="Calibri Light"/>
          <w:b/>
          <w:bCs/>
          <w:color w:val="0F4C5C"/>
          <w:sz w:val="26"/>
          <w:szCs w:val="26"/>
        </w:rPr>
        <w:t xml:space="preserve">2. Detalle Comercial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shd w:fill="EAF4F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4C5C"/>
                <w:sz w:val="20"/>
                <w:szCs w:val="20"/>
              </w:rPr>
              <w:t xml:space="preserve">Concepto</w:t>
            </w:r>
          </w:p>
        </w:tc>
        <w:tc>
          <w:tcPr>
            <w:tcW w:type="pct" w:w="45%"/>
            <w:shd w:fill="EAF4F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4C5C"/>
                <w:sz w:val="20"/>
                <w:szCs w:val="20"/>
              </w:rPr>
              <w:t xml:space="preserve">Alcance</w:t>
            </w:r>
          </w:p>
        </w:tc>
        <w:tc>
          <w:tcPr>
            <w:tcW w:type="pct" w:w="25%"/>
            <w:shd w:fill="EAF4F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4C5C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pct" w:w="30%"/>
          </w:tcPr>
          <w:p>
            <w:r>
              <w:rPr>
                <w:rFonts w:ascii="Calibri" w:cs="Calibri" w:eastAsia="Calibri" w:hAnsi="Calibri"/>
                <w:b/>
                <w:bCs/>
                <w:color w:val="52606D"/>
                <w:sz w:val="20"/>
                <w:szCs w:val="20"/>
              </w:rPr>
              <w:t xml:space="preserve">Cargo fijo mensual</w:t>
            </w:r>
          </w:p>
        </w:tc>
        <w:tc>
          <w:tcPr>
            <w:tcW w:type="pct" w:w="45%"/>
          </w:tcPr>
          <w:p>
            <w:r>
              <w:rPr>
                <w:rFonts w:ascii="Calibri" w:cs="Calibri" w:eastAsia="Calibri" w:hAnsi="Calibri"/>
                <w:color w:val="52606D"/>
                <w:sz w:val="20"/>
                <w:szCs w:val="20"/>
              </w:rPr>
              <w:t xml:space="preserve">Acceso base al plan Académico, soporte funcional básico, mantenimiento correctivo y actualizaciones menores.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52606D"/>
                <w:sz w:val="20"/>
                <w:szCs w:val="20"/>
              </w:rPr>
              <w:t xml:space="preserve">COP $500.000 / mes</w:t>
            </w:r>
          </w:p>
        </w:tc>
      </w:tr>
      <w:tr>
        <w:tc>
          <w:tcPr>
            <w:tcW w:type="pct" w:w="30%"/>
          </w:tcPr>
          <w:p>
            <w:r>
              <w:rPr>
                <w:rFonts w:ascii="Calibri" w:cs="Calibri" w:eastAsia="Calibri" w:hAnsi="Calibri"/>
                <w:b/>
                <w:bCs/>
                <w:color w:val="52606D"/>
                <w:sz w:val="20"/>
                <w:szCs w:val="20"/>
              </w:rPr>
              <w:t xml:space="preserve">Valor por estudiante</w:t>
            </w:r>
          </w:p>
        </w:tc>
        <w:tc>
          <w:tcPr>
            <w:tcW w:type="pct" w:w="45%"/>
          </w:tcPr>
          <w:p>
            <w:r>
              <w:rPr>
                <w:rFonts w:ascii="Calibri" w:cs="Calibri" w:eastAsia="Calibri" w:hAnsi="Calibri"/>
                <w:color w:val="52606D"/>
                <w:sz w:val="20"/>
                <w:szCs w:val="20"/>
              </w:rPr>
              <w:t xml:space="preserve">250 estudiantes activos estimados. Acudientes incluidos sin cargo adicional.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52606D"/>
                <w:sz w:val="20"/>
                <w:szCs w:val="20"/>
              </w:rPr>
              <w:t xml:space="preserve">COP $3.800 / estudiante / mes</w:t>
            </w:r>
          </w:p>
        </w:tc>
      </w:tr>
      <w:tr>
        <w:tc>
          <w:tcPr>
            <w:tcW w:type="pct" w:w="30%"/>
            <w:shd w:fill="EAF4F6" w:val="clear"/>
          </w:tcPr>
          <w:p>
            <w:r>
              <w:rPr>
                <w:rFonts w:ascii="Calibri" w:cs="Calibri" w:eastAsia="Calibri" w:hAnsi="Calibri"/>
                <w:b/>
                <w:bCs/>
                <w:color w:val="52606D"/>
                <w:sz w:val="20"/>
                <w:szCs w:val="20"/>
              </w:rPr>
              <w:t xml:space="preserve">Total mensual estimado</w:t>
            </w:r>
          </w:p>
        </w:tc>
        <w:tc>
          <w:tcPr>
            <w:tcW w:type="pct" w:w="45%"/>
            <w:shd w:fill="EAF4F6" w:val="clear"/>
          </w:tcPr>
          <w:p>
            <w:r>
              <w:rPr>
                <w:rFonts w:ascii="Calibri" w:cs="Calibri" w:eastAsia="Calibri" w:hAnsi="Calibri"/>
                <w:color w:val="52606D"/>
                <w:sz w:val="20"/>
                <w:szCs w:val="20"/>
              </w:rPr>
              <w:t xml:space="preserve">Modelo: cargo fijo mensual + estudiantes activos matriculados.</w:t>
            </w:r>
          </w:p>
        </w:tc>
        <w:tc>
          <w:tcPr>
            <w:tcW w:type="pct" w:w="25%"/>
            <w:shd w:fill="EAF4F6" w:val="clear"/>
          </w:tcPr>
          <w:p>
            <w:r>
              <w:rPr>
                <w:rFonts w:ascii="Calibri" w:cs="Calibri" w:eastAsia="Calibri" w:hAnsi="Calibri"/>
                <w:b/>
                <w:bCs/>
                <w:color w:val="52606D"/>
                <w:sz w:val="20"/>
                <w:szCs w:val="20"/>
              </w:rPr>
              <w:t xml:space="preserve">COP $1.450.000 / mes</w:t>
            </w:r>
          </w:p>
        </w:tc>
      </w:tr>
      <w:tr>
        <w:tc>
          <w:tcPr>
            <w:tcW w:type="pct" w:w="30%"/>
          </w:tcPr>
          <w:p>
            <w:r>
              <w:rPr>
                <w:rFonts w:ascii="Calibri" w:cs="Calibri" w:eastAsia="Calibri" w:hAnsi="Calibri"/>
                <w:b/>
                <w:bCs/>
                <w:color w:val="52606D"/>
                <w:sz w:val="20"/>
                <w:szCs w:val="20"/>
              </w:rPr>
              <w:t xml:space="preserve">Implementación inicial</w:t>
            </w:r>
          </w:p>
        </w:tc>
        <w:tc>
          <w:tcPr>
            <w:tcW w:type="pct" w:w="45%"/>
          </w:tcPr>
          <w:p>
            <w:r>
              <w:rPr>
                <w:rFonts w:ascii="Calibri" w:cs="Calibri" w:eastAsia="Calibri" w:hAnsi="Calibri"/>
                <w:color w:val="52606D"/>
                <w:sz w:val="20"/>
                <w:szCs w:val="20"/>
              </w:rPr>
              <w:t xml:space="preserve">Parametrización, configuración inicial, acompañamiento funcional y puesta en marcha según alcance.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/>
                <w:bCs/>
                <w:color w:val="52606D"/>
                <w:sz w:val="20"/>
                <w:szCs w:val="20"/>
              </w:rPr>
              <w:t xml:space="preserve">COP $7.000.000 a $12.000.000</w:t>
            </w:r>
          </w:p>
        </w:tc>
      </w:tr>
    </w:tbl>
    <w:p>
      <w:pPr>
        <w:pBdr>
          <w:bottom w:val="single" w:color="EAF4F6" w:sz="6"/>
        </w:pBdr>
        <w:spacing w:after="120" w:before="300"/>
      </w:pPr>
      <w:r>
        <w:rPr>
          <w:rFonts w:ascii="Calibri Light" w:cs="Calibri Light" w:eastAsia="Calibri Light" w:hAnsi="Calibri Light"/>
          <w:b/>
          <w:bCs/>
          <w:color w:val="0F4C5C"/>
          <w:sz w:val="26"/>
          <w:szCs w:val="26"/>
        </w:rPr>
        <w:t xml:space="preserve">3. Cálculo Mensual</w:t>
      </w:r>
    </w:p>
    <w:p>
      <w:pPr>
        <w:spacing w:after="100"/>
      </w:pPr>
      <w:r>
        <w:rPr>
          <w:rFonts w:ascii="Calibri" w:cs="Calibri" w:eastAsia="Calibri" w:hAnsi="Calibri"/>
          <w:color w:val="52606D"/>
          <w:sz w:val="22"/>
          <w:szCs w:val="22"/>
        </w:rPr>
        <w:t xml:space="preserve">COP $500.000 (cargo fijo) + 250 estudiantes × COP $3.800 = COP $1.450.000 / mes</w:t>
      </w:r>
    </w:p>
    <w:p>
      <w:pPr>
        <w:pBdr>
          <w:bottom w:val="single" w:color="EAF4F6" w:sz="6"/>
        </w:pBdr>
        <w:spacing w:after="120" w:before="300"/>
      </w:pPr>
      <w:r>
        <w:rPr>
          <w:rFonts w:ascii="Calibri Light" w:cs="Calibri Light" w:eastAsia="Calibri Light" w:hAnsi="Calibri Light"/>
          <w:b/>
          <w:bCs/>
          <w:color w:val="0F4C5C"/>
          <w:sz w:val="26"/>
          <w:szCs w:val="26"/>
        </w:rPr>
        <w:t xml:space="preserve">4. Módulos Incluidos — Plan Académico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2606D"/>
          <w:sz w:val="22"/>
          <w:szCs w:val="22"/>
        </w:rPr>
        <w:t xml:space="preserve">Gestión de estudiantes, profesores y directivos.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2606D"/>
          <w:sz w:val="22"/>
          <w:szCs w:val="22"/>
        </w:rPr>
        <w:t xml:space="preserve">Tareas, evaluaciones y registro de asistencia.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2606D"/>
          <w:sz w:val="22"/>
          <w:szCs w:val="22"/>
        </w:rPr>
        <w:t xml:space="preserve">Horarios, asignaturas y boletines de calificaciones.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2606D"/>
          <w:sz w:val="22"/>
          <w:szCs w:val="22"/>
        </w:rPr>
        <w:t xml:space="preserve">Certificados académicos y reportes de rendimiento.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2606D"/>
          <w:sz w:val="22"/>
          <w:szCs w:val="22"/>
        </w:rPr>
        <w:t xml:space="preserve">Acudientes incluidos dentro del modelo por estudiante.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2606D"/>
          <w:sz w:val="22"/>
          <w:szCs w:val="22"/>
        </w:rPr>
        <w:t xml:space="preserve">Hasta 45 profesores y 12 directivos o administrativos.</w:t>
      </w:r>
    </w:p>
    <w:p>
      <w:pPr>
        <w:pBdr>
          <w:bottom w:val="single" w:color="EAF4F6" w:sz="6"/>
        </w:pBdr>
        <w:spacing w:after="120" w:before="300"/>
      </w:pPr>
      <w:r>
        <w:rPr>
          <w:rFonts w:ascii="Calibri Light" w:cs="Calibri Light" w:eastAsia="Calibri Light" w:hAnsi="Calibri Light"/>
          <w:b/>
          <w:bCs/>
          <w:color w:val="0F4C5C"/>
          <w:sz w:val="26"/>
          <w:szCs w:val="26"/>
        </w:rPr>
        <w:t xml:space="preserve">5. Extras Mensuales Opcionales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2606D"/>
          <w:sz w:val="22"/>
          <w:szCs w:val="22"/>
        </w:rPr>
        <w:t xml:space="preserve">Paquete de 10 usuarios administrativos extra: COP $200.000 a $300.000 / mes.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2606D"/>
          <w:sz w:val="22"/>
          <w:szCs w:val="22"/>
        </w:rPr>
        <w:t xml:space="preserve">Paquete de 20 docentes extra: COP $250.000 a $400.000 / mes.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2606D"/>
          <w:sz w:val="22"/>
          <w:szCs w:val="22"/>
        </w:rPr>
        <w:t xml:space="preserve">Sede adicional: COP $300.000 a $700.000 / mes.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2606D"/>
          <w:sz w:val="22"/>
          <w:szCs w:val="22"/>
        </w:rPr>
        <w:t xml:space="preserve">Soporte prioritario: COP $300.000 a $800.000 / mes.</w:t>
      </w:r>
    </w:p>
    <w:p>
      <w:pPr>
        <w:pBdr>
          <w:bottom w:val="single" w:color="EAF4F6" w:sz="6"/>
        </w:pBdr>
        <w:spacing w:after="120" w:before="300"/>
      </w:pPr>
      <w:r>
        <w:rPr>
          <w:rFonts w:ascii="Calibri Light" w:cs="Calibri Light" w:eastAsia="Calibri Light" w:hAnsi="Calibri Light"/>
          <w:b/>
          <w:bCs/>
          <w:color w:val="0F4C5C"/>
          <w:sz w:val="26"/>
          <w:szCs w:val="26"/>
        </w:rPr>
        <w:t xml:space="preserve">6. Servicios Adicionales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2606D"/>
          <w:sz w:val="22"/>
          <w:szCs w:val="22"/>
        </w:rPr>
        <w:t xml:space="preserve">Migración de datos: desde COP $1.500.000.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2606D"/>
          <w:sz w:val="22"/>
          <w:szCs w:val="22"/>
        </w:rPr>
        <w:t xml:space="preserve">Capacitación adicional: COP $50.000 a $150.000 por sesión.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2606D"/>
          <w:sz w:val="22"/>
          <w:szCs w:val="22"/>
        </w:rPr>
        <w:t xml:space="preserve">Personalizaciones o nuevos desarrollos: cotización separada.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2606D"/>
          <w:sz w:val="22"/>
          <w:szCs w:val="22"/>
        </w:rPr>
        <w:t xml:space="preserve">SMS, WhatsApp y pasarela de pagos: según consumo o tarifa del proveedor.</w:t>
      </w:r>
    </w:p>
    <w:p>
      <w:pPr>
        <w:pBdr>
          <w:bottom w:val="single" w:color="EAF4F6" w:sz="6"/>
        </w:pBdr>
        <w:spacing w:after="120" w:before="300"/>
      </w:pPr>
      <w:r>
        <w:rPr>
          <w:rFonts w:ascii="Calibri Light" w:cs="Calibri Light" w:eastAsia="Calibri Light" w:hAnsi="Calibri Light"/>
          <w:b/>
          <w:bCs/>
          <w:color w:val="0F4C5C"/>
          <w:sz w:val="26"/>
          <w:szCs w:val="26"/>
        </w:rPr>
        <w:t xml:space="preserve">7. Condiciones Comerciales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2606D"/>
          <w:sz w:val="22"/>
          <w:szCs w:val="22"/>
        </w:rPr>
        <w:t xml:space="preserve">Incluye: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2606D"/>
          <w:sz w:val="22"/>
          <w:szCs w:val="22"/>
        </w:rPr>
        <w:t xml:space="preserve">Acceso a la plataforma según el plan Académico.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2606D"/>
          <w:sz w:val="22"/>
          <w:szCs w:val="22"/>
        </w:rPr>
        <w:t xml:space="preserve">Soporte funcional básico.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2606D"/>
          <w:sz w:val="22"/>
          <w:szCs w:val="22"/>
        </w:rPr>
        <w:t xml:space="preserve">Mantenimiento correctivo y actualizaciones menores.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2606D"/>
          <w:sz w:val="22"/>
          <w:szCs w:val="22"/>
        </w:rPr>
        <w:t xml:space="preserve">Parametrización inicial según el alcance acordado.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2606D"/>
          <w:sz w:val="22"/>
          <w:szCs w:val="22"/>
        </w:rPr>
        <w:t xml:space="preserve">No incluye: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2606D"/>
          <w:sz w:val="22"/>
          <w:szCs w:val="22"/>
        </w:rPr>
        <w:t xml:space="preserve">Comisiones de recaudo de pasarelas de pago.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2606D"/>
          <w:sz w:val="22"/>
          <w:szCs w:val="22"/>
        </w:rPr>
        <w:t xml:space="preserve">Consumo de SMS, WhatsApp o correo transaccional fuera de lo pactado.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2606D"/>
          <w:sz w:val="22"/>
          <w:szCs w:val="22"/>
        </w:rPr>
        <w:t xml:space="preserve">Desarrollos a la medida no contemplados en el plan.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2606D"/>
          <w:sz w:val="22"/>
          <w:szCs w:val="22"/>
        </w:rPr>
        <w:t xml:space="preserve">Migraciones complejas o carga masiva extraordinaria sin evaluación previa.</w:t>
      </w:r>
    </w:p>
    <w:p>
      <w:pPr>
        <w:pBdr>
          <w:bottom w:val="single" w:color="EAF4F6" w:sz="6"/>
        </w:pBdr>
        <w:spacing w:after="120" w:before="300"/>
      </w:pPr>
      <w:r>
        <w:rPr>
          <w:rFonts w:ascii="Calibri Light" w:cs="Calibri Light" w:eastAsia="Calibri Light" w:hAnsi="Calibri Light"/>
          <w:b/>
          <w:bCs/>
          <w:color w:val="0F4C5C"/>
          <w:sz w:val="26"/>
          <w:szCs w:val="26"/>
        </w:rPr>
        <w:t xml:space="preserve">8. Otros Planes Disponibles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  <w:shd w:fill="EAF4F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4C5C"/>
                <w:sz w:val="20"/>
                <w:szCs w:val="20"/>
              </w:rPr>
              <w:t xml:space="preserve">Plan</w:t>
            </w:r>
          </w:p>
        </w:tc>
        <w:tc>
          <w:tcPr>
            <w:tcW w:type="pct" w:w="16%"/>
            <w:shd w:fill="EAF4F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4C5C"/>
                <w:sz w:val="20"/>
                <w:szCs w:val="20"/>
              </w:rPr>
              <w:t xml:space="preserve">Cargo fijo</w:t>
            </w:r>
          </w:p>
        </w:tc>
        <w:tc>
          <w:tcPr>
            <w:tcW w:type="pct" w:w="18%"/>
            <w:shd w:fill="EAF4F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4C5C"/>
                <w:sz w:val="20"/>
                <w:szCs w:val="20"/>
              </w:rPr>
              <w:t xml:space="preserve">Por estudiante</w:t>
            </w:r>
          </w:p>
        </w:tc>
        <w:tc>
          <w:tcPr>
            <w:tcW w:type="pct" w:w="16%"/>
            <w:shd w:fill="EAF4F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4C5C"/>
                <w:sz w:val="20"/>
                <w:szCs w:val="20"/>
              </w:rPr>
              <w:t xml:space="preserve">Ideal para</w:t>
            </w:r>
          </w:p>
        </w:tc>
        <w:tc>
          <w:tcPr>
            <w:tcW w:type="pct" w:w="18%"/>
            <w:shd w:fill="EAF4F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4C5C"/>
                <w:sz w:val="20"/>
                <w:szCs w:val="20"/>
              </w:rPr>
              <w:t xml:space="preserve">Usuarios</w:t>
            </w:r>
          </w:p>
        </w:tc>
        <w:tc>
          <w:tcPr>
            <w:tcW w:type="pct" w:w="16%"/>
            <w:shd w:fill="EAF4F6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4C5C"/>
                <w:sz w:val="20"/>
                <w:szCs w:val="20"/>
              </w:rPr>
              <w:t xml:space="preserve">Implementación</w:t>
            </w:r>
          </w:p>
        </w:tc>
      </w:tr>
      <w:tr>
        <w:tc>
          <w:tcPr>
            <w:tcW w:type="pct" w:w="16%"/>
          </w:tcPr>
          <w:p>
            <w:r>
              <w:rPr>
                <w:rFonts w:ascii="Calibri" w:cs="Calibri" w:eastAsia="Calibri" w:hAnsi="Calibri"/>
                <w:b/>
                <w:bCs/>
                <w:color w:val="52606D"/>
                <w:sz w:val="20"/>
                <w:szCs w:val="20"/>
              </w:rPr>
              <w:t xml:space="preserve">Esencial</w:t>
            </w:r>
          </w:p>
        </w:tc>
        <w:tc>
          <w:tcPr>
            <w:tcW w:type="pct" w:w="16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606D"/>
                <w:sz w:val="20"/>
                <w:szCs w:val="20"/>
              </w:rPr>
              <w:t xml:space="preserve">COP $350.000 / mes</w:t>
            </w:r>
          </w:p>
        </w:tc>
        <w:tc>
          <w:tcPr>
            <w:tcW w:type="pct" w:w="18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606D"/>
                <w:sz w:val="20"/>
                <w:szCs w:val="20"/>
              </w:rPr>
              <w:t xml:space="preserve">Desde COP $3.000</w:t>
            </w:r>
          </w:p>
        </w:tc>
        <w:tc>
          <w:tcPr>
            <w:tcW w:type="pct" w:w="16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606D"/>
                <w:sz w:val="20"/>
                <w:szCs w:val="20"/>
              </w:rPr>
              <w:t xml:space="preserve">100 a 300 est.</w:t>
            </w:r>
          </w:p>
        </w:tc>
        <w:tc>
          <w:tcPr>
            <w:tcW w:type="pct" w:w="18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606D"/>
                <w:sz w:val="20"/>
                <w:szCs w:val="20"/>
              </w:rPr>
              <w:t xml:space="preserve">25 prof. / 8 admin.</w:t>
            </w:r>
          </w:p>
        </w:tc>
        <w:tc>
          <w:tcPr>
            <w:tcW w:type="pct" w:w="16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606D"/>
                <w:sz w:val="20"/>
                <w:szCs w:val="20"/>
              </w:rPr>
              <w:t xml:space="preserve">COP $4M a $7M</w:t>
            </w:r>
          </w:p>
        </w:tc>
      </w:tr>
      <w:tr>
        <w:tc>
          <w:tcPr>
            <w:tcW w:type="pct" w:w="16%"/>
          </w:tcPr>
          <w:p>
            <w:r>
              <w:rPr>
                <w:rFonts w:ascii="Calibri" w:cs="Calibri" w:eastAsia="Calibri" w:hAnsi="Calibri"/>
                <w:b/>
                <w:bCs/>
                <w:color w:val="52606D"/>
                <w:sz w:val="20"/>
                <w:szCs w:val="20"/>
              </w:rPr>
              <w:t xml:space="preserve">Académico</w:t>
            </w:r>
          </w:p>
        </w:tc>
        <w:tc>
          <w:tcPr>
            <w:tcW w:type="pct" w:w="16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606D"/>
                <w:sz w:val="20"/>
                <w:szCs w:val="20"/>
              </w:rPr>
              <w:t xml:space="preserve">COP $500.000 / mes</w:t>
            </w:r>
          </w:p>
        </w:tc>
        <w:tc>
          <w:tcPr>
            <w:tcW w:type="pct" w:w="18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606D"/>
                <w:sz w:val="20"/>
                <w:szCs w:val="20"/>
              </w:rPr>
              <w:t xml:space="preserve">Desde COP $3.800</w:t>
            </w:r>
          </w:p>
        </w:tc>
        <w:tc>
          <w:tcPr>
            <w:tcW w:type="pct" w:w="16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606D"/>
                <w:sz w:val="20"/>
                <w:szCs w:val="20"/>
              </w:rPr>
              <w:t xml:space="preserve">200 a 600 est.</w:t>
            </w:r>
          </w:p>
        </w:tc>
        <w:tc>
          <w:tcPr>
            <w:tcW w:type="pct" w:w="18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606D"/>
                <w:sz w:val="20"/>
                <w:szCs w:val="20"/>
              </w:rPr>
              <w:t xml:space="preserve">45 prof. / 12 admin.</w:t>
            </w:r>
          </w:p>
        </w:tc>
        <w:tc>
          <w:tcPr>
            <w:tcW w:type="pct" w:w="16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606D"/>
                <w:sz w:val="20"/>
                <w:szCs w:val="20"/>
              </w:rPr>
              <w:t xml:space="preserve">COP $7M a $12M</w:t>
            </w:r>
          </w:p>
        </w:tc>
      </w:tr>
      <w:tr>
        <w:tc>
          <w:tcPr>
            <w:tcW w:type="pct" w:w="16%"/>
          </w:tcPr>
          <w:p>
            <w:r>
              <w:rPr>
                <w:rFonts w:ascii="Calibri" w:cs="Calibri" w:eastAsia="Calibri" w:hAnsi="Calibri"/>
                <w:b/>
                <w:bCs/>
                <w:color w:val="52606D"/>
                <w:sz w:val="20"/>
                <w:szCs w:val="20"/>
              </w:rPr>
              <w:t xml:space="preserve">Institucional</w:t>
            </w:r>
          </w:p>
        </w:tc>
        <w:tc>
          <w:tcPr>
            <w:tcW w:type="pct" w:w="16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606D"/>
                <w:sz w:val="20"/>
                <w:szCs w:val="20"/>
              </w:rPr>
              <w:t xml:space="preserve">COP $750.000 / mes</w:t>
            </w:r>
          </w:p>
        </w:tc>
        <w:tc>
          <w:tcPr>
            <w:tcW w:type="pct" w:w="18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606D"/>
                <w:sz w:val="20"/>
                <w:szCs w:val="20"/>
              </w:rPr>
              <w:t xml:space="preserve">Desde COP $4.500</w:t>
            </w:r>
          </w:p>
        </w:tc>
        <w:tc>
          <w:tcPr>
            <w:tcW w:type="pct" w:w="16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606D"/>
                <w:sz w:val="20"/>
                <w:szCs w:val="20"/>
              </w:rPr>
              <w:t xml:space="preserve">300 a 900 est.</w:t>
            </w:r>
          </w:p>
        </w:tc>
        <w:tc>
          <w:tcPr>
            <w:tcW w:type="pct" w:w="18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606D"/>
                <w:sz w:val="20"/>
                <w:szCs w:val="20"/>
              </w:rPr>
              <w:t xml:space="preserve">70 prof. / 20 admin.</w:t>
            </w:r>
          </w:p>
        </w:tc>
        <w:tc>
          <w:tcPr>
            <w:tcW w:type="pct" w:w="16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606D"/>
                <w:sz w:val="20"/>
                <w:szCs w:val="20"/>
              </w:rPr>
              <w:t xml:space="preserve">COP $10M a $18M</w:t>
            </w:r>
          </w:p>
        </w:tc>
      </w:tr>
      <w:tr>
        <w:tc>
          <w:tcPr>
            <w:tcW w:type="pct" w:w="16%"/>
          </w:tcPr>
          <w:p>
            <w:r>
              <w:rPr>
                <w:rFonts w:ascii="Calibri" w:cs="Calibri" w:eastAsia="Calibri" w:hAnsi="Calibri"/>
                <w:b/>
                <w:bCs/>
                <w:color w:val="52606D"/>
                <w:sz w:val="20"/>
                <w:szCs w:val="20"/>
              </w:rPr>
              <w:t xml:space="preserve">Integral</w:t>
            </w:r>
          </w:p>
        </w:tc>
        <w:tc>
          <w:tcPr>
            <w:tcW w:type="pct" w:w="16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606D"/>
                <w:sz w:val="20"/>
                <w:szCs w:val="20"/>
              </w:rPr>
              <w:t xml:space="preserve">COP $1.100.000 / mes</w:t>
            </w:r>
          </w:p>
        </w:tc>
        <w:tc>
          <w:tcPr>
            <w:tcW w:type="pct" w:w="18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606D"/>
                <w:sz w:val="20"/>
                <w:szCs w:val="20"/>
              </w:rPr>
              <w:t xml:space="preserve">Desde COP $5.500</w:t>
            </w:r>
          </w:p>
        </w:tc>
        <w:tc>
          <w:tcPr>
            <w:tcW w:type="pct" w:w="16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606D"/>
                <w:sz w:val="20"/>
                <w:szCs w:val="20"/>
              </w:rPr>
              <w:t xml:space="preserve">400 a 1.500+</w:t>
            </w:r>
          </w:p>
        </w:tc>
        <w:tc>
          <w:tcPr>
            <w:tcW w:type="pct" w:w="18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606D"/>
                <w:sz w:val="20"/>
                <w:szCs w:val="20"/>
              </w:rPr>
              <w:t xml:space="preserve">100 prof. / 30 admin.</w:t>
            </w:r>
          </w:p>
        </w:tc>
        <w:tc>
          <w:tcPr>
            <w:tcW w:type="pct" w:w="16%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606D"/>
                <w:sz w:val="20"/>
                <w:szCs w:val="20"/>
              </w:rPr>
              <w:t xml:space="preserve">COP $15M a $30M</w:t>
            </w:r>
          </w:p>
        </w:tc>
      </w:tr>
    </w:tbl>
    <w:p>
      <w:pPr>
        <w:spacing w:before="200"/>
      </w:pPr>
    </w:p>
    <w:p>
      <w:pPr>
        <w:spacing w:after="100"/>
      </w:pPr>
      <w:r>
        <w:rPr>
          <w:rFonts w:ascii="Calibri" w:cs="Calibri" w:eastAsia="Calibri" w:hAnsi="Calibri"/>
          <w:b/>
          <w:bCs/>
          <w:color w:val="52606D"/>
          <w:sz w:val="22"/>
          <w:szCs w:val="22"/>
        </w:rPr>
        <w:t xml:space="preserve">El plan Académico cotizado para 250 estudiantes mantiene implementación de COP $7.000.000 a $12.000.000.</w:t>
      </w:r>
    </w:p>
    <w:p>
      <w:pPr>
        <w:pBdr>
          <w:bottom w:val="single" w:color="EAF4F6" w:sz="6"/>
        </w:pBdr>
        <w:spacing w:after="120" w:before="300"/>
      </w:pPr>
      <w:r>
        <w:rPr>
          <w:rFonts w:ascii="Calibri Light" w:cs="Calibri Light" w:eastAsia="Calibri Light" w:hAnsi="Calibri Light"/>
          <w:b/>
          <w:bCs/>
          <w:color w:val="0F4C5C"/>
          <w:sz w:val="26"/>
          <w:szCs w:val="26"/>
        </w:rPr>
        <w:t xml:space="preserve">9. Datos de Contacto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2606D"/>
          <w:sz w:val="22"/>
          <w:szCs w:val="22"/>
        </w:rPr>
        <w:t xml:space="preserve">Email: edupleace@gmail.com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2606D"/>
          <w:sz w:val="22"/>
          <w:szCs w:val="22"/>
        </w:rPr>
        <w:t xml:space="preserve">Celular y WhatsApp: 300 833 6637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2606D"/>
          <w:sz w:val="22"/>
          <w:szCs w:val="22"/>
        </w:rPr>
        <w:t xml:space="preserve">Sitio web: https://www.edupleace.com/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52606D"/>
          <w:sz w:val="22"/>
          <w:szCs w:val="22"/>
        </w:rPr>
        <w:t xml:space="preserve">Portal: https://app.edupleace.com/login</w:t>
      </w:r>
    </w:p>
    <w:p>
      <w:pPr>
        <w:spacing w:before="400"/>
      </w:pPr>
    </w:p>
    <w:p>
      <w:pPr>
        <w:spacing w:after="100"/>
      </w:pPr>
      <w:r>
        <w:rPr>
          <w:rFonts w:ascii="Calibri" w:cs="Calibri" w:eastAsia="Calibri" w:hAnsi="Calibri"/>
          <w:color w:val="52606D"/>
          <w:sz w:val="22"/>
          <w:szCs w:val="22"/>
        </w:rPr>
        <w:t xml:space="preserve">Esta cotización es referencial y puede ajustarse según el número real de estudiantes, usuarios internos, sedes, personalización e integraciones requeridas.</w:t>
      </w:r>
    </w:p>
    <w:p>
      <w:pPr>
        <w:spacing w:after="100"/>
      </w:pPr>
      <w:r>
        <w:rPr>
          <w:rFonts w:ascii="Calibri" w:cs="Calibri" w:eastAsia="Calibri" w:hAnsi="Calibri"/>
          <w:color w:val="52606D"/>
          <w:sz w:val="22"/>
          <w:szCs w:val="22"/>
        </w:rPr>
        <w:t xml:space="preserve">El valor mensual final se liquidará con base en los estudiantes activos matriculados durante el período de facturación.</w:t>
      </w:r>
    </w:p>
    <w:sectPr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2026-07-18T17:16:47.384Z</dcterms:created>
  <dcterms:modified xsi:type="dcterms:W3CDTF">2026-07-18T17:16:47.385Z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