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19CA" w14:textId="77777777" w:rsidR="00213F9A" w:rsidRDefault="0000000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NeuroImaging Brain Chart: Individualized Imaging Biomarkers of Disease and Aging</w:t>
      </w:r>
    </w:p>
    <w:p w14:paraId="4EDC42AF" w14:textId="77777777" w:rsidR="00213F9A" w:rsidRDefault="00213F9A">
      <w:pPr>
        <w:jc w:val="center"/>
        <w:rPr>
          <w:rFonts w:ascii="Arial" w:hAnsi="Arial" w:cs="Arial"/>
        </w:rPr>
      </w:pPr>
    </w:p>
    <w:p w14:paraId="72F7076B" w14:textId="77777777" w:rsidR="00213F9A" w:rsidRDefault="00000000">
      <w:pPr>
        <w:jc w:val="center"/>
      </w:pPr>
      <w:r>
        <w:rPr>
          <w:rFonts w:ascii="Arial" w:hAnsi="Arial" w:cs="Arial"/>
          <w:i/>
          <w:iCs/>
          <w:sz w:val="20"/>
          <w:szCs w:val="20"/>
        </w:rPr>
        <w:t>George Aidinis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sz w:val="20"/>
          <w:szCs w:val="20"/>
        </w:rPr>
        <w:t>, Guray Erus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Yuhan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Cui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sz w:val="20"/>
          <w:szCs w:val="20"/>
        </w:rPr>
        <w:t>, Dhivya Srinivasan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Gyujoon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Hwang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sz w:val="20"/>
          <w:szCs w:val="20"/>
        </w:rPr>
        <w:t>, Di Wu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sz w:val="20"/>
          <w:szCs w:val="20"/>
        </w:rPr>
        <w:t>, Ashish Singh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sz w:val="20"/>
          <w:szCs w:val="20"/>
        </w:rPr>
        <w:t>, Alexander Getka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sz w:val="20"/>
          <w:szCs w:val="20"/>
        </w:rPr>
        <w:t>, Mark Bergman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sz w:val="20"/>
          <w:szCs w:val="20"/>
        </w:rPr>
        <w:t>, Matthew Cieslak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2</w:t>
      </w:r>
      <w:r>
        <w:rPr>
          <w:rFonts w:ascii="Arial" w:hAnsi="Arial" w:cs="Arial"/>
          <w:i/>
          <w:iCs/>
          <w:sz w:val="20"/>
          <w:szCs w:val="20"/>
        </w:rPr>
        <w:t>, Taylor Salo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2</w:t>
      </w:r>
      <w:r>
        <w:rPr>
          <w:rFonts w:ascii="Arial" w:hAnsi="Arial" w:cs="Arial"/>
          <w:i/>
          <w:iCs/>
          <w:sz w:val="20"/>
          <w:szCs w:val="20"/>
        </w:rPr>
        <w:t>, Russell Taki Shinohara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3</w:t>
      </w:r>
      <w:r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Haochang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Shou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3</w:t>
      </w:r>
      <w:r>
        <w:rPr>
          <w:rFonts w:ascii="Arial" w:hAnsi="Arial" w:cs="Arial"/>
          <w:i/>
          <w:iCs/>
          <w:sz w:val="20"/>
          <w:szCs w:val="20"/>
        </w:rPr>
        <w:t>, Ilya M. Nasrallah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4</w:t>
      </w:r>
      <w:r>
        <w:rPr>
          <w:rFonts w:ascii="Arial" w:hAnsi="Arial" w:cs="Arial"/>
          <w:i/>
          <w:iCs/>
          <w:sz w:val="20"/>
          <w:szCs w:val="20"/>
        </w:rPr>
        <w:t>, Daniel H. Wolf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5</w:t>
      </w:r>
      <w:r>
        <w:rPr>
          <w:rFonts w:ascii="Arial" w:hAnsi="Arial" w:cs="Arial"/>
          <w:i/>
          <w:iCs/>
          <w:sz w:val="20"/>
          <w:szCs w:val="20"/>
        </w:rPr>
        <w:t>, Theodore Satterthwaite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2</w:t>
      </w:r>
      <w:r>
        <w:rPr>
          <w:rFonts w:ascii="Arial" w:hAnsi="Arial" w:cs="Arial"/>
          <w:i/>
          <w:iCs/>
          <w:sz w:val="20"/>
          <w:szCs w:val="20"/>
        </w:rPr>
        <w:t>, Yong Fan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sz w:val="20"/>
          <w:szCs w:val="20"/>
        </w:rPr>
        <w:t>, Christos Davatzikos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1</w:t>
      </w:r>
    </w:p>
    <w:p w14:paraId="09E47788" w14:textId="77777777" w:rsidR="00213F9A" w:rsidRDefault="00213F9A">
      <w:pPr>
        <w:jc w:val="center"/>
        <w:rPr>
          <w:rFonts w:ascii="Arial" w:hAnsi="Arial" w:cs="Arial"/>
        </w:rPr>
      </w:pPr>
    </w:p>
    <w:p w14:paraId="1CCA4000" w14:textId="77777777" w:rsidR="00213F9A" w:rsidRDefault="00000000">
      <w:pPr>
        <w:spacing w:after="0" w:line="240" w:lineRule="auto"/>
        <w:ind w:right="-180"/>
        <w:jc w:val="center"/>
      </w:pPr>
      <w:r>
        <w:rPr>
          <w:rFonts w:ascii="Arial" w:hAnsi="Arial" w:cs="Arial"/>
          <w:i/>
          <w:iCs/>
          <w:color w:val="222222"/>
          <w:vertAlign w:val="superscript"/>
        </w:rPr>
        <w:t>1</w:t>
      </w:r>
      <w:r>
        <w:rPr>
          <w:rFonts w:ascii="Liberation Serif" w:hAnsi="Liberation Serif" w:cs="apple-system"/>
          <w:iCs/>
          <w:color w:val="222222"/>
        </w:rPr>
        <w:t>Artificial Intelligence in Biomedical Imaging Laboratory (AIBIL), Center for Biomedical Image Computing and Analytics, Perelman School of Medicine, University of Pennsylvania, Philadelphia, PA, USA</w:t>
      </w:r>
    </w:p>
    <w:p w14:paraId="1605FE32" w14:textId="77777777" w:rsidR="00213F9A" w:rsidRDefault="00000000">
      <w:pPr>
        <w:spacing w:after="0" w:line="240" w:lineRule="auto"/>
        <w:jc w:val="center"/>
      </w:pPr>
      <w:r>
        <w:rPr>
          <w:rFonts w:ascii="Arial" w:hAnsi="Arial" w:cs="Arial"/>
          <w:i/>
          <w:iCs/>
          <w:color w:val="222222"/>
          <w:vertAlign w:val="superscript"/>
        </w:rPr>
        <w:t>2</w:t>
      </w:r>
      <w:r>
        <w:rPr>
          <w:rFonts w:ascii="Liberation Serif" w:hAnsi="Liberation Serif" w:cs="apple-system"/>
          <w:color w:val="222222"/>
        </w:rPr>
        <w:t>Penn Lifespan Informatics and Neuroimaging Center, University of Pennsylvania, Philadelphia, PA, USA</w:t>
      </w:r>
    </w:p>
    <w:p w14:paraId="7EF56E7F" w14:textId="77777777" w:rsidR="00213F9A" w:rsidRDefault="00000000">
      <w:pPr>
        <w:spacing w:after="0" w:line="240" w:lineRule="auto"/>
        <w:jc w:val="center"/>
      </w:pPr>
      <w:r>
        <w:rPr>
          <w:rFonts w:ascii="Arial" w:hAnsi="Arial" w:cs="Arial"/>
          <w:i/>
          <w:iCs/>
          <w:color w:val="222222"/>
          <w:vertAlign w:val="superscript"/>
        </w:rPr>
        <w:t>3</w:t>
      </w:r>
      <w:r>
        <w:rPr>
          <w:rFonts w:ascii="Liberation Serif" w:hAnsi="Liberation Serif" w:cs="apple-system"/>
          <w:color w:val="222222"/>
        </w:rPr>
        <w:t>Department of Biostatistics, Epidemiology and Informatics, University of Pennsylvania Perelman School of Medicine, Philadelphia, USA</w:t>
      </w:r>
    </w:p>
    <w:p w14:paraId="289CF008" w14:textId="77777777" w:rsidR="00213F9A" w:rsidRDefault="00000000">
      <w:pPr>
        <w:spacing w:after="0" w:line="240" w:lineRule="auto"/>
        <w:jc w:val="center"/>
      </w:pPr>
      <w:r>
        <w:rPr>
          <w:rFonts w:ascii="Arial" w:hAnsi="Arial" w:cs="Arial"/>
          <w:i/>
          <w:iCs/>
          <w:color w:val="222222"/>
          <w:vertAlign w:val="superscript"/>
        </w:rPr>
        <w:t>4</w:t>
      </w:r>
      <w:r>
        <w:rPr>
          <w:rFonts w:ascii="Liberation Serif" w:hAnsi="Liberation Serif" w:cs="apple-system"/>
          <w:color w:val="222222"/>
        </w:rPr>
        <w:t>Department of Radiology, University of Pennsylvania, Philadelphia, PA, USA</w:t>
      </w:r>
    </w:p>
    <w:p w14:paraId="27B119FB" w14:textId="77777777" w:rsidR="00213F9A" w:rsidRDefault="00000000">
      <w:pPr>
        <w:spacing w:after="0" w:line="240" w:lineRule="auto"/>
        <w:ind w:left="-89" w:right="-180"/>
        <w:jc w:val="center"/>
      </w:pPr>
      <w:r>
        <w:rPr>
          <w:rFonts w:ascii="Arial" w:hAnsi="Arial" w:cs="Arial"/>
          <w:i/>
          <w:iCs/>
          <w:color w:val="222222"/>
          <w:vertAlign w:val="superscript"/>
        </w:rPr>
        <w:t>5</w:t>
      </w:r>
      <w:r>
        <w:rPr>
          <w:rFonts w:ascii="Liberation Serif" w:hAnsi="Liberation Serif" w:cs="apple-system"/>
          <w:color w:val="222222"/>
        </w:rPr>
        <w:t>Department of Psychiatry, Perelman School of Medicine, University of Pennsylvania, Philadelphia, PA, USA</w:t>
      </w:r>
    </w:p>
    <w:p w14:paraId="503E7911" w14:textId="77777777" w:rsidR="00213F9A" w:rsidRDefault="00213F9A">
      <w:pPr>
        <w:spacing w:after="0" w:line="240" w:lineRule="auto"/>
        <w:jc w:val="center"/>
        <w:rPr>
          <w:rFonts w:ascii="Arial" w:hAnsi="Arial" w:cs="Arial"/>
          <w:i/>
          <w:iCs/>
        </w:rPr>
      </w:pPr>
    </w:p>
    <w:p w14:paraId="07B75493" w14:textId="77777777" w:rsidR="00213F9A" w:rsidRDefault="00000000">
      <w:pPr>
        <w:spacing w:after="0" w:line="240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</w:t>
      </w:r>
    </w:p>
    <w:p w14:paraId="1F344540" w14:textId="77777777" w:rsidR="00213F9A" w:rsidRDefault="00000000">
      <w:pPr>
        <w:jc w:val="both"/>
        <w:rPr>
          <w:rFonts w:ascii="Arial" w:hAnsi="Arial" w:cs="Arial"/>
          <w:bCs/>
          <w:color w:val="374151"/>
        </w:rPr>
      </w:pPr>
      <w:r>
        <w:rPr>
          <w:rFonts w:ascii="Arial" w:hAnsi="Arial" w:cs="Arial"/>
          <w:bCs/>
          <w:color w:val="374151"/>
        </w:rPr>
        <w:t>Teaching Points</w:t>
      </w:r>
    </w:p>
    <w:p w14:paraId="3351646B" w14:textId="0FC221E2" w:rsidR="00213F9A" w:rsidRDefault="00000000">
      <w:pPr>
        <w:jc w:val="both"/>
      </w:pPr>
      <w:r>
        <w:rPr>
          <w:rFonts w:ascii="Arial" w:hAnsi="Arial" w:cs="Arial"/>
          <w:bCs/>
          <w:color w:val="374151"/>
        </w:rPr>
        <w:t>The NiChart suite, combin</w:t>
      </w:r>
      <w:r w:rsidR="00570292">
        <w:rPr>
          <w:rFonts w:ascii="Arial" w:hAnsi="Arial" w:cs="Arial"/>
          <w:bCs/>
          <w:color w:val="374151"/>
        </w:rPr>
        <w:t>es M</w:t>
      </w:r>
      <w:r>
        <w:rPr>
          <w:rFonts w:ascii="Arial" w:hAnsi="Arial" w:cs="Arial"/>
          <w:bCs/>
          <w:color w:val="374151"/>
        </w:rPr>
        <w:t xml:space="preserve">achine </w:t>
      </w:r>
      <w:r w:rsidR="00570292">
        <w:rPr>
          <w:rFonts w:ascii="Arial" w:hAnsi="Arial" w:cs="Arial"/>
          <w:bCs/>
          <w:color w:val="374151"/>
        </w:rPr>
        <w:t>L</w:t>
      </w:r>
      <w:r>
        <w:rPr>
          <w:rFonts w:ascii="Arial" w:hAnsi="Arial" w:cs="Arial"/>
          <w:bCs/>
          <w:color w:val="374151"/>
        </w:rPr>
        <w:t xml:space="preserve">earning </w:t>
      </w:r>
      <w:r w:rsidR="00570292">
        <w:rPr>
          <w:rFonts w:ascii="Arial" w:hAnsi="Arial" w:cs="Arial"/>
          <w:bCs/>
          <w:color w:val="374151"/>
        </w:rPr>
        <w:t xml:space="preserve">(ML) </w:t>
      </w:r>
      <w:r>
        <w:rPr>
          <w:rFonts w:ascii="Arial" w:hAnsi="Arial" w:cs="Arial"/>
          <w:bCs/>
          <w:color w:val="374151"/>
        </w:rPr>
        <w:t>and neuroimaging, facilitat</w:t>
      </w:r>
      <w:r w:rsidR="00570292">
        <w:rPr>
          <w:rFonts w:ascii="Arial" w:hAnsi="Arial" w:cs="Arial"/>
          <w:bCs/>
          <w:color w:val="374151"/>
        </w:rPr>
        <w:t>ing</w:t>
      </w:r>
      <w:r>
        <w:rPr>
          <w:rFonts w:ascii="Arial" w:hAnsi="Arial" w:cs="Arial"/>
          <w:bCs/>
          <w:color w:val="374151"/>
        </w:rPr>
        <w:t xml:space="preserve"> image processing and the calculation of personalized biomarkers for brain diseases and aging using neuroimaging data. This presentation showcases how NiChart aids clinicians and researchers by providing easy-to-use, cloud-based, and locally installable tools for analysis. Key features include </w:t>
      </w:r>
      <w:r>
        <w:rPr>
          <w:rFonts w:ascii="Arial" w:hAnsi="Arial" w:cs="Arial"/>
          <w:bCs/>
          <w:color w:val="374151"/>
        </w:rPr>
        <w:t>automated extraction of multi-modal image descriptors,</w:t>
      </w:r>
      <w:r w:rsidR="00570292">
        <w:rPr>
          <w:rFonts w:ascii="Arial" w:hAnsi="Arial" w:cs="Arial"/>
          <w:bCs/>
          <w:color w:val="374151"/>
        </w:rPr>
        <w:t xml:space="preserve"> </w:t>
      </w:r>
      <w:r>
        <w:rPr>
          <w:rFonts w:ascii="Arial" w:hAnsi="Arial" w:cs="Arial"/>
          <w:bCs/>
          <w:color w:val="374151"/>
        </w:rPr>
        <w:t>harmonization</w:t>
      </w:r>
      <w:r w:rsidR="00570292">
        <w:rPr>
          <w:rFonts w:ascii="Arial" w:hAnsi="Arial" w:cs="Arial"/>
          <w:bCs/>
          <w:color w:val="374151"/>
        </w:rPr>
        <w:t xml:space="preserve">, </w:t>
      </w:r>
      <w:r>
        <w:rPr>
          <w:rFonts w:ascii="Arial" w:hAnsi="Arial" w:cs="Arial"/>
          <w:bCs/>
          <w:color w:val="374151"/>
        </w:rPr>
        <w:t xml:space="preserve">supervised and unsupervised </w:t>
      </w:r>
      <w:r w:rsidR="00570292">
        <w:rPr>
          <w:rFonts w:ascii="Arial" w:hAnsi="Arial" w:cs="Arial"/>
          <w:bCs/>
          <w:color w:val="374151"/>
        </w:rPr>
        <w:t xml:space="preserve">ML </w:t>
      </w:r>
      <w:r>
        <w:rPr>
          <w:rFonts w:ascii="Arial" w:hAnsi="Arial" w:cs="Arial"/>
          <w:bCs/>
          <w:color w:val="374151"/>
        </w:rPr>
        <w:t xml:space="preserve">models </w:t>
      </w:r>
      <w:r>
        <w:rPr>
          <w:rFonts w:ascii="Arial" w:hAnsi="Arial" w:cs="Arial"/>
          <w:bCs/>
          <w:color w:val="374151"/>
        </w:rPr>
        <w:t xml:space="preserve">for disease </w:t>
      </w:r>
      <w:r>
        <w:rPr>
          <w:rFonts w:ascii="Arial" w:hAnsi="Arial" w:cs="Arial"/>
          <w:bCs/>
          <w:color w:val="374151"/>
        </w:rPr>
        <w:t xml:space="preserve">classification, </w:t>
      </w:r>
      <w:r>
        <w:rPr>
          <w:rFonts w:ascii="Arial" w:hAnsi="Arial" w:cs="Arial"/>
          <w:bCs/>
          <w:color w:val="374151"/>
        </w:rPr>
        <w:t>subtyping</w:t>
      </w:r>
      <w:r w:rsidR="003F38A7">
        <w:rPr>
          <w:rFonts w:ascii="Arial" w:hAnsi="Arial" w:cs="Arial"/>
          <w:bCs/>
          <w:color w:val="374151"/>
        </w:rPr>
        <w:t>,</w:t>
      </w:r>
      <w:r>
        <w:rPr>
          <w:rFonts w:ascii="Arial" w:hAnsi="Arial" w:cs="Arial"/>
          <w:bCs/>
          <w:color w:val="374151"/>
        </w:rPr>
        <w:t xml:space="preserve"> and heterogeneity analysis.</w:t>
      </w:r>
    </w:p>
    <w:p w14:paraId="5486313D" w14:textId="77777777" w:rsidR="00213F9A" w:rsidRDefault="00000000">
      <w:pPr>
        <w:jc w:val="both"/>
        <w:rPr>
          <w:rFonts w:ascii="Arial" w:hAnsi="Arial" w:cs="Arial"/>
          <w:bCs/>
          <w:color w:val="374151"/>
        </w:rPr>
      </w:pPr>
      <w:r>
        <w:rPr>
          <w:rFonts w:ascii="Arial" w:hAnsi="Arial" w:cs="Arial"/>
          <w:bCs/>
          <w:color w:val="374151"/>
        </w:rPr>
        <w:t>Outline</w:t>
      </w:r>
    </w:p>
    <w:p w14:paraId="3B1BDF3B" w14:textId="4CF911E4" w:rsidR="00213F9A" w:rsidRDefault="00000000">
      <w:pPr>
        <w:jc w:val="both"/>
      </w:pPr>
      <w:r>
        <w:rPr>
          <w:rFonts w:ascii="Arial" w:hAnsi="Arial" w:cs="Arial"/>
        </w:rPr>
        <w:t xml:space="preserve">The NiChart suite is fundamentally a collection of interoperable tools designed to function both independently and as part of an integrated framework. While each module can be operated locally, we have also developed a </w:t>
      </w:r>
      <w:r>
        <w:rPr>
          <w:rFonts w:ascii="Arial" w:hAnsi="Arial" w:cs="Arial"/>
        </w:rPr>
        <w:t>cloud application</w:t>
      </w:r>
      <w:r>
        <w:rPr>
          <w:rFonts w:ascii="Arial" w:hAnsi="Arial" w:cs="Arial"/>
        </w:rPr>
        <w:t xml:space="preserve">, allowing users to register and utilize the online portal for data processing, harmonization, and analysis through an easy-to-use user interface. This suite includes specialized tools for sMRI, fMRI, and dMRI analysis. The sMRI pipeline is showcased through its application on our web portal using an open-source dataset. NiChart's </w:t>
      </w:r>
      <w:r>
        <w:rPr>
          <w:rFonts w:ascii="Arial" w:hAnsi="Arial" w:cs="Arial"/>
        </w:rPr>
        <w:t xml:space="preserve">goal is to allow users to apply </w:t>
      </w:r>
      <w:r>
        <w:rPr>
          <w:rFonts w:ascii="Arial" w:hAnsi="Arial" w:cs="Arial"/>
        </w:rPr>
        <w:t xml:space="preserve">advanced </w:t>
      </w:r>
      <w:r w:rsidR="00570292">
        <w:rPr>
          <w:rFonts w:ascii="Arial" w:hAnsi="Arial" w:cs="Arial"/>
        </w:rPr>
        <w:t>ML</w:t>
      </w:r>
      <w:r>
        <w:rPr>
          <w:rFonts w:ascii="Arial" w:hAnsi="Arial" w:cs="Arial"/>
        </w:rPr>
        <w:t xml:space="preserve"> models </w:t>
      </w:r>
      <w:r>
        <w:rPr>
          <w:rFonts w:ascii="Arial" w:hAnsi="Arial" w:cs="Arial"/>
        </w:rPr>
        <w:t xml:space="preserve">on their images to </w:t>
      </w:r>
      <w:r>
        <w:rPr>
          <w:rFonts w:ascii="Arial" w:hAnsi="Arial" w:cs="Arial"/>
        </w:rPr>
        <w:t xml:space="preserve">generate </w:t>
      </w:r>
      <w:r>
        <w:rPr>
          <w:rFonts w:ascii="Arial" w:hAnsi="Arial" w:cs="Arial"/>
        </w:rPr>
        <w:t xml:space="preserve">a panel of </w:t>
      </w:r>
      <w:r>
        <w:rPr>
          <w:rFonts w:ascii="Arial" w:hAnsi="Arial" w:cs="Arial"/>
        </w:rPr>
        <w:t>imaging-derived phenotypes</w:t>
      </w:r>
      <w:r w:rsidR="00B871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disease-specific markers. Additionally, the platform offers </w:t>
      </w:r>
      <w:r>
        <w:rPr>
          <w:rFonts w:ascii="Arial" w:hAnsi="Arial" w:cs="Arial"/>
        </w:rPr>
        <w:t>tools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</w:t>
      </w:r>
      <w:r w:rsidR="003F38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users to visualize and compare phenotypes against normative data or specific disease subgroups. The framework encourages active contribution from researchers and clinicians to foster a collaborative community.</w:t>
      </w:r>
    </w:p>
    <w:p w14:paraId="374FADC1" w14:textId="77777777" w:rsidR="00213F9A" w:rsidRDefault="00000000">
      <w:p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References</w:t>
      </w:r>
    </w:p>
    <w:p w14:paraId="06C99E5B" w14:textId="77777777" w:rsidR="00213F9A" w:rsidRDefault="00000000">
      <w:pPr>
        <w:pStyle w:val="CitaviBibliographyEntry"/>
        <w:spacing w:after="160"/>
        <w:ind w:left="360" w:hanging="360"/>
        <w:jc w:val="both"/>
        <w:rPr>
          <w:rFonts w:ascii="Arial;sans-serif" w:hAnsi="Arial;sans-serif" w:cs="Arial"/>
          <w:iCs/>
          <w:color w:val="222222"/>
          <w:sz w:val="20"/>
        </w:rPr>
      </w:pPr>
      <w:r>
        <w:rPr>
          <w:rFonts w:ascii="Arial;sans-serif" w:hAnsi="Arial;sans-serif" w:cs="Arial"/>
          <w:iCs/>
          <w:color w:val="222222"/>
          <w:sz w:val="20"/>
        </w:rPr>
        <w:t>[1] Davatzikos, C., Xu, F., An, Y., Fan, Y. &amp; Resnick, S. M. “Longitudinal progression of Alzheimer's-like patterns of atrophy in normal older adults: the SPARE-AD index”. Brain: a journal of neurology 132, 2026–2035; 10.1093/brain/awp091 (2009).</w:t>
      </w:r>
    </w:p>
    <w:p w14:paraId="7FCCC958" w14:textId="77777777" w:rsidR="00213F9A" w:rsidRDefault="00000000">
      <w:pPr>
        <w:pStyle w:val="CitaviBibliographyEntry"/>
        <w:spacing w:after="160"/>
        <w:ind w:left="360" w:hanging="360"/>
        <w:jc w:val="both"/>
      </w:pPr>
      <w:r>
        <w:rPr>
          <w:rFonts w:ascii="Arial;sans-serif" w:hAnsi="Arial;sans-serif" w:cs="Arial"/>
          <w:iCs/>
          <w:color w:val="222222"/>
          <w:sz w:val="20"/>
        </w:rPr>
        <w:t xml:space="preserve">[2] </w:t>
      </w:r>
      <w:proofErr w:type="spellStart"/>
      <w:r>
        <w:rPr>
          <w:rFonts w:ascii="Arial;sans-serif" w:hAnsi="Arial;sans-serif" w:cs="Arial"/>
          <w:iCs/>
          <w:color w:val="222222"/>
          <w:sz w:val="20"/>
        </w:rPr>
        <w:t>Habes</w:t>
      </w:r>
      <w:proofErr w:type="spellEnd"/>
      <w:r>
        <w:rPr>
          <w:rFonts w:ascii="Arial;sans-serif" w:hAnsi="Arial;sans-serif" w:cs="Arial"/>
          <w:iCs/>
          <w:color w:val="222222"/>
          <w:sz w:val="20"/>
        </w:rPr>
        <w:t xml:space="preserve"> M, et al. “The Brain Chart of Aging: Machine-learning analytics reveals links between brain aging, white matter disease, amyloid burden, and cognition in the iSTAGING consortium of 10,216 harmonized MR scans”. </w:t>
      </w:r>
      <w:proofErr w:type="spellStart"/>
      <w:r>
        <w:rPr>
          <w:rFonts w:ascii="Arial;sans-serif" w:hAnsi="Arial;sans-serif" w:cs="Arial"/>
          <w:iCs/>
          <w:color w:val="222222"/>
          <w:sz w:val="20"/>
        </w:rPr>
        <w:t>Alzheimers</w:t>
      </w:r>
      <w:proofErr w:type="spellEnd"/>
      <w:r>
        <w:rPr>
          <w:rFonts w:ascii="Arial;sans-serif" w:hAnsi="Arial;sans-serif" w:cs="Arial"/>
          <w:iCs/>
          <w:color w:val="222222"/>
          <w:sz w:val="20"/>
        </w:rPr>
        <w:t xml:space="preserve"> Dement. 2021 Jan;17(1):89-102. </w:t>
      </w:r>
      <w:proofErr w:type="spellStart"/>
      <w:r>
        <w:rPr>
          <w:rFonts w:ascii="Arial;sans-serif" w:hAnsi="Arial;sans-serif" w:cs="Arial"/>
          <w:iCs/>
          <w:color w:val="222222"/>
          <w:sz w:val="20"/>
        </w:rPr>
        <w:t>doi</w:t>
      </w:r>
      <w:proofErr w:type="spellEnd"/>
      <w:r>
        <w:rPr>
          <w:rFonts w:ascii="Arial;sans-serif" w:hAnsi="Arial;sans-serif" w:cs="Arial"/>
          <w:iCs/>
          <w:color w:val="222222"/>
          <w:sz w:val="20"/>
        </w:rPr>
        <w:t xml:space="preserve">: 10.1002/alz.12178. </w:t>
      </w:r>
      <w:proofErr w:type="spellStart"/>
      <w:r>
        <w:rPr>
          <w:rFonts w:ascii="Arial;sans-serif" w:hAnsi="Arial;sans-serif" w:cs="Arial"/>
          <w:iCs/>
          <w:color w:val="222222"/>
          <w:sz w:val="20"/>
        </w:rPr>
        <w:t>Epub</w:t>
      </w:r>
      <w:proofErr w:type="spellEnd"/>
      <w:r>
        <w:rPr>
          <w:rFonts w:ascii="Arial;sans-serif" w:hAnsi="Arial;sans-serif" w:cs="Arial"/>
          <w:iCs/>
          <w:color w:val="222222"/>
          <w:sz w:val="20"/>
        </w:rPr>
        <w:t xml:space="preserve"> 2020 Sep 13. PMID: 32920988; PMCID: PMC7923395.</w:t>
      </w:r>
    </w:p>
    <w:p w14:paraId="6E552F53" w14:textId="77777777" w:rsidR="00213F9A" w:rsidRDefault="00000000">
      <w:pPr>
        <w:ind w:left="360" w:hanging="360"/>
        <w:jc w:val="both"/>
        <w:rPr>
          <w:rFonts w:ascii="Arial;sans-serif" w:hAnsi="Arial;sans-serif" w:cs="Arial"/>
          <w:iCs/>
          <w:color w:val="222222"/>
          <w:sz w:val="20"/>
        </w:rPr>
      </w:pPr>
      <w:r>
        <w:rPr>
          <w:rFonts w:ascii="Arial;sans-serif" w:hAnsi="Arial;sans-serif" w:cs="Arial"/>
          <w:iCs/>
          <w:color w:val="222222"/>
          <w:sz w:val="20"/>
        </w:rPr>
        <w:lastRenderedPageBreak/>
        <w:t xml:space="preserve">[3] </w:t>
      </w:r>
      <w:proofErr w:type="spellStart"/>
      <w:r>
        <w:rPr>
          <w:rFonts w:ascii="Arial;sans-serif" w:hAnsi="Arial;sans-serif" w:cs="Arial"/>
          <w:iCs/>
          <w:color w:val="222222"/>
          <w:sz w:val="20"/>
        </w:rPr>
        <w:t>Pomponio</w:t>
      </w:r>
      <w:proofErr w:type="spellEnd"/>
      <w:r>
        <w:rPr>
          <w:rFonts w:ascii="Arial;sans-serif" w:hAnsi="Arial;sans-serif" w:cs="Arial"/>
          <w:iCs/>
          <w:color w:val="222222"/>
          <w:sz w:val="20"/>
        </w:rPr>
        <w:t>, R., et al., “Harmonization of large MRI datasets for the analysis of brain imaging patterns throughout the lifespan”. Neuroimage, 2020. 208: p. 116450.</w:t>
      </w:r>
    </w:p>
    <w:p w14:paraId="550574D1" w14:textId="77777777" w:rsidR="00213F9A" w:rsidRDefault="00000000">
      <w:pPr>
        <w:ind w:left="360" w:hanging="360"/>
        <w:jc w:val="both"/>
        <w:rPr>
          <w:rFonts w:ascii="Arial;sans-serif" w:hAnsi="Arial;sans-serif" w:cs="Arial"/>
          <w:iCs/>
          <w:color w:val="222222"/>
          <w:sz w:val="20"/>
        </w:rPr>
      </w:pPr>
      <w:r>
        <w:rPr>
          <w:rFonts w:ascii="Arial;sans-serif" w:hAnsi="Arial;sans-serif" w:cs="Arial"/>
          <w:iCs/>
          <w:color w:val="222222"/>
          <w:sz w:val="20"/>
        </w:rPr>
        <w:t xml:space="preserve">[4] </w:t>
      </w:r>
      <w:proofErr w:type="spellStart"/>
      <w:r>
        <w:rPr>
          <w:rFonts w:ascii="Arial;sans-serif" w:hAnsi="Arial;sans-serif" w:cs="Arial"/>
          <w:iCs/>
          <w:color w:val="222222"/>
          <w:sz w:val="20"/>
        </w:rPr>
        <w:t>Rozycki</w:t>
      </w:r>
      <w:proofErr w:type="spellEnd"/>
      <w:r>
        <w:rPr>
          <w:rFonts w:ascii="Arial;sans-serif" w:hAnsi="Arial;sans-serif" w:cs="Arial"/>
          <w:iCs/>
          <w:color w:val="222222"/>
          <w:sz w:val="20"/>
        </w:rPr>
        <w:t xml:space="preserve">, M., et al., “Multisite Machine Learning Analysis Provides a Robust Structural Imaging Signature of Schizophrenia Detectable Across Diverse Patient Populations and Within Individuals”. </w:t>
      </w:r>
      <w:proofErr w:type="spellStart"/>
      <w:r>
        <w:rPr>
          <w:rFonts w:ascii="Arial;sans-serif" w:hAnsi="Arial;sans-serif" w:cs="Arial"/>
          <w:iCs/>
          <w:color w:val="222222"/>
          <w:sz w:val="20"/>
        </w:rPr>
        <w:t>Schizophr</w:t>
      </w:r>
      <w:proofErr w:type="spellEnd"/>
      <w:r>
        <w:rPr>
          <w:rFonts w:ascii="Arial;sans-serif" w:hAnsi="Arial;sans-serif" w:cs="Arial"/>
          <w:iCs/>
          <w:color w:val="222222"/>
          <w:sz w:val="20"/>
        </w:rPr>
        <w:t xml:space="preserve"> Bull, 2018. 44(5): p. 1035-1044</w:t>
      </w:r>
    </w:p>
    <w:p w14:paraId="4D5F64E5" w14:textId="77777777" w:rsidR="00213F9A" w:rsidRDefault="00000000">
      <w:pPr>
        <w:ind w:left="360" w:hanging="360"/>
        <w:jc w:val="both"/>
        <w:rPr>
          <w:rFonts w:ascii="Arial;sans-serif" w:hAnsi="Arial;sans-serif" w:cs="Arial"/>
          <w:iCs/>
          <w:color w:val="222222"/>
          <w:sz w:val="20"/>
        </w:rPr>
      </w:pPr>
      <w:r>
        <w:rPr>
          <w:rFonts w:ascii="Arial;sans-serif" w:hAnsi="Arial;sans-serif" w:cs="Arial"/>
          <w:iCs/>
          <w:color w:val="222222"/>
          <w:sz w:val="20"/>
        </w:rPr>
        <w:t xml:space="preserve">[5] </w:t>
      </w:r>
      <w:proofErr w:type="spellStart"/>
      <w:r>
        <w:rPr>
          <w:rFonts w:ascii="Arial;sans-serif" w:hAnsi="Arial;sans-serif" w:cs="Arial"/>
          <w:iCs/>
          <w:color w:val="222222"/>
          <w:sz w:val="20"/>
        </w:rPr>
        <w:t>Bashyam</w:t>
      </w:r>
      <w:proofErr w:type="spellEnd"/>
      <w:r>
        <w:rPr>
          <w:rFonts w:ascii="Arial;sans-serif" w:hAnsi="Arial;sans-serif" w:cs="Arial"/>
          <w:iCs/>
          <w:color w:val="222222"/>
          <w:sz w:val="20"/>
        </w:rPr>
        <w:t xml:space="preserve">, Vishnu M., et al. "MRI signatures of brain age and disease over the lifespan based on a deep brain network and 14468 individuals worldwide” (vol 143, </w:t>
      </w:r>
      <w:proofErr w:type="spellStart"/>
      <w:r>
        <w:rPr>
          <w:rFonts w:ascii="Arial;sans-serif" w:hAnsi="Arial;sans-serif" w:cs="Arial"/>
          <w:iCs/>
          <w:color w:val="222222"/>
          <w:sz w:val="20"/>
        </w:rPr>
        <w:t>pg</w:t>
      </w:r>
      <w:proofErr w:type="spellEnd"/>
      <w:r>
        <w:rPr>
          <w:rFonts w:ascii="Arial;sans-serif" w:hAnsi="Arial;sans-serif" w:cs="Arial"/>
          <w:iCs/>
          <w:color w:val="222222"/>
          <w:sz w:val="20"/>
        </w:rPr>
        <w:t xml:space="preserve"> 2312, 2020). Brain (2021).</w:t>
      </w:r>
    </w:p>
    <w:p w14:paraId="5FAE7F67" w14:textId="77777777" w:rsidR="00213F9A" w:rsidRDefault="00000000">
      <w:pPr>
        <w:ind w:left="360" w:hanging="360"/>
        <w:jc w:val="both"/>
        <w:rPr>
          <w:rFonts w:ascii="Arial;sans-serif" w:hAnsi="Arial;sans-serif" w:cs="Arial"/>
          <w:iCs/>
          <w:color w:val="222222"/>
          <w:sz w:val="20"/>
        </w:rPr>
      </w:pPr>
      <w:r>
        <w:rPr>
          <w:rFonts w:ascii="Arial;sans-serif" w:hAnsi="Arial;sans-serif" w:cs="Arial"/>
          <w:iCs/>
          <w:color w:val="222222"/>
          <w:sz w:val="20"/>
        </w:rPr>
        <w:t xml:space="preserve">[6] Chand, Ganesh B., et al. "Schizophrenia imaging signatures and their associations with cognition, psychopathology, and genetics in the general </w:t>
      </w:r>
      <w:proofErr w:type="spellStart"/>
      <w:r>
        <w:rPr>
          <w:rFonts w:ascii="Arial;sans-serif" w:hAnsi="Arial;sans-serif" w:cs="Arial"/>
          <w:iCs/>
          <w:color w:val="222222"/>
          <w:sz w:val="20"/>
        </w:rPr>
        <w:t>population."American</w:t>
      </w:r>
      <w:proofErr w:type="spellEnd"/>
      <w:r>
        <w:rPr>
          <w:rFonts w:ascii="Arial;sans-serif" w:hAnsi="Arial;sans-serif" w:cs="Arial"/>
          <w:iCs/>
          <w:color w:val="222222"/>
          <w:sz w:val="20"/>
        </w:rPr>
        <w:t xml:space="preserve"> Journal of Psychiatry 179.9 (2022): 650-660.</w:t>
      </w:r>
    </w:p>
    <w:p w14:paraId="445A86EE" w14:textId="77777777" w:rsidR="00213F9A" w:rsidRDefault="00000000">
      <w:pPr>
        <w:ind w:left="360" w:hanging="360"/>
        <w:jc w:val="both"/>
        <w:rPr>
          <w:rFonts w:ascii="Arial;sans-serif" w:hAnsi="Arial;sans-serif" w:cs="Arial"/>
          <w:iCs/>
          <w:color w:val="222222"/>
          <w:sz w:val="20"/>
        </w:rPr>
      </w:pPr>
      <w:r>
        <w:rPr>
          <w:rFonts w:ascii="Arial;sans-serif" w:hAnsi="Arial;sans-serif" w:cs="Arial"/>
          <w:iCs/>
          <w:color w:val="222222"/>
          <w:sz w:val="20"/>
        </w:rPr>
        <w:t xml:space="preserve">[7] Yang, Zhijian, et al. "A deep learning framework identifies dimensional representations of Alzheimer’s Disease from brain </w:t>
      </w:r>
      <w:proofErr w:type="spellStart"/>
      <w:r>
        <w:rPr>
          <w:rFonts w:ascii="Arial;sans-serif" w:hAnsi="Arial;sans-serif" w:cs="Arial"/>
          <w:iCs/>
          <w:color w:val="222222"/>
          <w:sz w:val="20"/>
        </w:rPr>
        <w:t>structure."Nature</w:t>
      </w:r>
      <w:proofErr w:type="spellEnd"/>
      <w:r>
        <w:rPr>
          <w:rFonts w:ascii="Arial;sans-serif" w:hAnsi="Arial;sans-serif" w:cs="Arial"/>
          <w:iCs/>
          <w:color w:val="222222"/>
          <w:sz w:val="20"/>
        </w:rPr>
        <w:t xml:space="preserve"> communications 12.1 (2021): 7065.</w:t>
      </w:r>
    </w:p>
    <w:p w14:paraId="5FF7439B" w14:textId="77777777" w:rsidR="00213F9A" w:rsidRDefault="00000000">
      <w:pPr>
        <w:pStyle w:val="CitaviBibliographyEntry"/>
        <w:spacing w:after="160"/>
        <w:ind w:left="360" w:hanging="360"/>
        <w:jc w:val="both"/>
        <w:rPr>
          <w:rFonts w:ascii="Arial;sans-serif" w:hAnsi="Arial;sans-serif" w:cs="Arial"/>
          <w:iCs/>
          <w:color w:val="222222"/>
          <w:sz w:val="20"/>
        </w:rPr>
      </w:pPr>
      <w:r>
        <w:rPr>
          <w:rFonts w:ascii="Arial;sans-serif" w:hAnsi="Arial;sans-serif" w:cs="Arial"/>
          <w:iCs/>
          <w:color w:val="222222"/>
          <w:sz w:val="20"/>
        </w:rPr>
        <w:t xml:space="preserve">[8] Wen, J. et al. “Characterizing Heterogeneity in Neuroimaging, Cognition, Clinical Symptoms, and Genetics Among Patients </w:t>
      </w:r>
      <w:proofErr w:type="gramStart"/>
      <w:r>
        <w:rPr>
          <w:rFonts w:ascii="Arial;sans-serif" w:hAnsi="Arial;sans-serif" w:cs="Arial"/>
          <w:iCs/>
          <w:color w:val="222222"/>
          <w:sz w:val="20"/>
        </w:rPr>
        <w:t>With</w:t>
      </w:r>
      <w:proofErr w:type="gramEnd"/>
      <w:r>
        <w:rPr>
          <w:rFonts w:ascii="Arial;sans-serif" w:hAnsi="Arial;sans-serif" w:cs="Arial"/>
          <w:iCs/>
          <w:color w:val="222222"/>
          <w:sz w:val="20"/>
        </w:rPr>
        <w:t xml:space="preserve"> Late-Life Depression”. JAMA Psychiatry 79, 464–474 (2022).</w:t>
      </w:r>
    </w:p>
    <w:sectPr w:rsidR="00213F9A">
      <w:pgSz w:w="12240" w:h="15840"/>
      <w:pgMar w:top="1440" w:right="1440" w:bottom="1440" w:left="125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pple-system">
    <w:panose1 w:val="020B0604020202020204"/>
    <w:charset w:val="00"/>
    <w:family w:val="roman"/>
    <w:notTrueType/>
    <w:pitch w:val="default"/>
  </w:font>
  <w:font w:name="Arial;sans-serif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F9A"/>
    <w:rsid w:val="00213F9A"/>
    <w:rsid w:val="003B555D"/>
    <w:rsid w:val="003F38A7"/>
    <w:rsid w:val="00570292"/>
    <w:rsid w:val="00B871A3"/>
    <w:rsid w:val="00B94FE5"/>
    <w:rsid w:val="00D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53F80"/>
  <w15:docId w15:val="{2D1392B8-E074-664F-A7D7-3A9E2454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customStyle="1" w:styleId="EndNoteBibliographyTitleChar">
    <w:name w:val="EndNote Bibliography Title Char"/>
    <w:basedOn w:val="DefaultParagraphFont"/>
    <w:qFormat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qFormat/>
    <w:rPr>
      <w:rFonts w:ascii="Calibri" w:hAnsi="Calibri" w:cs="Calibr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qFormat/>
    <w:pPr>
      <w:spacing w:after="0"/>
      <w:jc w:val="center"/>
    </w:pPr>
    <w:rPr>
      <w:rFonts w:cs="Calibri"/>
    </w:rPr>
  </w:style>
  <w:style w:type="paragraph" w:customStyle="1" w:styleId="EndNoteBibliography">
    <w:name w:val="EndNote Bibliography"/>
    <w:basedOn w:val="Normal"/>
    <w:qFormat/>
    <w:pPr>
      <w:spacing w:line="240" w:lineRule="auto"/>
    </w:pPr>
    <w:rPr>
      <w:rFonts w:cs="Calibri"/>
    </w:rPr>
  </w:style>
  <w:style w:type="paragraph" w:styleId="Revision">
    <w:name w:val="Revision"/>
    <w:qFormat/>
    <w:rPr>
      <w:sz w:val="22"/>
    </w:rPr>
  </w:style>
  <w:style w:type="paragraph" w:customStyle="1" w:styleId="CitaviBibliographyEntry">
    <w:name w:val="Citavi Bibliography Entry"/>
    <w:basedOn w:val="Normal"/>
    <w:qFormat/>
    <w:pPr>
      <w:tabs>
        <w:tab w:val="left" w:pos="340"/>
      </w:tabs>
      <w:spacing w:after="120"/>
      <w:ind w:left="34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Nasrallah, Ilya</dc:creator>
  <dc:description/>
  <cp:lastModifiedBy>Aidinis, George</cp:lastModifiedBy>
  <cp:revision>12</cp:revision>
  <dcterms:created xsi:type="dcterms:W3CDTF">2024-04-29T21:56:00Z</dcterms:created>
  <dcterms:modified xsi:type="dcterms:W3CDTF">2024-04-30T16:05:00Z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Penn Medicine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