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BF25D">
      <w:pPr>
        <w:jc w:val="center"/>
        <w:rPr>
          <w:rFonts w:ascii="Arial" w:hAnsi="Arial" w:cs="Arial"/>
          <w:sz w:val="24"/>
          <w:szCs w:val="24"/>
          <w:lang w:val="es-CO"/>
        </w:rPr>
      </w:pPr>
    </w:p>
    <w:p w14:paraId="46BF77E6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30D837FF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6A8E8853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 xml:space="preserve">Proyecto </w:t>
      </w:r>
    </w:p>
    <w:p w14:paraId="10D75DEA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Sistema Bancario CORE</w:t>
      </w:r>
    </w:p>
    <w:p w14:paraId="7910BCEE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5E033757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5F7CBDA4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66C32733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1DA12767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108A659D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5C6A8EE6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06430AAB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1D13B7C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52801713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3C6EE32A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Fredual Alexander Guevara Gonzalez</w:t>
      </w: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ab/>
      </w:r>
    </w:p>
    <w:p w14:paraId="050DA4F1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Disneyyna Jenniredd Tarazona Flórez</w:t>
      </w:r>
    </w:p>
    <w:p w14:paraId="21DE609A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6B2CC816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3004F385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78BD50BD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5AA09A96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2EF1526F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27353BB5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051C5AA4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03E4BC98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4787E4A8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48FF1526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Docente</w:t>
      </w:r>
    </w:p>
    <w:p w14:paraId="7CDB38DB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Eliecer Montero Ojeda</w:t>
      </w:r>
    </w:p>
    <w:p w14:paraId="0121128A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7DBDB1A5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1633C689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54BC21DA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055AE4E0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22EEF3BF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Patrones de Software A194</w:t>
      </w:r>
    </w:p>
    <w:p w14:paraId="4409BAFB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44570BC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42132865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630BEA20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26C97088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1BCD1AB9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1748A63A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097B5E8B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Universitaria Tecnológica de Santander</w:t>
      </w:r>
    </w:p>
    <w:p w14:paraId="5CE6B038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 xml:space="preserve">Facultad Ciencias Naturales e Ingenierías </w:t>
      </w:r>
    </w:p>
    <w:p w14:paraId="19033740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 xml:space="preserve">Ingeniería de Sistemas </w:t>
      </w:r>
    </w:p>
    <w:p w14:paraId="2B6B6319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Bucaramanga</w:t>
      </w:r>
    </w:p>
    <w:p w14:paraId="51C58F8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2026</w:t>
      </w:r>
    </w:p>
    <w:p w14:paraId="7D025106">
      <w:p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br w:type="page"/>
      </w:r>
    </w:p>
    <w:p w14:paraId="7D025107">
      <w:pPr>
        <w:pStyle w:val="2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1. Sistema Bancario Core</w:t>
      </w:r>
    </w:p>
    <w:p w14:paraId="7D025108">
      <w:pPr>
        <w:pStyle w:val="5"/>
        <w:ind w:left="72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Es el sistema informático central que procesa y registra todas las operaciones financieras fundamentales de un banco. El término </w:t>
      </w:r>
      <w:r>
        <w:rPr>
          <w:rFonts w:ascii="Arial" w:hAnsi="Arial" w:cs="Arial"/>
          <w:i/>
          <w:iCs/>
          <w:lang w:val="es-CO"/>
        </w:rPr>
        <w:t>CORE</w:t>
      </w:r>
      <w:r>
        <w:rPr>
          <w:rFonts w:ascii="Arial" w:hAnsi="Arial" w:cs="Arial"/>
          <w:lang w:val="es-CO"/>
        </w:rPr>
        <w:t xml:space="preserve"> significa </w:t>
      </w:r>
      <w:r>
        <w:rPr>
          <w:rFonts w:ascii="Arial" w:hAnsi="Arial" w:cs="Arial"/>
          <w:i/>
          <w:iCs/>
          <w:lang w:val="es-CO"/>
        </w:rPr>
        <w:t>Central Online Real-time Exchange</w:t>
      </w:r>
      <w:r>
        <w:rPr>
          <w:rFonts w:ascii="Arial" w:hAnsi="Arial" w:cs="Arial"/>
          <w:lang w:val="es-CO"/>
        </w:rPr>
        <w:t xml:space="preserve"> (Intercambio Centralizado en Línea y en Tiempo Real).</w:t>
      </w:r>
    </w:p>
    <w:p w14:paraId="7D025109">
      <w:pPr>
        <w:pStyle w:val="5"/>
        <w:ind w:left="72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Enfoque en desarrollo:</w:t>
      </w:r>
      <w:r>
        <w:rPr>
          <w:rFonts w:ascii="Arial" w:hAnsi="Arial" w:cs="Arial"/>
          <w:lang w:val="es-CO"/>
        </w:rPr>
        <w:t xml:space="preserve"> Funciona como la "única fuente de verdad" (</w:t>
      </w:r>
      <w:r>
        <w:rPr>
          <w:rFonts w:ascii="Arial" w:hAnsi="Arial" w:cs="Arial"/>
          <w:i/>
          <w:iCs/>
          <w:lang w:val="es-CO"/>
        </w:rPr>
        <w:t>Single Source of Truth</w:t>
      </w:r>
      <w:r>
        <w:rPr>
          <w:rFonts w:ascii="Arial" w:hAnsi="Arial" w:cs="Arial"/>
          <w:lang w:val="es-CO"/>
        </w:rPr>
        <w:t>). Cualquier saldo, movimiento o registro oficial vive aquí. Si este sistema se cae o falla en una transacción, el banco completo deja de funcionar adecuadamente.</w:t>
      </w:r>
    </w:p>
    <w:p w14:paraId="7D02510A">
      <w:pPr>
        <w:pStyle w:val="2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2. Gestión de cuentas, transacciones, préstamos e inversiones</w:t>
      </w:r>
    </w:p>
    <w:p w14:paraId="7D02510B">
      <w:pPr>
        <w:pStyle w:val="5"/>
        <w:ind w:left="72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La lógica central del negocio financiero.</w:t>
      </w:r>
    </w:p>
    <w:p w14:paraId="7D02510C">
      <w:pPr>
        <w:pStyle w:val="5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Cuentas y Transacciones:</w:t>
      </w:r>
      <w:r>
        <w:rPr>
          <w:rFonts w:ascii="Arial" w:hAnsi="Arial" w:cs="Arial"/>
          <w:lang w:val="es-CO"/>
        </w:rPr>
        <w:t xml:space="preserve"> Manejo de saldos, débitos, créditos, transferencias entre cuentas propias y de terceros.</w:t>
      </w:r>
    </w:p>
    <w:p w14:paraId="7D02510D">
      <w:pPr>
        <w:pStyle w:val="5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Préstamos:</w:t>
      </w:r>
      <w:r>
        <w:rPr>
          <w:rFonts w:ascii="Arial" w:hAnsi="Arial" w:cs="Arial"/>
          <w:lang w:val="es-CO"/>
        </w:rPr>
        <w:t xml:space="preserve"> Cálculo de amortizaciones, tasas de interés (fijas/variables), cronogramas de pago y gestión de mora</w:t>
      </w:r>
    </w:p>
    <w:p w14:paraId="7D02510E">
      <w:pPr>
        <w:pStyle w:val="5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Inversiones:</w:t>
      </w:r>
      <w:r>
        <w:rPr>
          <w:rFonts w:ascii="Arial" w:hAnsi="Arial" w:cs="Arial"/>
          <w:lang w:val="es-CO"/>
        </w:rPr>
        <w:t xml:space="preserve"> Plazos fijos, compra de activos o fondos mutuos con rendimiento a lo largo del tiempo.</w:t>
      </w:r>
    </w:p>
    <w:p w14:paraId="7D025112">
      <w:pPr>
        <w:pStyle w:val="2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3. Múltiples canales (</w:t>
      </w:r>
      <w:r>
        <w:rPr>
          <w:rFonts w:hint="default" w:ascii="Arial" w:hAnsi="Arial" w:cs="Arial"/>
          <w:i/>
          <w:iCs/>
          <w:sz w:val="24"/>
          <w:szCs w:val="24"/>
          <w:lang w:val="es-CO"/>
        </w:rPr>
        <w:t>Omnicanalidad</w:t>
      </w:r>
      <w:r>
        <w:rPr>
          <w:rFonts w:hint="default" w:ascii="Arial" w:hAnsi="Arial" w:cs="Arial"/>
          <w:sz w:val="24"/>
          <w:szCs w:val="24"/>
          <w:lang w:val="es-CO"/>
        </w:rPr>
        <w:t>)</w:t>
      </w:r>
    </w:p>
    <w:p w14:paraId="7D025113">
      <w:pPr>
        <w:pStyle w:val="5"/>
        <w:ind w:left="72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Permitir que los clientes y el personal interno interactúen con el banco desde diferentes medios: aplicación móvil, portal web, cajeros automáticos (ATM), terminales en sucursales físicas, o integraciones con terceros (Open Banking / APIs).</w:t>
      </w:r>
    </w:p>
    <w:p w14:paraId="7D025118">
      <w:pPr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t>4. Detección de fraude en tiempo real</w:t>
      </w:r>
    </w:p>
    <w:p w14:paraId="7D025119">
      <w:pPr>
        <w:pStyle w:val="5"/>
        <w:ind w:left="72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El análisis automático de transacciones al instante para bloquear o alertar sobre operaciones sospechosas antes de que el dinero salga de la cuenta. Por ejemplo: una compra en internet en un país lejano un minuto después de haber usado la tarjeta físicamente en una tienda local.</w:t>
      </w:r>
    </w:p>
    <w:p w14:paraId="7D02511F">
      <w:pPr>
        <w:pStyle w:val="2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5. Cumplimiento regulatorio (KYC, AML)</w:t>
      </w:r>
    </w:p>
    <w:p w14:paraId="7D025120">
      <w:pPr>
        <w:pStyle w:val="5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Son marcos normativos legales exigidos por los entes reguladores financieros de cada país para prevenir delitos.</w:t>
      </w:r>
    </w:p>
    <w:p w14:paraId="7D025121">
      <w:pPr>
        <w:pStyle w:val="5"/>
        <w:ind w:left="72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KYC (</w:t>
      </w:r>
      <w:r>
        <w:rPr>
          <w:rFonts w:ascii="Arial" w:hAnsi="Arial" w:cs="Arial"/>
          <w:b/>
          <w:bCs/>
          <w:i/>
          <w:iCs/>
          <w:lang w:val="es-CO"/>
        </w:rPr>
        <w:t>Know Your Customer</w:t>
      </w:r>
      <w:r>
        <w:rPr>
          <w:rFonts w:ascii="Arial" w:hAnsi="Arial" w:cs="Arial"/>
          <w:b/>
          <w:bCs/>
          <w:lang w:val="es-CO"/>
        </w:rPr>
        <w:t>):</w:t>
      </w:r>
    </w:p>
    <w:p w14:paraId="7D025122">
      <w:pPr>
        <w:pStyle w:val="5"/>
        <w:ind w:left="144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Proceso para verificar la identidad real de una persona antes o durante el momento en que abre una cuenta bancaria.</w:t>
      </w:r>
    </w:p>
    <w:p w14:paraId="7D025123">
      <w:pPr>
        <w:pStyle w:val="5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Enfoque en desarrollo:</w:t>
      </w:r>
      <w:r>
        <w:rPr>
          <w:rFonts w:ascii="Arial" w:hAnsi="Arial" w:cs="Arial"/>
          <w:lang w:val="es-CO"/>
        </w:rPr>
        <w:t xml:space="preserve"> Integración de APIs de reconocimiento facial (biometría), escaneo y lectura OCR de documentos de identidad oficiales (pasaportes, cédulas) y validación contra bases de datos gubernamentales.</w:t>
      </w:r>
    </w:p>
    <w:p w14:paraId="7D025124">
      <w:pPr>
        <w:pStyle w:val="5"/>
        <w:ind w:left="72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AML (</w:t>
      </w:r>
      <w:r>
        <w:rPr>
          <w:rFonts w:ascii="Arial" w:hAnsi="Arial" w:cs="Arial"/>
          <w:b/>
          <w:bCs/>
          <w:i/>
          <w:iCs/>
          <w:lang w:val="es-CO"/>
        </w:rPr>
        <w:t>Anti-Money Laundering</w:t>
      </w:r>
      <w:r>
        <w:rPr>
          <w:rFonts w:ascii="Arial" w:hAnsi="Arial" w:cs="Arial"/>
          <w:b/>
          <w:bCs/>
          <w:lang w:val="es-CO"/>
        </w:rPr>
        <w:t xml:space="preserve"> ):</w:t>
      </w:r>
    </w:p>
    <w:p w14:paraId="7D025125">
      <w:pPr>
        <w:pStyle w:val="5"/>
        <w:ind w:left="144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Conjunto de procedimientos para evitar que dinero de procedencia ilícita ingrese al sistema financiero legal.</w:t>
      </w:r>
    </w:p>
    <w:p w14:paraId="7D025126">
      <w:pPr>
        <w:pStyle w:val="5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Enfoque en desarrollo:</w:t>
      </w:r>
    </w:p>
    <w:p w14:paraId="7D025127">
      <w:pPr>
        <w:pStyle w:val="5"/>
        <w:ind w:left="216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Algoritmos de monitoreo continuo que identifican fraccionamiento de depósitos (intentos de evadir límites de declaración), depósitos masivos inusuales o transferencias hacia/desde países de alto riesgo.</w:t>
      </w:r>
    </w:p>
    <w:p w14:paraId="7D025128">
      <w:pPr>
        <w:pStyle w:val="5"/>
        <w:ind w:left="216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Cotejo de clientes nuevos y existentes contra Listas Restringidas internacionales (listas de personas sancionadas, terroristas o PEP - </w:t>
      </w:r>
      <w:r>
        <w:rPr>
          <w:rFonts w:ascii="Arial" w:hAnsi="Arial" w:cs="Arial"/>
          <w:i/>
          <w:iCs/>
          <w:lang w:val="es-CO"/>
        </w:rPr>
        <w:t>Personas Expuestas Políticamente</w:t>
      </w:r>
      <w:r>
        <w:rPr>
          <w:rFonts w:ascii="Arial" w:hAnsi="Arial" w:cs="Arial"/>
          <w:lang w:val="es-CO"/>
        </w:rPr>
        <w:t>).</w:t>
      </w:r>
    </w:p>
    <w:p w14:paraId="1A0FB871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Objetivo general</w:t>
      </w:r>
    </w:p>
    <w:p w14:paraId="4E2538AD">
      <w:pPr>
        <w:pStyle w:val="5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Desarrollar un Sistema Bancario CORE que permita gestionar de forma segura y consistente las operaciones financieras de cuentas, transacciones, préstamos e inversiones, integrando múltiples canales de acceso, mecanismos de detección de fraude en tiempo real y procesos de cumplimiento regulatorio KYC y AML.</w:t>
      </w:r>
    </w:p>
    <w:p w14:paraId="4052DB85">
      <w:pPr>
        <w:pStyle w:val="5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Objetivos específicos</w:t>
      </w:r>
    </w:p>
    <w:p w14:paraId="29CB8CE5">
      <w:pPr>
        <w:pStyle w:val="5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Implementar la gestión integral de cuentas, transacciones, préstamos e inversiones, garantizando la consistencia, integridad y trazabilidad de las operaciones financieras. </w:t>
      </w:r>
    </w:p>
    <w:p w14:paraId="4042A7AA">
      <w:pPr>
        <w:pStyle w:val="5"/>
        <w:numPr>
          <w:ilvl w:val="0"/>
          <w:numId w:val="1"/>
        </w:numPr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Integrar múltiples canales de acceso, como web, dispositivos móviles, cajeros automáticos y sucursales, mediante una plataforma centralizada que permita gestionar de forma segura las operaciones de los usuarios. </w:t>
      </w:r>
    </w:p>
    <w:p w14:paraId="5826EA11">
      <w:pPr>
        <w:pStyle w:val="5"/>
        <w:numPr>
          <w:ilvl w:val="0"/>
          <w:numId w:val="1"/>
        </w:numPr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Implementar mecanismos de detección de fraude en tiempo real, capaces de analizar las transacciones e identificar operaciones potencialmente sospechosas para generar alertas o acciones preventivas. </w:t>
      </w:r>
    </w:p>
    <w:p w14:paraId="72F3D6A6">
      <w:pPr>
        <w:pStyle w:val="5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lang w:val="es-CO"/>
        </w:rPr>
        <w:t>Incorporar procesos de cumplimiento regulatorio KYC y AML, orientados a la validación de la identidad de los clientes y al monitoreo de operaciones que puedan representar riesgos financieros o actividades ilícitas.</w:t>
      </w:r>
    </w:p>
    <w:p w14:paraId="17D439A0">
      <w:pPr>
        <w:pStyle w:val="5"/>
        <w:numPr>
          <w:numId w:val="0"/>
        </w:numPr>
        <w:ind w:left="360" w:leftChars="0"/>
        <w:jc w:val="center"/>
        <w:rPr>
          <w:rFonts w:hint="default" w:ascii="Arial" w:hAnsi="Arial" w:cs="Arial"/>
          <w:sz w:val="22"/>
          <w:szCs w:val="22"/>
        </w:rPr>
      </w:pPr>
      <w:r>
        <w:rPr>
          <w:rFonts w:ascii="Arial" w:hAnsi="Arial" w:cs="Arial"/>
          <w:lang w:val="es-CO"/>
        </w:rPr>
        <w:br w:type="page"/>
      </w:r>
      <w:r>
        <w:rPr>
          <w:rFonts w:hint="default" w:ascii="Arial" w:hAnsi="Arial" w:cs="Arial"/>
          <w:sz w:val="22"/>
          <w:szCs w:val="22"/>
        </w:rPr>
        <w:t>Evidencia del patrón Single</w:t>
      </w:r>
      <w:bookmarkStart w:id="0" w:name="_GoBack"/>
      <w:bookmarkEnd w:id="0"/>
      <w:r>
        <w:rPr>
          <w:rFonts w:hint="default" w:ascii="Arial" w:hAnsi="Arial" w:cs="Arial"/>
          <w:sz w:val="22"/>
          <w:szCs w:val="22"/>
        </w:rPr>
        <w:t>ton — Catálogo de tipos de cuenta</w:t>
      </w:r>
    </w:p>
    <w:p w14:paraId="394A3B74">
      <w:pPr>
        <w:rPr>
          <w:rFonts w:hint="default" w:ascii="Arial" w:hAnsi="Arial" w:cs="Arial"/>
          <w:sz w:val="22"/>
          <w:szCs w:val="22"/>
        </w:rPr>
      </w:pPr>
    </w:p>
    <w:p w14:paraId="0DE80616">
      <w:pPr>
        <w:numPr>
          <w:ilvl w:val="0"/>
          <w:numId w:val="2"/>
        </w:numPr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  <w:t>Resultado ejecutivo</w:t>
      </w:r>
    </w:p>
    <w:p w14:paraId="0DC6E16C">
      <w:pPr>
        <w:numPr>
          <w:numId w:val="0"/>
        </w:numPr>
        <w:rPr>
          <w:rFonts w:hint="default" w:ascii="Arial" w:hAnsi="Arial" w:cs="Arial"/>
          <w:b/>
          <w:bCs/>
          <w:sz w:val="22"/>
          <w:szCs w:val="22"/>
        </w:rPr>
      </w:pPr>
    </w:p>
    <w:p w14:paraId="07859DC2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Este documento es la evidencia verificada del patrón Singleton aplicado al catálogo de tipos de cuenta del Sistema Bancario CORE. Los identificadores propios del código, las vistas y las pruebas usan ahora vocabulario español canónico; los contratos de Laravel, autenticación, permisos, rutas y datos estables (savings, checking, COP, USD, allowed, not_allowed) permanecen intactos.</w:t>
      </w:r>
    </w:p>
    <w:p w14:paraId="51C94F7A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 ciclo de vida del Singleton lo gestiona el contenedor de Laravel mediante el enlace nativo $this-&gt;app-&gt;singleton(...) en AppServiceProvider::register(): no existe un constructor privado ni una variable global estática. Dos resoluciones del contrato a través del contenedor devuelven exactamente la misma instancia, verificado con assertSame en pruebas reales.</w:t>
      </w:r>
    </w:p>
    <w:p w14:paraId="195ECDF3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Estado final de verificación: 34 pruebas, 157 aserciones, 0 fallos, 0 errores (2026-08-30).</w:t>
      </w:r>
    </w:p>
    <w:p w14:paraId="51A158EE"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 w14:paraId="48010952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  <w:t>Código canónico actual (extractos con rutas y líneas)</w:t>
      </w:r>
    </w:p>
    <w:p w14:paraId="0B8EB45A">
      <w:pPr>
        <w:numPr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 w14:paraId="642CBB3A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Los extractos reproducen exactamente el árbol verificado del 2026-08-30. Las referencias de línea corresponden a los archivos actuales.</w:t>
      </w:r>
    </w:p>
    <w:p w14:paraId="3DC0DDD2">
      <w:pPr>
        <w:rPr>
          <w:rFonts w:hint="default" w:ascii="Arial" w:hAnsi="Arial" w:cs="Arial"/>
          <w:sz w:val="22"/>
          <w:szCs w:val="22"/>
        </w:rPr>
      </w:pPr>
    </w:p>
    <w:p w14:paraId="5FE9B48A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app/Domain/Account/CatalogoTiposCuenta.php (líneas 1–13)</w:t>
      </w:r>
    </w:p>
    <w:p w14:paraId="06B1970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&lt;?php</w:t>
      </w:r>
    </w:p>
    <w:p w14:paraId="3B4697A5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281FA05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namespace App\Domain\Account;</w:t>
      </w:r>
    </w:p>
    <w:p w14:paraId="1F85314A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3AB91DF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interface CatalogoTiposCuenta</w:t>
      </w:r>
    </w:p>
    <w:p w14:paraId="47DC69D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{</w:t>
      </w:r>
    </w:p>
    <w:p w14:paraId="08293FD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19BFE18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@return list&lt;DefinicionTipoCuenta&gt;</w:t>
      </w:r>
    </w:p>
    <w:p w14:paraId="54BB786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4814CC2F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listar(): array;</w:t>
      </w:r>
    </w:p>
    <w:p w14:paraId="735E12B6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645D731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buscar(string $identificador): ?DefinicionTipoCuenta;</w:t>
      </w:r>
    </w:p>
    <w:p w14:paraId="7A5AA0E6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}</w:t>
      </w:r>
    </w:p>
    <w:p w14:paraId="1F547453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app/Domain/Account/CatalogoTiposCuentaEstatico.php (líneas 5–42)</w:t>
      </w:r>
    </w:p>
    <w:p w14:paraId="4534E04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final class CatalogoTiposCuentaEstatico implements CatalogoTiposCuenta</w:t>
      </w:r>
    </w:p>
    <w:p w14:paraId="02E4ABC6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{</w:t>
      </w:r>
    </w:p>
    <w:p w14:paraId="5993ED6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077797FF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@var array&lt;string, DefinicionTipoCuenta&gt;</w:t>
      </w:r>
    </w:p>
    <w:p w14:paraId="4228711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176ADB73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private array $definitions;</w:t>
      </w:r>
    </w:p>
    <w:p w14:paraId="3BEE7818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236B2A3F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__construct()</w:t>
      </w:r>
    </w:p>
    <w:p w14:paraId="4592981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6B7BBCF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$this-&gt;definitions = [</w:t>
      </w:r>
    </w:p>
    <w:p w14:paraId="1A1410C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'savings' =&gt; new DefinicionTipoCuenta(</w:t>
      </w:r>
    </w:p>
    <w:p w14:paraId="7D09361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identificador: 'savings',</w:t>
      </w:r>
    </w:p>
    <w:p w14:paraId="0E86F72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nombreVisible: 'Savings Account',</w:t>
      </w:r>
    </w:p>
    <w:p w14:paraId="1413E236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monedasElegibles: ['COP', 'USD'],</w:t>
      </w:r>
    </w:p>
    <w:p w14:paraId="106DFF3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politicaSobregiro: 'not_allowed',</w:t>
      </w:r>
    </w:p>
    <w:p w14:paraId="484C4D5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),</w:t>
      </w:r>
    </w:p>
    <w:p w14:paraId="49914E9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'checking' =&gt; new DefinicionTipoCuenta(</w:t>
      </w:r>
    </w:p>
    <w:p w14:paraId="58DAFA0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identificador: 'checking',</w:t>
      </w:r>
    </w:p>
    <w:p w14:paraId="441110B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nombreVisible: 'Checking Account',</w:t>
      </w:r>
    </w:p>
    <w:p w14:paraId="145495E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monedasElegibles: ['COP', 'USD'],</w:t>
      </w:r>
    </w:p>
    <w:p w14:paraId="36199BB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politicaSobregiro: 'allowed',</w:t>
      </w:r>
    </w:p>
    <w:p w14:paraId="1CF23CC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),</w:t>
      </w:r>
    </w:p>
    <w:p w14:paraId="471AA39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];</w:t>
      </w:r>
    </w:p>
    <w:p w14:paraId="013ACF9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53A74A94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46581B5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67DE62E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@return list&lt;DefinicionTipoCuenta&gt;</w:t>
      </w:r>
    </w:p>
    <w:p w14:paraId="09AE775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7B33FD9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listar(): array</w:t>
      </w:r>
    </w:p>
    <w:p w14:paraId="58FD155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58663B66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return array_values($this-&gt;definitions);</w:t>
      </w:r>
    </w:p>
    <w:p w14:paraId="4104639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3434C0A0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06927E2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buscar(string $identificador): ?DefinicionTipoCuenta</w:t>
      </w:r>
    </w:p>
    <w:p w14:paraId="2EB4DF3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4E7C455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return $this-&gt;definitions[$identificador] ?? null;</w:t>
      </w:r>
    </w:p>
    <w:p w14:paraId="7DAD50F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56FA1330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}</w:t>
      </w:r>
    </w:p>
    <w:p w14:paraId="743026B7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app/Domain/Account/DefinicionTipoCuenta.php (líneas 5–16)</w:t>
      </w:r>
    </w:p>
    <w:p w14:paraId="7298A33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final readonly class DefinicionTipoCuenta</w:t>
      </w:r>
    </w:p>
    <w:p w14:paraId="27B8420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{</w:t>
      </w:r>
    </w:p>
    <w:p w14:paraId="0470721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2FF2A1E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@param  list&lt;string&gt;  $monedasElegibles</w:t>
      </w:r>
    </w:p>
    <w:p w14:paraId="24132FB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7801512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__construct(</w:t>
      </w:r>
    </w:p>
    <w:p w14:paraId="51734A4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public string $identificador,</w:t>
      </w:r>
    </w:p>
    <w:p w14:paraId="6AA9D21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public string $nombreVisible,</w:t>
      </w:r>
    </w:p>
    <w:p w14:paraId="6C69555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public array $monedasElegibles,</w:t>
      </w:r>
    </w:p>
    <w:p w14:paraId="7564528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public string $politicaSobregiro,</w:t>
      </w:r>
    </w:p>
    <w:p w14:paraId="06C7F7E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) {}</w:t>
      </w:r>
    </w:p>
    <w:p w14:paraId="3E4DEBD2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}</w:t>
      </w:r>
    </w:p>
    <w:p w14:paraId="72F5AF5C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app/Providers/AppServiceProvider.php (líneas 11–29; enlace en la línea 18)</w:t>
      </w:r>
    </w:p>
    <w:p w14:paraId="47368D1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class AppServiceProvider extends ServiceProvider</w:t>
      </w:r>
    </w:p>
    <w:p w14:paraId="67879A4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{</w:t>
      </w:r>
    </w:p>
    <w:p w14:paraId="3451F5A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6D83914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Register any application services.</w:t>
      </w:r>
    </w:p>
    <w:p w14:paraId="42F5B13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70E0DD7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register(): void</w:t>
      </w:r>
    </w:p>
    <w:p w14:paraId="0F557213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4F5826A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$this-&gt;app-&gt;singleton(CatalogoTiposCuenta::class, CatalogoTiposCuentaEstatico::class);</w:t>
      </w:r>
    </w:p>
    <w:p w14:paraId="491CEB3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512522DE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7DE7F43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7CA07E7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Bootstrap any application services.</w:t>
      </w:r>
    </w:p>
    <w:p w14:paraId="79A9278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58F56DC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boot(): void</w:t>
      </w:r>
    </w:p>
    <w:p w14:paraId="2576C86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10A1440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Gate::define('manage-users', fn (User $user): bool =&gt; $user-&gt;hasPermission('manage-users'));</w:t>
      </w:r>
    </w:p>
    <w:p w14:paraId="2C4566A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Gate::define('view-accounts', fn (User $user): bool =&gt; $user-&gt;hasPermission('view-accounts'));</w:t>
      </w:r>
    </w:p>
    <w:p w14:paraId="539C89E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6EF8ECD7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}</w:t>
      </w:r>
    </w:p>
    <w:p w14:paraId="62A2F76B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app/Http/Controllers/ControladorCuentas.php (líneas 12–43; resoluciones en 16–17)</w:t>
      </w:r>
    </w:p>
    <w:p w14:paraId="2C1D8D6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index(CatalogoTiposCuenta $catalogo): View</w:t>
      </w:r>
    </w:p>
    <w:p w14:paraId="3FE080C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6C52858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/** @var User $usuario */</w:t>
      </w:r>
    </w:p>
    <w:p w14:paraId="332D9D9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$usuario = auth()-&gt;user();</w:t>
      </w:r>
    </w:p>
    <w:p w14:paraId="618680E6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$primeraResolucion = app(CatalogoTiposCuenta::class);</w:t>
      </w:r>
    </w:p>
    <w:p w14:paraId="3A6F47A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$segundaResolucion = app(CatalogoTiposCuenta::class);</w:t>
      </w:r>
    </w:p>
    <w:p w14:paraId="7B0CC507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3E4CB8F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/** @var list&lt;array{identificador: string, etiqueta: string, monedasElegibles: list&lt;string&gt;, politicaSobregiro: string}&gt; $tiposCuenta */</w:t>
      </w:r>
    </w:p>
    <w:p w14:paraId="5F6FEB5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$tiposCuenta = array_map(</w:t>
      </w:r>
    </w:p>
    <w:p w14:paraId="7934F44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fn (DefinicionTipoCuenta $definicion): array =&gt; [</w:t>
      </w:r>
    </w:p>
    <w:p w14:paraId="1F43656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'identificador' =&gt; $definicion-&gt;identificador,</w:t>
      </w:r>
    </w:p>
    <w:p w14:paraId="48AD5C8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'etiqueta' =&gt; match ($definicion-&gt;identificador) {</w:t>
      </w:r>
    </w:p>
    <w:p w14:paraId="22EF299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'savings' =&gt; 'Cuenta de ahorros',</w:t>
      </w:r>
    </w:p>
    <w:p w14:paraId="2DADF85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'checking' =&gt; 'Cuenta corriente',</w:t>
      </w:r>
    </w:p>
    <w:p w14:paraId="460DD4AE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default =&gt; $definicion-&gt;nombreVisible,</w:t>
      </w:r>
    </w:p>
    <w:p w14:paraId="1576F8A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},</w:t>
      </w:r>
    </w:p>
    <w:p w14:paraId="69FBF40F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'monedasElegibles' =&gt; $definicion-&gt;monedasElegibles,</w:t>
      </w:r>
    </w:p>
    <w:p w14:paraId="4BDC3373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'politicaSobregiro' =&gt; match ($definicion-&gt;politicaSobregiro) {</w:t>
      </w:r>
    </w:p>
    <w:p w14:paraId="3C5CAD03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'not_allowed' =&gt; 'Sobregiro no permitido',</w:t>
      </w:r>
    </w:p>
    <w:p w14:paraId="1A331BD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'allowed' =&gt; 'Sobregiro permitido',</w:t>
      </w:r>
    </w:p>
    <w:p w14:paraId="392012B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default =&gt; $definicion-&gt;politicaSobregiro,</w:t>
      </w:r>
    </w:p>
    <w:p w14:paraId="544561D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},</w:t>
      </w:r>
    </w:p>
    <w:p w14:paraId="3E599023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],</w:t>
      </w:r>
    </w:p>
    <w:p w14:paraId="1A4DF68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$catalogo-&gt;listar(),</w:t>
      </w:r>
    </w:p>
    <w:p w14:paraId="2284132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);</w:t>
      </w:r>
    </w:p>
    <w:p w14:paraId="584C9FFE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1CD23D36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/** @var array{contrato: string, implementacion: string, mismaInstancia: bool} $evidenciaSingleton */</w:t>
      </w:r>
    </w:p>
    <w:p w14:paraId="1732377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$evidenciaSingleton = [</w:t>
      </w:r>
    </w:p>
    <w:p w14:paraId="62B74E2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'contrato' =&gt; CatalogoTiposCuenta::class,</w:t>
      </w:r>
    </w:p>
    <w:p w14:paraId="50B1235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'implementacion' =&gt; $primeraResolucion::class,</w:t>
      </w:r>
    </w:p>
    <w:p w14:paraId="6D47028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'mismaInstancia' =&gt; $primeraResolucion === $segundaResolucion,</w:t>
      </w:r>
    </w:p>
    <w:p w14:paraId="227DA400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];</w:t>
      </w:r>
    </w:p>
    <w:p w14:paraId="448A1774">
      <w:pPr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4</w:t>
      </w:r>
      <w:r>
        <w:rPr>
          <w:rFonts w:hint="default" w:ascii="Arial" w:hAnsi="Arial" w:cs="Arial"/>
          <w:sz w:val="22"/>
          <w:szCs w:val="22"/>
        </w:rPr>
        <w:t>. Dos resoluciones reales del contenedor con assertSame</w:t>
      </w:r>
      <w:r>
        <w:rPr>
          <w:rFonts w:hint="default" w:ascii="Arial" w:hAnsi="Arial" w:cs="Arial"/>
          <w:sz w:val="22"/>
          <w:szCs w:val="22"/>
          <w:lang w:val="es-CO"/>
        </w:rPr>
        <w:t xml:space="preserve"> (Verifica que dos valores sean identicos)</w:t>
      </w:r>
    </w:p>
    <w:p w14:paraId="1C9818B4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s-CO"/>
        </w:rPr>
        <w:t>4</w:t>
      </w:r>
      <w:r>
        <w:rPr>
          <w:rFonts w:hint="default" w:ascii="Arial" w:hAnsi="Arial" w:cs="Arial"/>
          <w:sz w:val="22"/>
          <w:szCs w:val="22"/>
        </w:rPr>
        <w:t>.1 tests/Feature/CatalogoTiposCuentaContenedorTest.php (líneas 12–23)</w:t>
      </w:r>
    </w:p>
    <w:p w14:paraId="6267BD4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test_the_catalog_contract_resolves_as_a_singleton(): void</w:t>
      </w:r>
    </w:p>
    <w:p w14:paraId="5FE0F9A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6A22AA6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$primeraResolucion = $this-&gt;app-&gt;make(CatalogoTiposCuenta::class);</w:t>
      </w:r>
    </w:p>
    <w:p w14:paraId="3DDF70DF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$segundaResolucion = $this-&gt;app-&gt;make(CatalogoTiposCuenta::class);</w:t>
      </w:r>
    </w:p>
    <w:p w14:paraId="4D102A7B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3B70165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$this-&gt;assertSame($primeraResolucion, $segundaResolucion);</w:t>
      </w:r>
    </w:p>
    <w:p w14:paraId="6106F2C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$this-&gt;assertSame(</w:t>
      </w:r>
    </w:p>
    <w:p w14:paraId="6C28484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['savings', 'checking'],</w:t>
      </w:r>
    </w:p>
    <w:p w14:paraId="6410B73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array_map(fn ($definicion): string =&gt; $definicion-&gt;identificador, $primeraResolucion-&gt;listar()),</w:t>
      </w:r>
    </w:p>
    <w:p w14:paraId="08ED82A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);</w:t>
      </w:r>
    </w:p>
    <w:p w14:paraId="4212D756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$this-&gt;assertSame($primeraResolucion-&gt;buscar('checking'), $segundaResolucion-&gt;buscar('checking'));</w:t>
      </w:r>
    </w:p>
    <w:p w14:paraId="4417FD07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29843E26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Resultado real: la prueba PASÓ dentro de la suite (34/157); el XML JUnit de la ejecución registra failures=0 y errors=0.</w:t>
      </w:r>
    </w:p>
    <w:p w14:paraId="0031D574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s-CO"/>
        </w:rPr>
        <w:t>4</w:t>
      </w:r>
      <w:r>
        <w:rPr>
          <w:rFonts w:hint="default" w:ascii="Arial" w:hAnsi="Arial" w:cs="Arial"/>
          <w:sz w:val="22"/>
          <w:szCs w:val="22"/>
        </w:rPr>
        <w:t>.2 tests/Feature/VistaCuentasTest.php (líneas 72–85) — evidencia renderizada</w:t>
      </w:r>
    </w:p>
    <w:p w14:paraId="738B5C5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test_la_evidencia_del_singleton_muestra_la_identidad_real_del_contenedor(): void</w:t>
      </w:r>
    </w:p>
    <w:p w14:paraId="21BBF9E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44D8021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$usuario = $this-&gt;usuarioConPermiso('view-accounts');</w:t>
      </w:r>
    </w:p>
    <w:p w14:paraId="05F795DF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$primeraEsperada = $this-&gt;app-&gt;make(CatalogoTiposCuenta::class);</w:t>
      </w:r>
    </w:p>
    <w:p w14:paraId="63EDCBD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$segundaEsperada = $this-&gt;app-&gt;make(CatalogoTiposCuenta::class);</w:t>
      </w:r>
    </w:p>
    <w:p w14:paraId="07D758CF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71E93BB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$response = $this-&gt;actingAs($usuario)-&gt;get(route('accounts.index'));</w:t>
      </w:r>
    </w:p>
    <w:p w14:paraId="58BDBA07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4B54A98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$response-&gt;assertSee(CatalogoTiposCuenta::class)</w:t>
      </w:r>
    </w:p>
    <w:p w14:paraId="705B015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-&gt;assertSee(CatalogoTiposCuentaEstatico::class)</w:t>
      </w:r>
    </w:p>
    <w:p w14:paraId="4F27193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-&gt;assertSee($primeraEsperada === $segundaEsperada ? 'Sí, es la misma instancia.' : 'No, son instancias diferentes.')</w:t>
      </w:r>
    </w:p>
    <w:p w14:paraId="357BBCC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-&gt;assertSee('metadatos de referencia inmutables')</w:t>
      </w:r>
    </w:p>
    <w:p w14:paraId="01F8D8B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-&gt;assertSee('no contiene cuentas, saldos ni estado de la solicitud');</w:t>
      </w:r>
    </w:p>
    <w:p w14:paraId="6321A593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0146AC54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Resultado real: la vista renderiza «Sí, es la misma instancia.» porque ambas resoluciones del contenedor son idénticas (===), y la prueba lo aserta contra el estado real del contenedor.</w:t>
      </w:r>
    </w:p>
    <w:p w14:paraId="44561D65">
      <w:pPr>
        <w:rPr>
          <w:rFonts w:hint="default" w:ascii="Arial" w:hAnsi="Arial" w:cs="Arial"/>
          <w:sz w:val="22"/>
          <w:szCs w:val="22"/>
        </w:rPr>
      </w:pPr>
    </w:p>
    <w:p w14:paraId="4832A1F1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s-CO"/>
        </w:rPr>
        <w:t>5</w:t>
      </w:r>
      <w:r>
        <w:rPr>
          <w:rFonts w:hint="default" w:ascii="Arial" w:hAnsi="Arial" w:cs="Arial"/>
          <w:b/>
          <w:bCs/>
          <w:sz w:val="22"/>
          <w:szCs w:val="22"/>
        </w:rPr>
        <w:t>. Diagrama UML (identificadores finales</w:t>
      </w:r>
      <w:r>
        <w:rPr>
          <w:rFonts w:hint="default" w:ascii="Arial" w:hAnsi="Arial" w:cs="Arial"/>
          <w:sz w:val="22"/>
          <w:szCs w:val="22"/>
        </w:rPr>
        <w:t>)</w:t>
      </w:r>
    </w:p>
    <w:p w14:paraId="279E926B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 diagrama usa exactamente los nombres finales del código: CatalogoTiposCuenta (interfaz), CatalogoTiposCuentaEstatico (implementación) y DefinicionTipoCuenta (objeto de valor inmutable), con el enlace singleton de AppServiceProvider.php:18.</w:t>
      </w:r>
    </w:p>
    <w:p w14:paraId="332C6646">
      <w:pPr>
        <w:jc w:val="center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0" distR="0">
            <wp:extent cx="5791200" cy="3783965"/>
            <wp:effectExtent l="0" t="0" r="0" b="10795"/>
            <wp:docPr id="1" name="DiagramaUM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UML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7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134" w:bottom="1134" w:left="1134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D30776"/>
    <w:multiLevelType w:val="singleLevel"/>
    <w:tmpl w:val="88D3077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484053C"/>
    <w:multiLevelType w:val="multilevel"/>
    <w:tmpl w:val="2484053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142A4610"/>
    <w:rsid w:val="54D84D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3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6"/>
      <w:szCs w:val="26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Sistema Bancario CORE</Company>
  <Pages>8</Pages>
  <Words>1598</Words>
  <Characters>13108</Characters>
  <TotalTime>0</TotalTime>
  <ScaleCrop>false</ScaleCrop>
  <LinksUpToDate>false</LinksUpToDate>
  <CharactersWithSpaces>15389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2026-08-30T00:00:00Z</dcterms:created>
  <dc:creator>Sistema Bancario CORE</dc:creator>
  <cp:lastModifiedBy>fredual guevara</cp:lastModifiedBy>
  <dcterms:modified xsi:type="dcterms:W3CDTF">2026-08-30T16:15:42Z</dcterms:modified>
  <dc:title>Evidencia del patrón Singleton — Catálogo de tipos de cuenta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eyJoZGlkIjoiNmNjZTM1MDFjMzExNDU2NzczODQ3N2YzYWY2MmYxMWEiLCJ1c2VySWQiOiIyMTk5MDI0NTI1NDM3In0=</vt:lpwstr>
  </property>
  <property fmtid="{D5CDD505-2E9C-101B-9397-08002B2CF9AE}" pid="3" name="KSOProductBuildVer">
    <vt:lpwstr>2058-12.1.0.28032</vt:lpwstr>
  </property>
  <property fmtid="{D5CDD505-2E9C-101B-9397-08002B2CF9AE}" pid="4" name="ICV">
    <vt:lpwstr>359D1C9DFE5A4D53B0969D0AAE65D8A6_12</vt:lpwstr>
  </property>
</Properties>
</file>