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1F872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157A34FE">
      <w:pPr>
        <w:jc w:val="center"/>
        <w:rPr>
          <w:rFonts w:hint="default" w:ascii="Arial" w:hAnsi="Arial" w:cs="Arial"/>
          <w:b/>
          <w:bCs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>UNIVERSITARIA TECNOLOGICA DE SANTANDER</w:t>
      </w:r>
    </w:p>
    <w:p w14:paraId="7862E5A4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4AECE60E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1F80CBCE">
      <w:p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49E5AF0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4624E17D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78BB9AE6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01E8E466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Proyecto</w:t>
      </w:r>
    </w:p>
    <w:p w14:paraId="69B2CD04">
      <w:pPr>
        <w:jc w:val="center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Sector Financiero</w:t>
      </w:r>
    </w:p>
    <w:p w14:paraId="57AAA650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59EC296C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7E08462B">
      <w:pPr>
        <w:jc w:val="center"/>
        <w:rPr>
          <w:rFonts w:hint="default" w:ascii="Arial" w:hAnsi="Arial" w:cs="Arial"/>
          <w:sz w:val="24"/>
          <w:szCs w:val="24"/>
          <w:lang w:val="es-CO"/>
        </w:rPr>
      </w:pPr>
    </w:p>
    <w:p w14:paraId="33F4A0E4">
      <w:pPr>
        <w:jc w:val="center"/>
        <w:rPr>
          <w:rFonts w:hint="default" w:ascii="Arial" w:hAnsi="Arial" w:cs="Arial"/>
          <w:sz w:val="24"/>
          <w:szCs w:val="24"/>
        </w:rPr>
      </w:pPr>
    </w:p>
    <w:p w14:paraId="63D546DD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Fredual Alexander Guevara Gonzalez</w:t>
      </w:r>
    </w:p>
    <w:p w14:paraId="11E82875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Disneyyna Jenniredd Tarazona Flórez</w:t>
      </w:r>
    </w:p>
    <w:p w14:paraId="35278B0F">
      <w:pPr>
        <w:jc w:val="center"/>
        <w:rPr>
          <w:rFonts w:hint="default" w:ascii="Arial" w:hAnsi="Arial" w:cs="Arial"/>
          <w:sz w:val="24"/>
          <w:szCs w:val="24"/>
        </w:rPr>
      </w:pPr>
    </w:p>
    <w:p w14:paraId="7AEDF16B">
      <w:pPr>
        <w:jc w:val="center"/>
        <w:rPr>
          <w:rFonts w:hint="default" w:ascii="Arial" w:hAnsi="Arial" w:cs="Arial"/>
          <w:sz w:val="24"/>
          <w:szCs w:val="24"/>
        </w:rPr>
      </w:pPr>
    </w:p>
    <w:p w14:paraId="7BBDB131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Docente</w:t>
      </w:r>
    </w:p>
    <w:p w14:paraId="51048A0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Eliecer Montero Ojeada</w:t>
      </w:r>
    </w:p>
    <w:p w14:paraId="769348E7">
      <w:pPr>
        <w:jc w:val="center"/>
        <w:rPr>
          <w:rFonts w:hint="default" w:ascii="Arial" w:hAnsi="Arial" w:cs="Arial"/>
          <w:sz w:val="24"/>
          <w:szCs w:val="24"/>
        </w:rPr>
      </w:pPr>
    </w:p>
    <w:p w14:paraId="177C8844">
      <w:pPr>
        <w:jc w:val="center"/>
        <w:rPr>
          <w:rFonts w:hint="default" w:ascii="Arial" w:hAnsi="Arial" w:cs="Arial"/>
          <w:sz w:val="24"/>
          <w:szCs w:val="24"/>
        </w:rPr>
      </w:pPr>
    </w:p>
    <w:p w14:paraId="6FCAA839">
      <w:pPr>
        <w:jc w:val="center"/>
        <w:rPr>
          <w:rFonts w:hint="default" w:ascii="Arial" w:hAnsi="Arial" w:cs="Arial"/>
          <w:sz w:val="24"/>
          <w:szCs w:val="24"/>
        </w:rPr>
      </w:pPr>
    </w:p>
    <w:p w14:paraId="48EABBBF">
      <w:pPr>
        <w:jc w:val="center"/>
        <w:rPr>
          <w:rFonts w:hint="default" w:ascii="Arial" w:hAnsi="Arial" w:cs="Arial"/>
          <w:sz w:val="24"/>
          <w:szCs w:val="24"/>
        </w:rPr>
      </w:pPr>
    </w:p>
    <w:p w14:paraId="6DD86AD5">
      <w:pPr>
        <w:jc w:val="center"/>
        <w:rPr>
          <w:rFonts w:hint="default" w:ascii="Arial" w:hAnsi="Arial" w:cs="Arial"/>
          <w:sz w:val="24"/>
          <w:szCs w:val="24"/>
        </w:rPr>
      </w:pPr>
    </w:p>
    <w:p w14:paraId="6B4CACFA">
      <w:pPr>
        <w:jc w:val="center"/>
        <w:rPr>
          <w:rFonts w:hint="default" w:ascii="Arial" w:hAnsi="Arial" w:cs="Arial"/>
          <w:sz w:val="24"/>
          <w:szCs w:val="24"/>
        </w:rPr>
      </w:pPr>
    </w:p>
    <w:p w14:paraId="0EE6775F">
      <w:pPr>
        <w:jc w:val="center"/>
        <w:rPr>
          <w:rFonts w:hint="default" w:ascii="Arial" w:hAnsi="Arial" w:cs="Arial"/>
          <w:sz w:val="24"/>
          <w:szCs w:val="24"/>
        </w:rPr>
      </w:pPr>
    </w:p>
    <w:p w14:paraId="53290558">
      <w:pPr>
        <w:jc w:val="center"/>
        <w:rPr>
          <w:rFonts w:hint="default" w:ascii="Arial" w:hAnsi="Arial" w:cs="Arial"/>
          <w:sz w:val="24"/>
          <w:szCs w:val="24"/>
        </w:rPr>
      </w:pPr>
    </w:p>
    <w:p w14:paraId="2ACBA88C">
      <w:pPr>
        <w:jc w:val="center"/>
        <w:rPr>
          <w:rFonts w:hint="default" w:ascii="Arial" w:hAnsi="Arial" w:cs="Arial"/>
          <w:sz w:val="24"/>
          <w:szCs w:val="24"/>
        </w:rPr>
      </w:pPr>
    </w:p>
    <w:p w14:paraId="6A0821B8">
      <w:pPr>
        <w:jc w:val="center"/>
        <w:rPr>
          <w:rFonts w:hint="default" w:ascii="Arial" w:hAnsi="Arial" w:cs="Arial"/>
          <w:sz w:val="24"/>
          <w:szCs w:val="24"/>
        </w:rPr>
      </w:pPr>
    </w:p>
    <w:p w14:paraId="30B359F8">
      <w:pPr>
        <w:jc w:val="center"/>
        <w:rPr>
          <w:rFonts w:hint="default" w:ascii="Arial" w:hAnsi="Arial" w:cs="Arial"/>
          <w:sz w:val="24"/>
          <w:szCs w:val="24"/>
        </w:rPr>
      </w:pPr>
    </w:p>
    <w:p w14:paraId="5C5E32BE">
      <w:pPr>
        <w:jc w:val="center"/>
        <w:rPr>
          <w:rFonts w:hint="default" w:ascii="Arial" w:hAnsi="Arial" w:cs="Arial"/>
          <w:sz w:val="24"/>
          <w:szCs w:val="24"/>
        </w:rPr>
      </w:pPr>
    </w:p>
    <w:p w14:paraId="7517F394">
      <w:pPr>
        <w:jc w:val="center"/>
        <w:rPr>
          <w:rFonts w:hint="default" w:ascii="Arial" w:hAnsi="Arial" w:cs="Arial"/>
          <w:sz w:val="24"/>
          <w:szCs w:val="24"/>
        </w:rPr>
      </w:pPr>
    </w:p>
    <w:p w14:paraId="18F3F563">
      <w:pPr>
        <w:jc w:val="center"/>
        <w:rPr>
          <w:rFonts w:hint="default" w:ascii="Arial" w:hAnsi="Arial" w:cs="Arial"/>
          <w:sz w:val="24"/>
          <w:szCs w:val="24"/>
        </w:rPr>
      </w:pPr>
    </w:p>
    <w:p w14:paraId="70BF612B">
      <w:pPr>
        <w:jc w:val="center"/>
        <w:rPr>
          <w:rFonts w:hint="default" w:ascii="Arial" w:hAnsi="Arial" w:cs="Arial"/>
          <w:sz w:val="24"/>
          <w:szCs w:val="24"/>
        </w:rPr>
      </w:pPr>
    </w:p>
    <w:p w14:paraId="18432962">
      <w:pPr>
        <w:jc w:val="center"/>
        <w:rPr>
          <w:rFonts w:hint="default" w:ascii="Arial" w:hAnsi="Arial" w:cs="Arial"/>
          <w:sz w:val="24"/>
          <w:szCs w:val="24"/>
        </w:rPr>
      </w:pPr>
    </w:p>
    <w:p w14:paraId="0CA4D675">
      <w:pPr>
        <w:jc w:val="center"/>
        <w:rPr>
          <w:rFonts w:hint="default" w:ascii="Arial" w:hAnsi="Arial" w:cs="Arial"/>
          <w:sz w:val="24"/>
          <w:szCs w:val="24"/>
        </w:rPr>
      </w:pPr>
    </w:p>
    <w:p w14:paraId="49E1FAE3">
      <w:pPr>
        <w:jc w:val="center"/>
        <w:rPr>
          <w:rFonts w:hint="default" w:ascii="Arial" w:hAnsi="Arial" w:cs="Arial"/>
          <w:sz w:val="24"/>
          <w:szCs w:val="24"/>
        </w:rPr>
      </w:pPr>
    </w:p>
    <w:p w14:paraId="4A73766A">
      <w:pPr>
        <w:jc w:val="center"/>
        <w:rPr>
          <w:rFonts w:hint="default" w:ascii="Arial" w:hAnsi="Arial" w:cs="Arial"/>
          <w:sz w:val="24"/>
          <w:szCs w:val="24"/>
        </w:rPr>
      </w:pPr>
    </w:p>
    <w:p w14:paraId="25A40FDF">
      <w:pPr>
        <w:jc w:val="center"/>
        <w:rPr>
          <w:rFonts w:hint="default" w:ascii="Arial" w:hAnsi="Arial" w:cs="Arial"/>
          <w:sz w:val="24"/>
          <w:szCs w:val="24"/>
        </w:rPr>
      </w:pPr>
    </w:p>
    <w:p w14:paraId="01C98300">
      <w:pPr>
        <w:jc w:val="both"/>
        <w:rPr>
          <w:rFonts w:hint="default" w:ascii="Arial" w:hAnsi="Arial" w:cs="Arial"/>
          <w:sz w:val="24"/>
          <w:szCs w:val="24"/>
        </w:rPr>
      </w:pPr>
    </w:p>
    <w:p w14:paraId="308D2EA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Patrones de Software A194</w:t>
      </w:r>
    </w:p>
    <w:p w14:paraId="23E92D98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Universitaria Tecnológica de Santander</w:t>
      </w:r>
    </w:p>
    <w:p w14:paraId="5CB83704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Facultad Ciencias Naturales e Ingenierías</w:t>
      </w:r>
    </w:p>
    <w:p w14:paraId="2038ADDC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Ingeniería de Sistemas</w:t>
      </w:r>
    </w:p>
    <w:p w14:paraId="48C9CC76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Bucaramanga</w:t>
      </w:r>
    </w:p>
    <w:p w14:paraId="19A909F1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2026</w:t>
      </w:r>
    </w:p>
    <w:p w14:paraId="04D8EC8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6978EAB6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 general</w:t>
      </w:r>
    </w:p>
    <w:p w14:paraId="04D3388A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Diseñar una propuesta de arquitectura de software para un sistema bancario del sector financiero, aplicando patrones de software que permitan gestionar de manera segura, consistente y escalable las operaciones relacionadas con cuentas, transacciones, préstamos e inversiones, así como la integración de múltiples canales, la detección de operaciones fraudulentas y el cumplimiento de los procesos de seguridad y regulación financiera.</w:t>
      </w:r>
    </w:p>
    <w:p w14:paraId="38894389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/>
          <w:bCs/>
          <w:sz w:val="24"/>
          <w:szCs w:val="24"/>
        </w:rPr>
      </w:pPr>
      <w:bookmarkStart w:id="0" w:name="_GoBack"/>
      <w:r>
        <w:rPr>
          <w:rFonts w:hint="default" w:ascii="Arial" w:hAnsi="Arial" w:cs="Arial"/>
          <w:b/>
          <w:bCs/>
          <w:sz w:val="24"/>
          <w:szCs w:val="24"/>
        </w:rPr>
        <w:t>Objetivos específicos</w:t>
      </w:r>
    </w:p>
    <w:bookmarkEnd w:id="0"/>
    <w:p w14:paraId="65EBC666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1. Analizar los principales requerimientos funcionales y no funcionales de un sistema bancario, considerando la gestión de cuentas, transacciones, préstamos, inversiones, seguridad, auditoría y consistencia de la información financiera.</w:t>
      </w:r>
    </w:p>
    <w:p w14:paraId="2083273F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2. Identificar y selecciona* patrones de software y arquitecturas adecuadas para solucionar las necesidades del sistema, teniendo en cuenta aspectos como escalabilidad, mantenibilidad, seguridad, disponibilidad y procesamiento de operaciones en tiempo real.</w:t>
      </w:r>
    </w:p>
    <w:p w14:paraId="035769F5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3. Diseñar una arquitectura que permita integrar diferentes canales de atención, como aplicaciones web, dispositivos móviles, cajeros automáticos y APIs externas, garantizando una comunicación segura y centralizada con los servicios del sistema bancario.</w:t>
      </w:r>
    </w:p>
    <w:p w14:paraId="79DE3252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4. Proponer mecanismos de software orientados a la detección de operaciones sospechosas y al cumplimiento de procesos financieros como KYC y AML, incorporando procesamiento de eventos, reglas de negocio, auditoría y mecanismos de trazabilidad que contribuyan a la seguridad y confiabilidad del sistema.</w:t>
      </w:r>
    </w:p>
    <w:p w14:paraId="5B32D842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20E2431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C6825"/>
    <w:rsid w:val="3D2C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2026-08-23T14:55:00Z</dcterms:created>
  <dc:creator>fredual guevara</dc:creator>
  <cp:lastModifiedBy>fredual guevara</cp:lastModifiedBy>
  <dcterms:modified xsi:type="dcterms:W3CDTF">2026-08-23T14:59:39Z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AE83B95430DE49A7A913A7DDF0E7A3E4_11</vt:lpwstr>
  </property>
  <property fmtid="{D5CDD505-2E9C-101B-9397-08002B2CF9AE}" pid="4" name="KSOTemplateDocerSaveRecord">
    <vt:lpwstr>eyJoZGlkIjoiNmNjZTM1MDFjMzExNDU2NzczODQ3N2YzYWY2MmYxMWEiLCJ1c2VySWQiOiIyMTk5MDI0NTI1NDM3In0=</vt:lpwstr>
  </property>
</Properties>
</file>