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1F872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157A34FE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UNIVERSITARIA TECNOLOGICA DE SANTANDER</w:t>
      </w:r>
    </w:p>
    <w:p w14:paraId="7862E5A4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4AECE60E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1F80CBCE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049E5AF0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4624E17D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78BB9AE6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01E8E466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Proyecto</w:t>
      </w:r>
    </w:p>
    <w:p w14:paraId="69B2CD04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Sector Financiero</w:t>
      </w:r>
    </w:p>
    <w:p w14:paraId="57AAA650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59EC296C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7E08462B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33F4A0E4">
      <w:pPr>
        <w:jc w:val="center"/>
        <w:rPr>
          <w:rFonts w:hint="default" w:ascii="Arial" w:hAnsi="Arial" w:cs="Arial"/>
          <w:sz w:val="24"/>
          <w:szCs w:val="24"/>
        </w:rPr>
      </w:pPr>
    </w:p>
    <w:p w14:paraId="63D546DD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Fredual Alexander Guevara Gonzalez</w:t>
      </w:r>
    </w:p>
    <w:p w14:paraId="11E82875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Disneyyna Jenniredd Tarazona Flórez</w:t>
      </w:r>
    </w:p>
    <w:p w14:paraId="35278B0F">
      <w:pPr>
        <w:jc w:val="center"/>
        <w:rPr>
          <w:rFonts w:hint="default" w:ascii="Arial" w:hAnsi="Arial" w:cs="Arial"/>
          <w:sz w:val="24"/>
          <w:szCs w:val="24"/>
        </w:rPr>
      </w:pPr>
    </w:p>
    <w:p w14:paraId="7AEDF16B">
      <w:pPr>
        <w:jc w:val="center"/>
        <w:rPr>
          <w:rFonts w:hint="default" w:ascii="Arial" w:hAnsi="Arial" w:cs="Arial"/>
          <w:sz w:val="24"/>
          <w:szCs w:val="24"/>
        </w:rPr>
      </w:pPr>
    </w:p>
    <w:p w14:paraId="7BBDB131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Docente</w:t>
      </w:r>
    </w:p>
    <w:p w14:paraId="51048A0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Eliecer Montero Ojeada</w:t>
      </w:r>
    </w:p>
    <w:p w14:paraId="769348E7">
      <w:pPr>
        <w:jc w:val="center"/>
        <w:rPr>
          <w:rFonts w:hint="default" w:ascii="Arial" w:hAnsi="Arial" w:cs="Arial"/>
          <w:sz w:val="24"/>
          <w:szCs w:val="24"/>
        </w:rPr>
      </w:pPr>
    </w:p>
    <w:p w14:paraId="177C8844">
      <w:pPr>
        <w:jc w:val="center"/>
        <w:rPr>
          <w:rFonts w:hint="default" w:ascii="Arial" w:hAnsi="Arial" w:cs="Arial"/>
          <w:sz w:val="24"/>
          <w:szCs w:val="24"/>
        </w:rPr>
      </w:pPr>
    </w:p>
    <w:p w14:paraId="6FCAA839">
      <w:pPr>
        <w:jc w:val="center"/>
        <w:rPr>
          <w:rFonts w:hint="default" w:ascii="Arial" w:hAnsi="Arial" w:cs="Arial"/>
          <w:sz w:val="24"/>
          <w:szCs w:val="24"/>
        </w:rPr>
      </w:pPr>
    </w:p>
    <w:p w14:paraId="48EABBBF">
      <w:pPr>
        <w:jc w:val="center"/>
        <w:rPr>
          <w:rFonts w:hint="default" w:ascii="Arial" w:hAnsi="Arial" w:cs="Arial"/>
          <w:sz w:val="24"/>
          <w:szCs w:val="24"/>
        </w:rPr>
      </w:pPr>
    </w:p>
    <w:p w14:paraId="6DD86AD5">
      <w:pPr>
        <w:jc w:val="center"/>
        <w:rPr>
          <w:rFonts w:hint="default" w:ascii="Arial" w:hAnsi="Arial" w:cs="Arial"/>
          <w:sz w:val="24"/>
          <w:szCs w:val="24"/>
        </w:rPr>
      </w:pPr>
    </w:p>
    <w:p w14:paraId="6B4CACFA">
      <w:pPr>
        <w:jc w:val="center"/>
        <w:rPr>
          <w:rFonts w:hint="default" w:ascii="Arial" w:hAnsi="Arial" w:cs="Arial"/>
          <w:sz w:val="24"/>
          <w:szCs w:val="24"/>
        </w:rPr>
      </w:pPr>
    </w:p>
    <w:p w14:paraId="0EE6775F">
      <w:pPr>
        <w:jc w:val="center"/>
        <w:rPr>
          <w:rFonts w:hint="default" w:ascii="Arial" w:hAnsi="Arial" w:cs="Arial"/>
          <w:sz w:val="24"/>
          <w:szCs w:val="24"/>
        </w:rPr>
      </w:pPr>
    </w:p>
    <w:p w14:paraId="53290558">
      <w:pPr>
        <w:jc w:val="center"/>
        <w:rPr>
          <w:rFonts w:hint="default" w:ascii="Arial" w:hAnsi="Arial" w:cs="Arial"/>
          <w:sz w:val="24"/>
          <w:szCs w:val="24"/>
        </w:rPr>
      </w:pPr>
    </w:p>
    <w:p w14:paraId="2ACBA88C">
      <w:pPr>
        <w:jc w:val="center"/>
        <w:rPr>
          <w:rFonts w:hint="default" w:ascii="Arial" w:hAnsi="Arial" w:cs="Arial"/>
          <w:sz w:val="24"/>
          <w:szCs w:val="24"/>
        </w:rPr>
      </w:pPr>
    </w:p>
    <w:p w14:paraId="6A0821B8">
      <w:pPr>
        <w:jc w:val="center"/>
        <w:rPr>
          <w:rFonts w:hint="default" w:ascii="Arial" w:hAnsi="Arial" w:cs="Arial"/>
          <w:sz w:val="24"/>
          <w:szCs w:val="24"/>
        </w:rPr>
      </w:pPr>
    </w:p>
    <w:p w14:paraId="30B359F8">
      <w:pPr>
        <w:jc w:val="center"/>
        <w:rPr>
          <w:rFonts w:hint="default" w:ascii="Arial" w:hAnsi="Arial" w:cs="Arial"/>
          <w:sz w:val="24"/>
          <w:szCs w:val="24"/>
        </w:rPr>
      </w:pPr>
    </w:p>
    <w:p w14:paraId="5C5E32BE">
      <w:pPr>
        <w:jc w:val="center"/>
        <w:rPr>
          <w:rFonts w:hint="default" w:ascii="Arial" w:hAnsi="Arial" w:cs="Arial"/>
          <w:sz w:val="24"/>
          <w:szCs w:val="24"/>
        </w:rPr>
      </w:pPr>
    </w:p>
    <w:p w14:paraId="7517F394">
      <w:pPr>
        <w:jc w:val="center"/>
        <w:rPr>
          <w:rFonts w:hint="default" w:ascii="Arial" w:hAnsi="Arial" w:cs="Arial"/>
          <w:sz w:val="24"/>
          <w:szCs w:val="24"/>
        </w:rPr>
      </w:pPr>
    </w:p>
    <w:p w14:paraId="18F3F563">
      <w:pPr>
        <w:jc w:val="center"/>
        <w:rPr>
          <w:rFonts w:hint="default" w:ascii="Arial" w:hAnsi="Arial" w:cs="Arial"/>
          <w:sz w:val="24"/>
          <w:szCs w:val="24"/>
        </w:rPr>
      </w:pPr>
    </w:p>
    <w:p w14:paraId="70BF612B">
      <w:pPr>
        <w:jc w:val="center"/>
        <w:rPr>
          <w:rFonts w:hint="default" w:ascii="Arial" w:hAnsi="Arial" w:cs="Arial"/>
          <w:sz w:val="24"/>
          <w:szCs w:val="24"/>
        </w:rPr>
      </w:pPr>
    </w:p>
    <w:p w14:paraId="18432962">
      <w:pPr>
        <w:jc w:val="center"/>
        <w:rPr>
          <w:rFonts w:hint="default" w:ascii="Arial" w:hAnsi="Arial" w:cs="Arial"/>
          <w:sz w:val="24"/>
          <w:szCs w:val="24"/>
        </w:rPr>
      </w:pPr>
    </w:p>
    <w:p w14:paraId="0CA4D675">
      <w:pPr>
        <w:jc w:val="center"/>
        <w:rPr>
          <w:rFonts w:hint="default" w:ascii="Arial" w:hAnsi="Arial" w:cs="Arial"/>
          <w:sz w:val="24"/>
          <w:szCs w:val="24"/>
        </w:rPr>
      </w:pPr>
    </w:p>
    <w:p w14:paraId="49E1FAE3">
      <w:pPr>
        <w:jc w:val="center"/>
        <w:rPr>
          <w:rFonts w:hint="default" w:ascii="Arial" w:hAnsi="Arial" w:cs="Arial"/>
          <w:sz w:val="24"/>
          <w:szCs w:val="24"/>
        </w:rPr>
      </w:pPr>
    </w:p>
    <w:p w14:paraId="4A73766A">
      <w:pPr>
        <w:jc w:val="center"/>
        <w:rPr>
          <w:rFonts w:hint="default" w:ascii="Arial" w:hAnsi="Arial" w:cs="Arial"/>
          <w:sz w:val="24"/>
          <w:szCs w:val="24"/>
        </w:rPr>
      </w:pPr>
    </w:p>
    <w:p w14:paraId="25A40FDF">
      <w:pPr>
        <w:jc w:val="center"/>
        <w:rPr>
          <w:rFonts w:hint="default" w:ascii="Arial" w:hAnsi="Arial" w:cs="Arial"/>
          <w:sz w:val="24"/>
          <w:szCs w:val="24"/>
        </w:rPr>
      </w:pPr>
    </w:p>
    <w:p w14:paraId="01C98300">
      <w:pPr>
        <w:jc w:val="both"/>
        <w:rPr>
          <w:rFonts w:hint="default" w:ascii="Arial" w:hAnsi="Arial" w:cs="Arial"/>
          <w:sz w:val="24"/>
          <w:szCs w:val="24"/>
        </w:rPr>
      </w:pPr>
    </w:p>
    <w:p w14:paraId="308D2EA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Patrones de Software A194</w:t>
      </w:r>
    </w:p>
    <w:p w14:paraId="23E92D98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Universitaria Tecnológica de Santander</w:t>
      </w:r>
    </w:p>
    <w:p w14:paraId="5CB83704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Facultad Ciencias Naturales e Ingenierías</w:t>
      </w:r>
    </w:p>
    <w:p w14:paraId="2038ADD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Ingeniería de Sistemas</w:t>
      </w:r>
    </w:p>
    <w:p w14:paraId="48C9CC7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Bucaramanga</w:t>
      </w:r>
    </w:p>
    <w:p w14:paraId="19A909F1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2026</w:t>
      </w:r>
    </w:p>
    <w:p w14:paraId="04D8EC8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16EFCBE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Sistema Bancario Core</w:t>
      </w:r>
    </w:p>
    <w:p w14:paraId="232EDCDA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¿Qué es?:</w:t>
      </w:r>
      <w:r>
        <w:rPr>
          <w:rFonts w:hint="default" w:ascii="Arial" w:hAnsi="Arial" w:cs="Arial"/>
          <w:sz w:val="24"/>
          <w:szCs w:val="24"/>
        </w:rPr>
        <w:t xml:space="preserve"> Es el sistema informático central que procesa y registra todas las operaciones financieras fundamentales de un banco. El término </w:t>
      </w:r>
      <w:r>
        <w:rPr>
          <w:rFonts w:hint="default" w:ascii="Arial" w:hAnsi="Arial" w:cs="Arial"/>
          <w:i/>
          <w:iCs/>
          <w:sz w:val="24"/>
          <w:szCs w:val="24"/>
        </w:rPr>
        <w:t>CORE</w:t>
      </w:r>
      <w:r>
        <w:rPr>
          <w:rFonts w:hint="default" w:ascii="Arial" w:hAnsi="Arial" w:cs="Arial"/>
          <w:sz w:val="24"/>
          <w:szCs w:val="24"/>
        </w:rPr>
        <w:t xml:space="preserve"> significa </w:t>
      </w:r>
      <w:r>
        <w:rPr>
          <w:rFonts w:hint="default" w:ascii="Arial" w:hAnsi="Arial" w:cs="Arial"/>
          <w:i/>
          <w:iCs/>
          <w:sz w:val="24"/>
          <w:szCs w:val="24"/>
        </w:rPr>
        <w:t>Central Online Real-time Exchange</w:t>
      </w:r>
      <w:r>
        <w:rPr>
          <w:rFonts w:hint="default" w:ascii="Arial" w:hAnsi="Arial" w:cs="Arial"/>
          <w:sz w:val="24"/>
          <w:szCs w:val="24"/>
        </w:rPr>
        <w:t xml:space="preserve"> (Intercambio Centralizado en Línea y en Tiempo Real).</w:t>
      </w:r>
    </w:p>
    <w:p w14:paraId="15784F31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sz w:val="24"/>
          <w:szCs w:val="24"/>
        </w:rPr>
        <w:t>Enfoque en desarrollo:</w:t>
      </w:r>
      <w:r>
        <w:rPr>
          <w:rFonts w:hint="default" w:ascii="Arial" w:hAnsi="Arial" w:cs="Arial"/>
          <w:sz w:val="24"/>
          <w:szCs w:val="24"/>
        </w:rPr>
        <w:t xml:space="preserve"> Funciona como la "única fuente de verdad" (</w:t>
      </w:r>
      <w:r>
        <w:rPr>
          <w:rFonts w:hint="default" w:ascii="Arial" w:hAnsi="Arial" w:cs="Arial"/>
          <w:i/>
          <w:iCs/>
          <w:sz w:val="24"/>
          <w:szCs w:val="24"/>
        </w:rPr>
        <w:t>Single Source of Truth</w:t>
      </w:r>
      <w:r>
        <w:rPr>
          <w:rFonts w:hint="default" w:ascii="Arial" w:hAnsi="Arial" w:cs="Arial"/>
          <w:sz w:val="24"/>
          <w:szCs w:val="24"/>
        </w:rPr>
        <w:t>). Cualquier saldo, movimiento o registro oficial vive aquí. Si este sistema se cae o falla en una transacción, el banco completo deja de funcionar adecuadamente</w:t>
      </w:r>
      <w:r>
        <w:rPr>
          <w:rFonts w:hint="default" w:ascii="Arial" w:hAnsi="Arial" w:cs="Arial"/>
          <w:sz w:val="24"/>
          <w:szCs w:val="24"/>
          <w:lang w:val="es-CO"/>
        </w:rPr>
        <w:t>.</w:t>
      </w:r>
    </w:p>
    <w:p w14:paraId="75CC1B7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Gesti</w:t>
      </w:r>
      <w:r>
        <w:rPr>
          <w:rFonts w:hint="default" w:ascii="Arial" w:hAnsi="Arial" w:cs="Arial"/>
          <w:sz w:val="24"/>
          <w:szCs w:val="24"/>
          <w:lang w:val="es-CO"/>
        </w:rPr>
        <w:t>ó</w:t>
      </w:r>
      <w:r>
        <w:rPr>
          <w:rFonts w:hint="default" w:ascii="Arial" w:hAnsi="Arial" w:cs="Arial"/>
          <w:sz w:val="24"/>
          <w:szCs w:val="24"/>
        </w:rPr>
        <w:t>n de cuentas, transacciones, préstamos e inversiones</w:t>
      </w:r>
    </w:p>
    <w:p w14:paraId="6B69E359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¿Qué es?:</w:t>
      </w:r>
      <w:r>
        <w:rPr>
          <w:rFonts w:hint="default" w:ascii="Arial" w:hAnsi="Arial" w:cs="Arial"/>
          <w:sz w:val="24"/>
          <w:szCs w:val="24"/>
        </w:rPr>
        <w:t xml:space="preserve"> La lógica central del negocio financiero.</w:t>
      </w:r>
    </w:p>
    <w:p w14:paraId="5A46E7BC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Cuentas y Transacciones:</w:t>
      </w:r>
      <w:r>
        <w:rPr>
          <w:rFonts w:hint="default" w:ascii="Arial" w:hAnsi="Arial" w:cs="Arial"/>
          <w:sz w:val="24"/>
          <w:szCs w:val="24"/>
        </w:rPr>
        <w:t xml:space="preserve"> Manejo de saldos, débitos, créditos, transferencias entre cuentas propias y de terceros.</w:t>
      </w:r>
    </w:p>
    <w:p w14:paraId="46582DBA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Préstamos:</w:t>
      </w:r>
      <w:r>
        <w:rPr>
          <w:rFonts w:hint="default" w:ascii="Arial" w:hAnsi="Arial" w:cs="Arial"/>
          <w:sz w:val="24"/>
          <w:szCs w:val="24"/>
        </w:rPr>
        <w:t xml:space="preserve"> Cálculo de amortizaciones, tasas de interés (fijas/variables), cronogramas de pago y gestión de mora</w:t>
      </w:r>
    </w:p>
    <w:p w14:paraId="0277E19D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Inversiones:</w:t>
      </w:r>
      <w:r>
        <w:rPr>
          <w:rFonts w:hint="default" w:ascii="Arial" w:hAnsi="Arial" w:cs="Arial"/>
          <w:sz w:val="24"/>
          <w:szCs w:val="24"/>
        </w:rPr>
        <w:t xml:space="preserve"> Plazos fijos, compra de activos o fondos mutuos con rendimiento a lo largo del tiempo.</w:t>
      </w:r>
    </w:p>
    <w:p w14:paraId="22D6A6DB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Enfoque en desarrollo:</w:t>
      </w:r>
    </w:p>
    <w:p w14:paraId="68995429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Consistencia Estricta (Propiedades ACID):</w:t>
      </w:r>
      <w:r>
        <w:rPr>
          <w:rFonts w:hint="default" w:ascii="Arial" w:hAnsi="Arial" w:cs="Arial"/>
          <w:sz w:val="24"/>
          <w:szCs w:val="24"/>
        </w:rPr>
        <w:t xml:space="preserve"> En las transacciones financieras no puede haber fallos parciales. Por ejemplo, al transferir dinero de la Cuenta A a la Cuenta B, si el dinero se descuenta de A pero el sistema falla antes de abonarlo a B, </w:t>
      </w:r>
      <w:r>
        <w:rPr>
          <w:rFonts w:hint="default" w:ascii="Arial" w:hAnsi="Arial" w:cs="Arial"/>
          <w:b/>
          <w:bCs/>
          <w:sz w:val="24"/>
          <w:szCs w:val="24"/>
        </w:rPr>
        <w:t>toda la operación debe revertirse de inmediato</w:t>
      </w:r>
      <w:r>
        <w:rPr>
          <w:rFonts w:hint="default" w:ascii="Arial" w:hAnsi="Arial" w:cs="Arial"/>
          <w:sz w:val="24"/>
          <w:szCs w:val="24"/>
        </w:rPr>
        <w:t xml:space="preserve"> (</w:t>
      </w:r>
      <w:r>
        <w:rPr>
          <w:rFonts w:hint="default" w:ascii="Arial" w:hAnsi="Arial" w:cs="Arial"/>
          <w:i/>
          <w:iCs/>
          <w:sz w:val="24"/>
          <w:szCs w:val="24"/>
        </w:rPr>
        <w:t>Rollback</w:t>
      </w:r>
      <w:r>
        <w:rPr>
          <w:rFonts w:hint="default" w:ascii="Arial" w:hAnsi="Arial" w:cs="Arial"/>
          <w:sz w:val="24"/>
          <w:szCs w:val="24"/>
        </w:rPr>
        <w:t>).</w:t>
      </w:r>
    </w:p>
    <w:p w14:paraId="594A066F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Diseño de Base de Datos:</w:t>
      </w:r>
      <w:r>
        <w:rPr>
          <w:rFonts w:hint="default" w:ascii="Arial" w:hAnsi="Arial" w:cs="Arial"/>
          <w:sz w:val="24"/>
          <w:szCs w:val="24"/>
        </w:rPr>
        <w:t xml:space="preserve"> Requiere modelos relacionales sólidos (PostgreSQL, Oracle, SQL Server) y un historial inmutable (auditoría de cada movimiento, nada se borra físicamente).</w:t>
      </w:r>
    </w:p>
    <w:p w14:paraId="3930A56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Múltiples canales (</w:t>
      </w:r>
      <w:r>
        <w:rPr>
          <w:rFonts w:hint="default" w:ascii="Arial" w:hAnsi="Arial" w:cs="Arial"/>
          <w:i/>
          <w:iCs/>
          <w:sz w:val="24"/>
          <w:szCs w:val="24"/>
        </w:rPr>
        <w:t>Omnicanalidad</w:t>
      </w:r>
      <w:r>
        <w:rPr>
          <w:rFonts w:hint="default" w:ascii="Arial" w:hAnsi="Arial" w:cs="Arial"/>
          <w:sz w:val="24"/>
          <w:szCs w:val="24"/>
        </w:rPr>
        <w:t>)</w:t>
      </w:r>
    </w:p>
    <w:p w14:paraId="1665330F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¿Qué es?:</w:t>
      </w:r>
      <w:r>
        <w:rPr>
          <w:rFonts w:hint="default" w:ascii="Arial" w:hAnsi="Arial" w:cs="Arial"/>
          <w:sz w:val="24"/>
          <w:szCs w:val="24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4C45E59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6C7DFBBD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Enfoque en desarrollo</w:t>
      </w:r>
    </w:p>
    <w:p w14:paraId="660B366E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Arquitectura Orientada a Microservicios / APIs:</w:t>
      </w:r>
      <w:r>
        <w:rPr>
          <w:rFonts w:hint="default" w:ascii="Arial" w:hAnsi="Arial" w:cs="Arial"/>
          <w:sz w:val="24"/>
          <w:szCs w:val="24"/>
        </w:rPr>
        <w:t xml:space="preserve"> En lugar de crear un sistema distinto para la app y otro para el sitio web, creas un backend centralizado expuesto mediante un </w:t>
      </w:r>
      <w:r>
        <w:rPr>
          <w:rFonts w:hint="default" w:ascii="Arial" w:hAnsi="Arial" w:cs="Arial"/>
          <w:b/>
          <w:bCs/>
          <w:sz w:val="24"/>
          <w:szCs w:val="24"/>
        </w:rPr>
        <w:t>API Gateway</w:t>
      </w:r>
      <w:r>
        <w:rPr>
          <w:rFonts w:hint="default" w:ascii="Arial" w:hAnsi="Arial" w:cs="Arial"/>
          <w:sz w:val="24"/>
          <w:szCs w:val="24"/>
        </w:rPr>
        <w:t>.</w:t>
      </w:r>
    </w:p>
    <w:p w14:paraId="6F50E001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Manejo de Sesiones y Autenticación:</w:t>
      </w:r>
      <w:r>
        <w:rPr>
          <w:rFonts w:hint="default" w:ascii="Arial" w:hAnsi="Arial" w:cs="Arial"/>
          <w:sz w:val="24"/>
          <w:szCs w:val="24"/>
        </w:rPr>
        <w:t xml:space="preserve"> Implementación de protocolos estándar y seguros como OAuth2, OpenID Connect y autenticación multifactor (MFA/2FA) para garantizar que la misma cuenta sea accesible de forma segura desde cualquier canal.</w:t>
      </w:r>
    </w:p>
    <w:p w14:paraId="13B4B67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Detección de fraude en tiempo real</w:t>
      </w:r>
    </w:p>
    <w:p w14:paraId="16818E00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¿Qué es?:</w:t>
      </w:r>
      <w:r>
        <w:rPr>
          <w:rFonts w:hint="default" w:ascii="Arial" w:hAnsi="Arial" w:cs="Arial"/>
          <w:sz w:val="24"/>
          <w:szCs w:val="24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47886E2C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Enfoque en desarrollo:</w:t>
      </w:r>
    </w:p>
    <w:p w14:paraId="66A2617B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Procesamiento de Eventos en Tiempo Real (Event-Driven Architecture):</w:t>
      </w:r>
      <w:r>
        <w:rPr>
          <w:rFonts w:hint="default" w:ascii="Arial" w:hAnsi="Arial" w:cs="Arial"/>
          <w:sz w:val="24"/>
          <w:szCs w:val="24"/>
        </w:rPr>
        <w:t xml:space="preserve"> Uso de tecnologías como Apache Kafka o RabbitMQ para interceptar transacciones antes de su aprobación final.</w:t>
      </w:r>
    </w:p>
    <w:p w14:paraId="70F1F6AA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Motor de Reglas y Machine Learning:</w:t>
      </w:r>
      <w:r>
        <w:rPr>
          <w:rFonts w:hint="default" w:ascii="Arial" w:hAnsi="Arial" w:cs="Arial"/>
          <w:sz w:val="24"/>
          <w:szCs w:val="24"/>
        </w:rPr>
        <w:t xml:space="preserve"> Evalúa el riesgo en milisegundos mediante:</w:t>
      </w:r>
    </w:p>
    <w:p w14:paraId="6FDF0C0B">
      <w:pPr>
        <w:pStyle w:val="5"/>
        <w:keepNext w:val="0"/>
        <w:keepLines w:val="0"/>
        <w:widowControl/>
        <w:suppressLineNumbers w:val="0"/>
        <w:ind w:left="21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Reglas estáticas (ej. </w:t>
      </w:r>
      <w:r>
        <w:rPr>
          <w:rFonts w:hint="default" w:ascii="Arial" w:hAnsi="Arial" w:cs="Arial"/>
          <w:i/>
          <w:iCs/>
          <w:sz w:val="24"/>
          <w:szCs w:val="24"/>
        </w:rPr>
        <w:t>"bloquear si el monto supera $X en un horario no habitual"</w:t>
      </w:r>
      <w:r>
        <w:rPr>
          <w:rFonts w:hint="default" w:ascii="Arial" w:hAnsi="Arial" w:cs="Arial"/>
          <w:sz w:val="24"/>
          <w:szCs w:val="24"/>
        </w:rPr>
        <w:t>).</w:t>
      </w:r>
    </w:p>
    <w:p w14:paraId="44C71957">
      <w:pPr>
        <w:pStyle w:val="5"/>
        <w:keepNext w:val="0"/>
        <w:keepLines w:val="0"/>
        <w:widowControl/>
        <w:suppressLineNumbers w:val="0"/>
        <w:ind w:left="21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Modelos predictivos/ML que analizan el comportamiento histórico del usuario (patrones de gasto, geolocalización, tipo de comercio).</w:t>
      </w:r>
    </w:p>
    <w:p w14:paraId="1A07DB0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Cumplimiento regulatorio (KYC, AML)</w:t>
      </w:r>
    </w:p>
    <w:p w14:paraId="33E9077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Son marcos normativos legales exigidos por los entes reguladores financieros de cada país para prevenir delitos.</w:t>
      </w:r>
    </w:p>
    <w:p w14:paraId="74179F8E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KYC (</w:t>
      </w:r>
      <w:r>
        <w:rPr>
          <w:rFonts w:hint="default" w:ascii="Arial" w:hAnsi="Arial" w:cs="Arial"/>
          <w:b/>
          <w:bCs/>
          <w:i/>
          <w:iCs/>
          <w:sz w:val="24"/>
          <w:szCs w:val="24"/>
        </w:rPr>
        <w:t>Know Your Customer</w:t>
      </w:r>
      <w:r>
        <w:rPr>
          <w:rFonts w:hint="default" w:ascii="Arial" w:hAnsi="Arial" w:cs="Arial"/>
          <w:b/>
          <w:bCs/>
          <w:sz w:val="24"/>
          <w:szCs w:val="24"/>
        </w:rPr>
        <w:t>):</w:t>
      </w:r>
    </w:p>
    <w:p w14:paraId="55E6D3DD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¿Qué es?:</w:t>
      </w:r>
      <w:r>
        <w:rPr>
          <w:rFonts w:hint="default" w:ascii="Arial" w:hAnsi="Arial" w:cs="Arial"/>
          <w:sz w:val="24"/>
          <w:szCs w:val="24"/>
        </w:rPr>
        <w:t xml:space="preserve"> Proceso para verificar la identidad real de una persona antes o durante el momento en que abre una cuenta bancaria.</w:t>
      </w:r>
    </w:p>
    <w:p w14:paraId="09A63747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Enfoque en desarrollo:</w:t>
      </w:r>
      <w:r>
        <w:rPr>
          <w:rFonts w:hint="default" w:ascii="Arial" w:hAnsi="Arial" w:cs="Arial"/>
          <w:sz w:val="24"/>
          <w:szCs w:val="24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0872A817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AML (</w:t>
      </w:r>
      <w:r>
        <w:rPr>
          <w:rFonts w:hint="default" w:ascii="Arial" w:hAnsi="Arial" w:cs="Arial"/>
          <w:b/>
          <w:bCs/>
          <w:i/>
          <w:iCs/>
          <w:sz w:val="24"/>
          <w:szCs w:val="24"/>
        </w:rPr>
        <w:t>Anti-Money Laundering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):</w:t>
      </w:r>
    </w:p>
    <w:p w14:paraId="1F96F110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¿Qué es?:</w:t>
      </w:r>
      <w:r>
        <w:rPr>
          <w:rFonts w:hint="default" w:ascii="Arial" w:hAnsi="Arial" w:cs="Arial"/>
          <w:sz w:val="24"/>
          <w:szCs w:val="24"/>
        </w:rPr>
        <w:t xml:space="preserve"> Conjunt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o de procedimientos para evitar que dinero de procedencia ilícita ingrese al sistema financiero legal.</w:t>
      </w:r>
    </w:p>
    <w:p w14:paraId="30DEF4D7">
      <w:pPr>
        <w:pStyle w:val="5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Enfoque en desarrollo:</w:t>
      </w:r>
    </w:p>
    <w:p w14:paraId="53CF6C49">
      <w:pPr>
        <w:pStyle w:val="5"/>
        <w:keepNext w:val="0"/>
        <w:keepLines w:val="0"/>
        <w:widowControl/>
        <w:suppressLineNumbers w:val="0"/>
        <w:ind w:left="21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5B32D842">
      <w:pPr>
        <w:pStyle w:val="5"/>
        <w:keepNext w:val="0"/>
        <w:keepLines w:val="0"/>
        <w:widowControl/>
        <w:suppressLineNumbers w:val="0"/>
        <w:ind w:left="216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Cotejo de clientes nuevos y existentes contra Listas Restringidas internacionales (listas de personas sancionadas, terroristas o PEP -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</w:rPr>
        <w:t>Personas Expuestas Políticamente</w:t>
      </w:r>
      <w:r>
        <w:rPr>
          <w:rFonts w:hint="default" w:ascii="Arial" w:hAnsi="Arial" w:cs="Arial"/>
          <w:b w:val="0"/>
          <w:bCs w:val="0"/>
          <w:sz w:val="24"/>
          <w:szCs w:val="24"/>
        </w:rPr>
        <w:t>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41E81"/>
    <w:rsid w:val="5B4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2026-08-19T12:43:00Z</dcterms:created>
  <dc:creator>fredual guevara</dc:creator>
  <cp:lastModifiedBy>fredual guevara</cp:lastModifiedBy>
  <dcterms:modified xsi:type="dcterms:W3CDTF">2026-08-19T12:56:29Z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2F9172998A1B47F292114C0DC6FFEED3_11</vt:lpwstr>
  </property>
  <property fmtid="{D5CDD505-2E9C-101B-9397-08002B2CF9AE}" pid="4" name="KSOTemplateDocerSaveRecord">
    <vt:lpwstr>eyJoZGlkIjoiNmNjZTM1MDFjMzExNDU2NzczODQ3N2YzYWY2MmYxMWEiLCJ1c2VySWQiOiIyMTk5MDI0NTI1NDM3In0=</vt:lpwstr>
  </property>
</Properties>
</file>