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AF87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Proyecto </w:t>
      </w:r>
    </w:p>
    <w:p w14:paraId="42503C2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Sistema Bancario CORE</w:t>
      </w:r>
    </w:p>
    <w:p w14:paraId="508DB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AE89E4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211E62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0B1AA0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5133FEB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8C057F1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6C7E32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66FB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5EA7E06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765C58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76AC37E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Fredual Alexander Guevara Gonzalez</w:t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ab/>
      </w:r>
    </w:p>
    <w:p w14:paraId="3042A76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Disneyyna Jenniredd Tarazona Flórez</w:t>
      </w:r>
    </w:p>
    <w:p w14:paraId="16EB12B6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8E2DEE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011B15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C0EADFF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1AE816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257AD514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30CF6F0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6535E4A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B43B67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CFF0AB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227E017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Docente</w:t>
      </w:r>
    </w:p>
    <w:p w14:paraId="607D954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Eliecer Montero Ojeda</w:t>
      </w:r>
    </w:p>
    <w:p w14:paraId="184E80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2408A25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0DCF5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1AD2E9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8A1D16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7DD15E2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Patrones de Software A194</w:t>
      </w:r>
    </w:p>
    <w:p w14:paraId="44ADCD85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C32D30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66B344D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46DB2C80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50331B13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93684FE">
      <w:pPr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1AA24D73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</w:p>
    <w:p w14:paraId="0B643B6D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Universitaria Tecnológica de Santander</w:t>
      </w:r>
    </w:p>
    <w:p w14:paraId="1BE0BE0E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Facultad Ciencias Naturales e Ingenierías </w:t>
      </w:r>
    </w:p>
    <w:p w14:paraId="5DE03D6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 xml:space="preserve">Ingeniería de Sistemas </w:t>
      </w:r>
    </w:p>
    <w:p w14:paraId="2F6ED410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Bucaramanga</w:t>
      </w:r>
    </w:p>
    <w:p w14:paraId="5460F918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t>2026</w:t>
      </w:r>
    </w:p>
    <w:p w14:paraId="7D025106">
      <w:pPr>
        <w:rPr>
          <w:rFonts w:ascii="Arial" w:hAnsi="Arial" w:cs="Arial"/>
          <w:sz w:val="24"/>
          <w:szCs w:val="24"/>
          <w:lang w:val="es-CO"/>
        </w:rPr>
      </w:pPr>
      <w:r>
        <w:rPr>
          <w:rFonts w:ascii="Arial" w:hAnsi="Arial" w:cs="Arial"/>
          <w:sz w:val="24"/>
          <w:szCs w:val="24"/>
          <w:lang w:val="es-CO"/>
        </w:rPr>
        <w:br w:type="page"/>
      </w:r>
    </w:p>
    <w:p w14:paraId="7D025107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1. Sistema Bancario Core</w:t>
      </w:r>
    </w:p>
    <w:p w14:paraId="7D025108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Es el sistema informático central que procesa y registra todas las operaciones financieras fundamentales de un banco. El término </w:t>
      </w:r>
      <w:r>
        <w:rPr>
          <w:rFonts w:ascii="Arial" w:hAnsi="Arial" w:cs="Arial"/>
          <w:i/>
          <w:iCs/>
          <w:lang w:val="es-CO"/>
        </w:rPr>
        <w:t>CORE</w:t>
      </w:r>
      <w:r>
        <w:rPr>
          <w:rFonts w:ascii="Arial" w:hAnsi="Arial" w:cs="Arial"/>
          <w:lang w:val="es-CO"/>
        </w:rPr>
        <w:t xml:space="preserve"> significa </w:t>
      </w:r>
      <w:r>
        <w:rPr>
          <w:rFonts w:ascii="Arial" w:hAnsi="Arial" w:cs="Arial"/>
          <w:i/>
          <w:iCs/>
          <w:lang w:val="es-CO"/>
        </w:rPr>
        <w:t>Central Online Real-time Exchange</w:t>
      </w:r>
      <w:r>
        <w:rPr>
          <w:rFonts w:ascii="Arial" w:hAnsi="Arial" w:cs="Arial"/>
          <w:lang w:val="es-CO"/>
        </w:rPr>
        <w:t xml:space="preserve"> (Intercambio Centralizado en Línea y en Tiempo Real).</w:t>
      </w:r>
    </w:p>
    <w:p w14:paraId="7D025109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Funciona como la "única fuente de verdad" (</w:t>
      </w:r>
      <w:r>
        <w:rPr>
          <w:rFonts w:ascii="Arial" w:hAnsi="Arial" w:cs="Arial"/>
          <w:i/>
          <w:iCs/>
          <w:lang w:val="es-CO"/>
        </w:rPr>
        <w:t>Single Source of Truth</w:t>
      </w:r>
      <w:r>
        <w:rPr>
          <w:rFonts w:ascii="Arial" w:hAnsi="Arial" w:cs="Arial"/>
          <w:lang w:val="es-CO"/>
        </w:rPr>
        <w:t>). Cualquier saldo, movimiento o registro oficial vive aquí. Si este sistema se cae o falla en una transacción, el banco completo deja de funcionar adecuadamente.</w:t>
      </w:r>
    </w:p>
    <w:p w14:paraId="7D02510A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2. Gestión de cuentas, transacciones, préstamos e inversiones</w:t>
      </w:r>
    </w:p>
    <w:p w14:paraId="7D02510B">
      <w:pPr>
        <w:pStyle w:val="5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La lógica central del negocio financiero.</w:t>
      </w:r>
    </w:p>
    <w:p w14:paraId="7D02510C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Cuentas y Transacciones:</w:t>
      </w:r>
      <w:r>
        <w:rPr>
          <w:rFonts w:ascii="Arial" w:hAnsi="Arial" w:cs="Arial"/>
          <w:lang w:val="es-CO"/>
        </w:rPr>
        <w:t xml:space="preserve"> Manejo de saldos, débitos, créditos, transferencias entre cuentas propias y de terceros.</w:t>
      </w:r>
    </w:p>
    <w:p w14:paraId="7D02510D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Préstamos:</w:t>
      </w:r>
      <w:r>
        <w:rPr>
          <w:rFonts w:ascii="Arial" w:hAnsi="Arial" w:cs="Arial"/>
          <w:lang w:val="es-CO"/>
        </w:rPr>
        <w:t xml:space="preserve"> Cálculo de amortizaciones, tasas de interés (fijas/variables), cronogramas de pago y gestión de mora</w:t>
      </w:r>
    </w:p>
    <w:p w14:paraId="7D02510E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Inversiones:</w:t>
      </w:r>
      <w:r>
        <w:rPr>
          <w:rFonts w:ascii="Arial" w:hAnsi="Arial" w:cs="Arial"/>
          <w:lang w:val="es-CO"/>
        </w:rPr>
        <w:t xml:space="preserve"> Plazos fijos, compra de activos o fondos mutuos con rendimiento a lo largo del tiempo.</w:t>
      </w:r>
    </w:p>
    <w:p w14:paraId="7D025112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3. Múltiples canales (</w:t>
      </w:r>
      <w:r>
        <w:rPr>
          <w:rFonts w:hint="default" w:ascii="Arial" w:hAnsi="Arial" w:cs="Arial"/>
          <w:i/>
          <w:iCs/>
          <w:sz w:val="24"/>
          <w:szCs w:val="24"/>
          <w:lang w:val="es-CO"/>
        </w:rPr>
        <w:t>Omnicanalidad</w:t>
      </w:r>
      <w:r>
        <w:rPr>
          <w:rFonts w:hint="default" w:ascii="Arial" w:hAnsi="Arial" w:cs="Arial"/>
          <w:sz w:val="24"/>
          <w:szCs w:val="24"/>
          <w:lang w:val="es-CO"/>
        </w:rPr>
        <w:t>)</w:t>
      </w:r>
    </w:p>
    <w:p w14:paraId="7D025113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Permitir que los clientes y el personal interno interactúen con el banco desde diferentes medios: aplicación móvil, portal web, cajeros automáticos (ATM), terminales en sucursales físicas, o integraciones con terceros (Open Banking / APIs).</w:t>
      </w:r>
    </w:p>
    <w:p w14:paraId="7D025118">
      <w:pPr>
        <w:rPr>
          <w:rFonts w:ascii="Arial" w:hAnsi="Arial" w:cs="Arial"/>
          <w:b/>
          <w:bCs/>
          <w:sz w:val="24"/>
          <w:szCs w:val="24"/>
          <w:lang w:val="es-CO"/>
        </w:rPr>
      </w:pPr>
      <w:r>
        <w:rPr>
          <w:rFonts w:ascii="Arial" w:hAnsi="Arial" w:cs="Arial"/>
          <w:b/>
          <w:bCs/>
          <w:sz w:val="24"/>
          <w:szCs w:val="24"/>
          <w:lang w:val="es-CO"/>
        </w:rPr>
        <w:t>4. Detección de fraude en tiempo real</w:t>
      </w:r>
    </w:p>
    <w:p w14:paraId="7D025119">
      <w:pPr>
        <w:pStyle w:val="5"/>
        <w:ind w:left="72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El análisis automático de transacciones al instante para bloquear o alertar sobre operaciones sospechosas antes de que el dinero salga de la cuenta. Por ejemplo: una compra en internet en un país lejano un minuto después de haber usado la tarjeta físicamente en una tienda local.</w:t>
      </w:r>
    </w:p>
    <w:p w14:paraId="7D02511F">
      <w:pPr>
        <w:pStyle w:val="2"/>
        <w:rPr>
          <w:rFonts w:hint="default" w:ascii="Arial" w:hAnsi="Arial" w:cs="Arial"/>
          <w:sz w:val="24"/>
          <w:szCs w:val="24"/>
          <w:lang w:val="es-CO"/>
        </w:rPr>
      </w:pPr>
      <w:r>
        <w:rPr>
          <w:rFonts w:hint="default" w:ascii="Arial" w:hAnsi="Arial" w:cs="Arial"/>
          <w:sz w:val="24"/>
          <w:szCs w:val="24"/>
          <w:lang w:val="es-CO"/>
        </w:rPr>
        <w:t>5. Cumplimiento regulatorio (KYC, AML)</w:t>
      </w:r>
    </w:p>
    <w:p w14:paraId="7D025120">
      <w:pPr>
        <w:pStyle w:val="5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Son marcos normativos legales exigidos por los entes reguladores financieros de cada país para prevenir delitos.</w:t>
      </w:r>
    </w:p>
    <w:p w14:paraId="7D025121">
      <w:pPr>
        <w:pStyle w:val="5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KYC (</w:t>
      </w:r>
      <w:r>
        <w:rPr>
          <w:rFonts w:ascii="Arial" w:hAnsi="Arial" w:cs="Arial"/>
          <w:b/>
          <w:bCs/>
          <w:i/>
          <w:iCs/>
          <w:lang w:val="es-CO"/>
        </w:rPr>
        <w:t>Know Your Customer</w:t>
      </w:r>
      <w:r>
        <w:rPr>
          <w:rFonts w:ascii="Arial" w:hAnsi="Arial" w:cs="Arial"/>
          <w:b/>
          <w:bCs/>
          <w:lang w:val="es-CO"/>
        </w:rPr>
        <w:t>):</w:t>
      </w:r>
    </w:p>
    <w:p w14:paraId="7D025122">
      <w:pPr>
        <w:pStyle w:val="5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Proceso para verificar la identidad real de una persona antes o durante el momento en que abre una cuenta bancaria.</w:t>
      </w:r>
    </w:p>
    <w:p w14:paraId="7D025123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  <w:r>
        <w:rPr>
          <w:rFonts w:ascii="Arial" w:hAnsi="Arial" w:cs="Arial"/>
          <w:lang w:val="es-CO"/>
        </w:rPr>
        <w:t xml:space="preserve"> Integración de APIs de reconocimiento facial (biometría), escaneo y lectura OCR de documentos de identidad oficiales (pasaportes, cédulas) y validación contra bases de datos gubernamentales.</w:t>
      </w:r>
    </w:p>
    <w:p w14:paraId="7D025124">
      <w:pPr>
        <w:pStyle w:val="5"/>
        <w:ind w:left="72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AML (</w:t>
      </w:r>
      <w:r>
        <w:rPr>
          <w:rFonts w:ascii="Arial" w:hAnsi="Arial" w:cs="Arial"/>
          <w:b/>
          <w:bCs/>
          <w:i/>
          <w:iCs/>
          <w:lang w:val="es-CO"/>
        </w:rPr>
        <w:t>Anti-Money Laundering</w:t>
      </w:r>
      <w:r>
        <w:rPr>
          <w:rFonts w:ascii="Arial" w:hAnsi="Arial" w:cs="Arial"/>
          <w:b/>
          <w:bCs/>
          <w:lang w:val="es-CO"/>
        </w:rPr>
        <w:t xml:space="preserve"> ):</w:t>
      </w:r>
    </w:p>
    <w:p w14:paraId="7D025125">
      <w:pPr>
        <w:pStyle w:val="5"/>
        <w:ind w:left="144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¿Qué es?:</w:t>
      </w:r>
      <w:r>
        <w:rPr>
          <w:rFonts w:ascii="Arial" w:hAnsi="Arial" w:cs="Arial"/>
          <w:lang w:val="es-CO"/>
        </w:rPr>
        <w:t xml:space="preserve"> Conjunto de procedimientos para evitar que dinero de procedencia ilícita ingrese al sistema financiero legal.</w:t>
      </w:r>
    </w:p>
    <w:p w14:paraId="7D025126">
      <w:pPr>
        <w:pStyle w:val="5"/>
        <w:ind w:left="1440"/>
        <w:rPr>
          <w:rFonts w:ascii="Arial" w:hAnsi="Arial" w:cs="Arial"/>
          <w:lang w:val="es-CO"/>
        </w:rPr>
      </w:pPr>
      <w:r>
        <w:rPr>
          <w:rFonts w:ascii="Arial" w:hAnsi="Arial" w:cs="Arial"/>
          <w:b/>
          <w:bCs/>
          <w:lang w:val="es-CO"/>
        </w:rPr>
        <w:t>Enfoque en desarrollo:</w:t>
      </w:r>
    </w:p>
    <w:p w14:paraId="7D025127">
      <w:pPr>
        <w:pStyle w:val="5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Algoritmos de monitoreo continuo que identifican fraccionamiento de depósitos (intentos de evadir límites de declaración), depósitos masivos inusuales o transferencias hacia/desde países de alto riesgo.</w:t>
      </w:r>
    </w:p>
    <w:p w14:paraId="7D025128">
      <w:pPr>
        <w:pStyle w:val="5"/>
        <w:ind w:left="21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Cotejo de clientes nuevos y existentes contra Listas Restringidas internacionales (listas de personas sancionadas, terroristas o PEP - </w:t>
      </w:r>
      <w:r>
        <w:rPr>
          <w:rFonts w:ascii="Arial" w:hAnsi="Arial" w:cs="Arial"/>
          <w:i/>
          <w:iCs/>
          <w:lang w:val="es-CO"/>
        </w:rPr>
        <w:t>Personas Expuestas Políticamente</w:t>
      </w:r>
      <w:r>
        <w:rPr>
          <w:rFonts w:ascii="Arial" w:hAnsi="Arial" w:cs="Arial"/>
          <w:lang w:val="es-CO"/>
        </w:rPr>
        <w:t>).</w:t>
      </w:r>
    </w:p>
    <w:p w14:paraId="1A0FB871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Objetivo general</w:t>
      </w:r>
    </w:p>
    <w:p w14:paraId="4E2538AD">
      <w:pPr>
        <w:pStyle w:val="5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Desarrollar un Sistema Bancario CORE que permita gestionar de forma segura y consistente las operaciones financieras de cuentas, transacciones, préstamos e inversiones, integrando múltiples canales de acceso, mecanismos de detección de fraude en tiempo real y procesos de cumplimiento regulatorio KYC y AML.</w:t>
      </w:r>
    </w:p>
    <w:p w14:paraId="4052DB85">
      <w:pPr>
        <w:pStyle w:val="5"/>
        <w:jc w:val="both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>Objetivos específicos</w:t>
      </w:r>
    </w:p>
    <w:p w14:paraId="29CB8CE5">
      <w:pPr>
        <w:pStyle w:val="5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la gestión integral de cuentas, transacciones, préstamos e inversiones, garantizando la consistencia, integridad y trazabilidad de las operaciones financieras. </w:t>
      </w:r>
    </w:p>
    <w:p w14:paraId="4042A7AA">
      <w:pPr>
        <w:pStyle w:val="5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Integrar múltiples canales de acceso, como web, dispositivos móviles, cajeros automáticos y sucursales, mediante una plataforma centralizada que permita gestionar de forma segura las operaciones de los usuarios. </w:t>
      </w:r>
    </w:p>
    <w:p w14:paraId="5826EA11">
      <w:pPr>
        <w:pStyle w:val="5"/>
        <w:numPr>
          <w:ilvl w:val="0"/>
          <w:numId w:val="1"/>
        </w:num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Implementar mecanismos de detección de fraude en tiempo real, capaces de analizar las transacciones e identificar operaciones potencialmente sospechosas para generar alertas o acciones preventivas. </w:t>
      </w:r>
    </w:p>
    <w:p w14:paraId="72F3D6A6">
      <w:pPr>
        <w:pStyle w:val="5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lang w:val="es-CO"/>
        </w:rPr>
        <w:t>Incorporar procesos de cumplimiento regulatorio KYC y AML, orientados a la validación de la identidad de los clientes y al monitoreo de operaciones que puedan representar riesgos financieros o actividades ilícitas.</w:t>
      </w:r>
    </w:p>
    <w:p w14:paraId="17D439A0">
      <w:pPr>
        <w:pStyle w:val="5"/>
        <w:numPr>
          <w:ilvl w:val="0"/>
          <w:numId w:val="0"/>
        </w:numPr>
        <w:ind w:left="360" w:leftChars="0"/>
        <w:jc w:val="center"/>
        <w:rPr>
          <w:rFonts w:hint="default" w:ascii="Arial" w:hAnsi="Arial" w:cs="Arial"/>
          <w:sz w:val="22"/>
          <w:szCs w:val="22"/>
        </w:rPr>
      </w:pPr>
      <w:r>
        <w:rPr>
          <w:rFonts w:ascii="Arial" w:hAnsi="Arial" w:cs="Arial"/>
          <w:lang w:val="es-CO"/>
        </w:rPr>
        <w:br w:type="page"/>
      </w:r>
      <w:r>
        <w:rPr>
          <w:rFonts w:hint="default" w:ascii="Arial" w:hAnsi="Arial" w:cs="Arial"/>
          <w:sz w:val="22"/>
          <w:szCs w:val="22"/>
        </w:rPr>
        <w:t>Evidencia del patrón Singleton — Catálogo de tipos de cuenta</w:t>
      </w:r>
    </w:p>
    <w:p w14:paraId="394A3B74">
      <w:pPr>
        <w:rPr>
          <w:rFonts w:hint="default" w:ascii="Arial" w:hAnsi="Arial" w:cs="Arial"/>
          <w:sz w:val="22"/>
          <w:szCs w:val="22"/>
        </w:rPr>
      </w:pPr>
    </w:p>
    <w:p w14:paraId="0DE80616">
      <w:pPr>
        <w:numPr>
          <w:ilvl w:val="0"/>
          <w:numId w:val="2"/>
        </w:numPr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Resultado ejecutivo</w:t>
      </w:r>
    </w:p>
    <w:p w14:paraId="0DC6E16C">
      <w:pPr>
        <w:numPr>
          <w:ilvl w:val="0"/>
          <w:numId w:val="0"/>
        </w:numPr>
        <w:rPr>
          <w:rFonts w:hint="default" w:ascii="Arial" w:hAnsi="Arial" w:cs="Arial"/>
          <w:b/>
          <w:bCs/>
          <w:sz w:val="22"/>
          <w:szCs w:val="22"/>
        </w:rPr>
      </w:pPr>
    </w:p>
    <w:p w14:paraId="07859DC2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Este documento es la evidencia verificada del patrón Singleton aplicado al catálogo de tipos de cuenta del Sistema Bancario CORE. Los identificadores propios del código, las vistas y las pruebas usan ahora vocabulario español canónico; los contratos de Laravel, autenticación, permisos, rutas y datos estables (savings, checking, COP, USD, allowed, not_allowed) permanecen intactos.</w:t>
      </w:r>
    </w:p>
    <w:p w14:paraId="51C94F7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ciclo de vida del Singleton lo gestiona el contenedor de Laravel mediante el enlace nativo $this-&gt;app-&gt;singleton(...) en AppServiceProvider::register(): no existe un constructor privado ni una variable global estática. Dos resoluciones del contrato a través del contenedor devuelven exactamente la misma instancia, verificado con assertSame en pruebas reales.</w:t>
      </w:r>
    </w:p>
    <w:p w14:paraId="195ECDF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Estado final de verificación: 34 pruebas, 157 aserciones, 0 fallos, 0 errores (2026-08-30).</w:t>
      </w:r>
    </w:p>
    <w:p w14:paraId="51A158EE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48010952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Código canónico actual (extractos con rutas y líneas)</w:t>
      </w:r>
    </w:p>
    <w:p w14:paraId="0B8EB45A">
      <w:pPr>
        <w:numPr>
          <w:ilvl w:val="0"/>
          <w:numId w:val="0"/>
        </w:numPr>
        <w:ind w:leftChars="0"/>
        <w:rPr>
          <w:rFonts w:hint="default" w:ascii="Arial" w:hAnsi="Arial" w:cs="Arial"/>
          <w:sz w:val="22"/>
          <w:szCs w:val="22"/>
        </w:rPr>
      </w:pPr>
    </w:p>
    <w:p w14:paraId="642CBB3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Los extractos reproducen exactamente el árbol verificado del 2026-08-30. Las referencias de línea corresponden a los archivos actuales.</w:t>
      </w:r>
    </w:p>
    <w:p w14:paraId="3DC0DDD2">
      <w:pPr>
        <w:rPr>
          <w:rFonts w:hint="default" w:ascii="Arial" w:hAnsi="Arial" w:cs="Arial"/>
          <w:sz w:val="22"/>
          <w:szCs w:val="22"/>
        </w:rPr>
      </w:pPr>
    </w:p>
    <w:p w14:paraId="5FE9B48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app/Domain/Account/CatalogoTiposCuenta.php (líneas 1–13)</w:t>
      </w:r>
    </w:p>
    <w:p w14:paraId="06B197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&lt;?php</w:t>
      </w:r>
    </w:p>
    <w:p w14:paraId="3B4697A5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81FA05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namespace App\Domain\Account;</w:t>
      </w:r>
    </w:p>
    <w:p w14:paraId="1F85314A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AB91DF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interface CatalogoTiposCuenta</w:t>
      </w:r>
    </w:p>
    <w:p w14:paraId="47DC69D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8293FD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19BFE18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54BB786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4814CC2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array;</w:t>
      </w:r>
    </w:p>
    <w:p w14:paraId="735E12B6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645D731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?DefinicionTipoCuenta;</w:t>
      </w:r>
    </w:p>
    <w:p w14:paraId="7A5AA0E6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1F547453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app/Domain/Account/CatalogoTiposCuentaEstatico.php (líneas 5–42)</w:t>
      </w:r>
    </w:p>
    <w:p w14:paraId="4534E04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class CatalogoTiposCuentaEstatico implements CatalogoTiposCuenta</w:t>
      </w:r>
    </w:p>
    <w:p w14:paraId="02E4ABC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5993ED6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077797F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@var array&lt;string, DefinicionTipoCuenta&gt;</w:t>
      </w:r>
    </w:p>
    <w:p w14:paraId="422871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176ADB7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private array $definitions;</w:t>
      </w:r>
    </w:p>
    <w:p w14:paraId="3BEE7818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236B2A3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__construct()</w:t>
      </w:r>
    </w:p>
    <w:p w14:paraId="4592981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B7BBCF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$this-&gt;definitions = [</w:t>
      </w:r>
    </w:p>
    <w:p w14:paraId="1A1410C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'savings' =&gt; new DefinicionTipoCuenta(</w:t>
      </w:r>
    </w:p>
    <w:p w14:paraId="7D09361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'savings',</w:t>
      </w:r>
    </w:p>
    <w:p w14:paraId="0E86F72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'Savings Account',</w:t>
      </w:r>
    </w:p>
    <w:p w14:paraId="1413E2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106DFF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'not_allowed',</w:t>
      </w:r>
    </w:p>
    <w:p w14:paraId="484C4D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49914E9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'checking' =&gt; new DefinicionTipoCuenta(</w:t>
      </w:r>
    </w:p>
    <w:p w14:paraId="58DAFA0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identificador: 'checking',</w:t>
      </w:r>
    </w:p>
    <w:p w14:paraId="441110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nombreVisible: 'Checking Account',</w:t>
      </w:r>
    </w:p>
    <w:p w14:paraId="145495E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monedasElegibles: ['COP', 'USD'],</w:t>
      </w:r>
    </w:p>
    <w:p w14:paraId="36199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politicaSobregiro: 'allowed',</w:t>
      </w:r>
    </w:p>
    <w:p w14:paraId="1CF23CC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),</w:t>
      </w:r>
    </w:p>
    <w:p w14:paraId="471AA39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013ACF9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3A74A94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6581B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7DE62E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@return list&lt;DefinicionTipoCuenta&gt;</w:t>
      </w:r>
    </w:p>
    <w:p w14:paraId="09AE77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B33FD9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listar(): array</w:t>
      </w:r>
    </w:p>
    <w:p w14:paraId="58FD1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58663B6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array_values($this-&gt;definitions);</w:t>
      </w:r>
    </w:p>
    <w:p w14:paraId="4104639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3434C0A0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06927E2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buscar(string $identificador): ?DefinicionTipoCuenta</w:t>
      </w:r>
    </w:p>
    <w:p w14:paraId="2EB4DF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E7C455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return $this-&gt;definitions[$identificador] ?? null;</w:t>
      </w:r>
    </w:p>
    <w:p w14:paraId="7DAD50F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6FA133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43026B7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app/Domain/Account/DefinicionTipoCuenta.php (líneas 5–16)</w:t>
      </w:r>
    </w:p>
    <w:p w14:paraId="7298A33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final readonly class DefinicionTipoCuenta</w:t>
      </w:r>
    </w:p>
    <w:p w14:paraId="27B8420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0470721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2FF2A1E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@param  list&lt;string&gt;  $monedasElegibles</w:t>
      </w:r>
    </w:p>
    <w:p w14:paraId="24132FB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801512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__construct(</w:t>
      </w:r>
    </w:p>
    <w:p w14:paraId="51734A4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$identificador,</w:t>
      </w:r>
    </w:p>
    <w:p w14:paraId="6AA9D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$nombreVisible,</w:t>
      </w:r>
    </w:p>
    <w:p w14:paraId="6C69555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array $monedasElegibles,</w:t>
      </w:r>
    </w:p>
    <w:p w14:paraId="756452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public string $politicaSobregiro,</w:t>
      </w:r>
    </w:p>
    <w:p w14:paraId="06C7F7E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) {}</w:t>
      </w:r>
    </w:p>
    <w:p w14:paraId="3E4DEBD2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72F5AF5C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app/Providers/AppServiceProvider.php (líneas 11–29; enlace en la línea 18)</w:t>
      </w:r>
    </w:p>
    <w:p w14:paraId="47368D1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class AppServiceProvider extends ServiceProvider</w:t>
      </w:r>
    </w:p>
    <w:p w14:paraId="67879A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{</w:t>
      </w:r>
    </w:p>
    <w:p w14:paraId="3451F5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6D83914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Register any application services.</w:t>
      </w:r>
    </w:p>
    <w:p w14:paraId="42F5B13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70E0DD7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register(): void</w:t>
      </w:r>
    </w:p>
    <w:p w14:paraId="0F55721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F5826A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$this-&gt;app-&gt;singleton(CatalogoTiposCuenta::class, CatalogoTiposCuentaEstatico::class);</w:t>
      </w:r>
    </w:p>
    <w:p w14:paraId="491CEB3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512522D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DE7F4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/**</w:t>
      </w:r>
    </w:p>
    <w:p w14:paraId="7CA07E7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 Bootstrap any application services.</w:t>
      </w:r>
    </w:p>
    <w:p w14:paraId="79A927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*/</w:t>
      </w:r>
    </w:p>
    <w:p w14:paraId="58F56DC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boot(): void</w:t>
      </w:r>
    </w:p>
    <w:p w14:paraId="2576C86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10A1440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Gate::define('manage-users', fn (User $user): bool =&gt; $user-&gt;hasPermission('manage-users'));</w:t>
      </w:r>
    </w:p>
    <w:p w14:paraId="2C4566A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Gate::define('view-accounts', fn (User $user): bool =&gt; $user-&gt;hasPermission('view-accounts'));</w:t>
      </w:r>
    </w:p>
    <w:p w14:paraId="539C89E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6EF8ECD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}</w:t>
      </w:r>
    </w:p>
    <w:p w14:paraId="62A2F76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app/Http/Controllers/ControladorCuentas.php (líneas 12–43; resoluciones en 16–17)</w:t>
      </w:r>
    </w:p>
    <w:p w14:paraId="2C1D8D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index(CatalogoTiposCuenta $catalogo): View</w:t>
      </w:r>
    </w:p>
    <w:p w14:paraId="3FE080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C52858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User $usuario */</w:t>
      </w:r>
    </w:p>
    <w:p w14:paraId="332D9D9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auth()-&gt;user();</w:t>
      </w:r>
    </w:p>
    <w:p w14:paraId="618680E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app(CatalogoTiposCuenta::class);</w:t>
      </w:r>
    </w:p>
    <w:p w14:paraId="3A6F47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app(CatalogoTiposCuenta::class);</w:t>
      </w:r>
    </w:p>
    <w:p w14:paraId="7B0CC5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E4CB8F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list&lt;array{identificador: string, etiqueta: string, monedasElegibles: list&lt;string&gt;, politicaSobregiro: string}&gt; $tiposCuenta */</w:t>
      </w:r>
    </w:p>
    <w:p w14:paraId="5F6FEB5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$tiposCuenta = array_map(</w:t>
      </w:r>
    </w:p>
    <w:p w14:paraId="7934F44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fn (DefinicionTipoCuenta $definicion): array =&gt; [</w:t>
      </w:r>
    </w:p>
    <w:p w14:paraId="1F43656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'identificador' =&gt; $definicion-&gt;identificador,</w:t>
      </w:r>
    </w:p>
    <w:p w14:paraId="48AD5C8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'etiqueta' =&gt; match ($definicion-&gt;identificador) {</w:t>
      </w:r>
    </w:p>
    <w:p w14:paraId="22EF299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'savings' =&gt; 'Cuenta de ahorros',</w:t>
      </w:r>
    </w:p>
    <w:p w14:paraId="2DADF85D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'checking' =&gt; 'Cuenta corriente',</w:t>
      </w:r>
    </w:p>
    <w:p w14:paraId="460DD4AE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$definicion-&gt;nombreVisible,</w:t>
      </w:r>
    </w:p>
    <w:p w14:paraId="1576F8A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69FBF40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'monedasElegibles' =&gt; $definicion-&gt;monedasElegibles,</w:t>
      </w:r>
    </w:p>
    <w:p w14:paraId="4BDC337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'politicaSobregiro' =&gt; match ($definicion-&gt;politicaSobregiro) {</w:t>
      </w:r>
    </w:p>
    <w:p w14:paraId="3C5CAD0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'not_allowed' =&gt; 'Sobregiro no permitido',</w:t>
      </w:r>
    </w:p>
    <w:p w14:paraId="1A331BD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'allowed' =&gt; 'Sobregiro permitido',</w:t>
      </w:r>
    </w:p>
    <w:p w14:paraId="392012BA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    default =&gt; $definicion-&gt;politicaSobregiro,</w:t>
      </w:r>
    </w:p>
    <w:p w14:paraId="544561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    },</w:t>
      </w:r>
    </w:p>
    <w:p w14:paraId="3E599023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],</w:t>
      </w:r>
    </w:p>
    <w:p w14:paraId="1A4DF68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$catalogo-&gt;listar(),</w:t>
      </w:r>
    </w:p>
    <w:p w14:paraId="2284132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584C9FFE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1CD23D3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/** @var array{contrato: string, implementacion: string, mismaInstancia: bool} $evidenciaSingleton */</w:t>
      </w:r>
    </w:p>
    <w:p w14:paraId="1732377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$evidenciaSingleton = [</w:t>
      </w:r>
    </w:p>
    <w:p w14:paraId="62B74E2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'contrato' =&gt; CatalogoTiposCuenta::class,</w:t>
      </w:r>
    </w:p>
    <w:p w14:paraId="50B1235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'implementacion' =&gt; $primeraResolucion::class,</w:t>
      </w:r>
    </w:p>
    <w:p w14:paraId="6D47028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'mismaInstancia' =&gt; $primeraResolucion === $segundaResolucion,</w:t>
      </w:r>
    </w:p>
    <w:p w14:paraId="227DA400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];</w:t>
      </w:r>
    </w:p>
    <w:p w14:paraId="448A1774">
      <w:pPr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 Dos resoluciones reales del contenedor con assertSame</w:t>
      </w:r>
      <w:r>
        <w:rPr>
          <w:rFonts w:hint="default" w:ascii="Arial" w:hAnsi="Arial" w:cs="Arial"/>
          <w:sz w:val="22"/>
          <w:szCs w:val="22"/>
          <w:lang w:val="es-CO"/>
        </w:rPr>
        <w:t xml:space="preserve"> (Verifica que dos valores sean identicos)</w:t>
      </w:r>
    </w:p>
    <w:p w14:paraId="1C9818B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.1 tests/Feature/CatalogoTiposCuentaContenedorTest.php (líneas 12–23)</w:t>
      </w:r>
    </w:p>
    <w:p w14:paraId="6267BD49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test_the_catalog_contract_resolves_as_a_singleton(): void</w:t>
      </w:r>
    </w:p>
    <w:p w14:paraId="5FE0F9A1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6A22AA6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$primeraResolucion = $this-&gt;app-&gt;make(CatalogoTiposCuenta::class);</w:t>
      </w:r>
    </w:p>
    <w:p w14:paraId="3DDF70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$segundaResolucion = $this-&gt;app-&gt;make(CatalogoTiposCuenta::class);</w:t>
      </w:r>
    </w:p>
    <w:p w14:paraId="4D102A7B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3B701652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$this-&gt;assertSame($primeraResolucion, $segundaResolucion);</w:t>
      </w:r>
    </w:p>
    <w:p w14:paraId="6106F2C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</w:t>
      </w:r>
    </w:p>
    <w:p w14:paraId="6C284847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['savings', 'checking'],</w:t>
      </w:r>
    </w:p>
    <w:p w14:paraId="6410B73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array_map(fn ($definicion): string =&gt; $definicion-&gt;identificador, $primeraResolucion-&gt;listar()),</w:t>
      </w:r>
    </w:p>
    <w:p w14:paraId="08ED82A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);</w:t>
      </w:r>
    </w:p>
    <w:p w14:paraId="4212D756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$this-&gt;assertSame($primeraResolucion-&gt;buscar('checking'), $segundaResolucion-&gt;buscar('checking'));</w:t>
      </w:r>
    </w:p>
    <w:p w14:paraId="4417FD07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29843E2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prueba PASÓ dentro de la suite (34/157); el XML JUnit de la ejecución registra failures=0 y errors=0.</w:t>
      </w:r>
    </w:p>
    <w:p w14:paraId="0031D57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4</w:t>
      </w:r>
      <w:r>
        <w:rPr>
          <w:rFonts w:hint="default" w:ascii="Arial" w:hAnsi="Arial" w:cs="Arial"/>
          <w:sz w:val="22"/>
          <w:szCs w:val="22"/>
        </w:rPr>
        <w:t>.2 tests/Feature/VistaCuentasTest.php (líneas 72–85) — evidencia renderizada</w:t>
      </w:r>
    </w:p>
    <w:p w14:paraId="738B5C5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public function test_la_evidencia_del_singleton_muestra_la_identidad_real_del_contenedor(): void</w:t>
      </w:r>
    </w:p>
    <w:p w14:paraId="21BBF9E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{</w:t>
      </w:r>
    </w:p>
    <w:p w14:paraId="44D8021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$usuario = $this-&gt;usuarioConPermiso('view-accounts');</w:t>
      </w:r>
    </w:p>
    <w:p w14:paraId="05F795DF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$primeraEsperada = $this-&gt;app-&gt;make(CatalogoTiposCuenta::class);</w:t>
      </w:r>
    </w:p>
    <w:p w14:paraId="63EDCBD4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$segundaEsperada = $this-&gt;app-&gt;make(CatalogoTiposCuenta::class);</w:t>
      </w:r>
    </w:p>
    <w:p w14:paraId="07D758CF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71E93BB0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 = $this-&gt;actingAs($usuario)-&gt;get(route('accounts.index'));</w:t>
      </w:r>
    </w:p>
    <w:p w14:paraId="58BDBA07">
      <w:pPr>
        <w:keepNext/>
        <w:keepLines/>
        <w:rPr>
          <w:rFonts w:hint="default" w:ascii="Arial" w:hAnsi="Arial" w:cs="Arial"/>
          <w:sz w:val="22"/>
          <w:szCs w:val="22"/>
        </w:rPr>
      </w:pPr>
    </w:p>
    <w:p w14:paraId="4B54A98B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$response-&gt;assertSee(CatalogoTiposCuenta::class)</w:t>
      </w:r>
    </w:p>
    <w:p w14:paraId="705B0155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-&gt;assertSee(CatalogoTiposCuentaEstatico::class)</w:t>
      </w:r>
    </w:p>
    <w:p w14:paraId="4F27193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-&gt;assertSee($primeraEsperada === $segundaEsperada ? 'Sí, es la misma instancia.' : 'No, son instancias diferentes.')</w:t>
      </w:r>
    </w:p>
    <w:p w14:paraId="357BBCCC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-&gt;assertSee('metadatos de referencia inmutables')</w:t>
      </w:r>
    </w:p>
    <w:p w14:paraId="01F8D8B8">
      <w:pPr>
        <w:keepNext/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        -&gt;assertSee('no contiene cuentas, saldos ni estado de la solicitud');</w:t>
      </w:r>
    </w:p>
    <w:p w14:paraId="6321A593">
      <w:pPr>
        <w:keepLines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    }</w:t>
      </w:r>
    </w:p>
    <w:p w14:paraId="0146AC54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Resultado real: la vista renderiza «Sí, es la misma instancia.» porque ambas resoluciones del contenedor son idénticas (===), y la prueba lo aserta contra el estado real del contenedor.</w:t>
      </w:r>
    </w:p>
    <w:p w14:paraId="44561D65">
      <w:pPr>
        <w:rPr>
          <w:rFonts w:hint="default" w:ascii="Arial" w:hAnsi="Arial" w:cs="Arial"/>
          <w:sz w:val="22"/>
          <w:szCs w:val="22"/>
        </w:rPr>
      </w:pPr>
    </w:p>
    <w:p w14:paraId="4832A1F1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s-CO"/>
        </w:rPr>
        <w:t>5</w:t>
      </w:r>
      <w:r>
        <w:rPr>
          <w:rFonts w:hint="default" w:ascii="Arial" w:hAnsi="Arial" w:cs="Arial"/>
          <w:b/>
          <w:bCs/>
          <w:sz w:val="22"/>
          <w:szCs w:val="22"/>
        </w:rPr>
        <w:t>. Diagrama UML (identificadores finales</w:t>
      </w:r>
      <w:r>
        <w:rPr>
          <w:rFonts w:hint="default" w:ascii="Arial" w:hAnsi="Arial" w:cs="Arial"/>
          <w:sz w:val="22"/>
          <w:szCs w:val="22"/>
        </w:rPr>
        <w:t>)</w:t>
      </w:r>
    </w:p>
    <w:p w14:paraId="279E926B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 diagrama usa exactamente los nombres finales del código: CatalogoTiposCuenta (interfaz), CatalogoTiposCuentaEstatico (implementación) y DefinicionTipoCuenta (objeto de valor inmutable), con el enlace singleton de AppServiceProvider.php:18.</w:t>
      </w:r>
    </w:p>
    <w:p w14:paraId="332C6646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0" distR="0">
            <wp:extent cx="5791200" cy="3783965"/>
            <wp:effectExtent l="0" t="0" r="0" b="10795"/>
            <wp:docPr id="2" name="DiagramaUM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UML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F690">
      <w:pPr>
        <w:numPr>
          <w:ilvl w:val="0"/>
          <w:numId w:val="3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Evidencia en el sistema</w:t>
      </w:r>
    </w:p>
    <w:p w14:paraId="6B8F143C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</w:p>
    <w:p w14:paraId="17B83F17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Se establecieron dos tipos de cuentas en el catalogo, en el cual se instanciaron desde el controlador y se evidencia en el imagen que al compararlas coinciden en la misma instancia.</w:t>
      </w:r>
    </w:p>
    <w:p w14:paraId="7436548B">
      <w:pPr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  <w:lang w:val="es-CO"/>
        </w:rPr>
      </w:pPr>
    </w:p>
    <w:p w14:paraId="51C58F8C">
      <w:pPr>
        <w:jc w:val="center"/>
        <w:rPr>
          <w:rFonts w:ascii="Arial" w:hAnsi="Arial" w:cs="Arial"/>
          <w:b/>
          <w:color w:val="000000" w:themeColor="text1"/>
          <w:sz w:val="24"/>
          <w:szCs w:val="24"/>
          <w:lang w:val="es-CO"/>
        </w:rPr>
      </w:pPr>
      <w:r>
        <w:drawing>
          <wp:inline distT="0" distB="0" distL="114300" distR="114300">
            <wp:extent cx="6117590" cy="3138805"/>
            <wp:effectExtent l="0" t="0" r="8890" b="635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color w:val="000000" w:themeColor="text1"/>
          <w:sz w:val="24"/>
          <w:szCs w:val="24"/>
          <w:lang w:val="es-CO"/>
        </w:rPr>
        <w:br w:type="page"/>
      </w:r>
    </w:p>
    <w:p w14:paraId="7EB523E7">
      <w:pPr>
        <w:spacing w:after="120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Evidencia de los patrones Factory Method y Abstract Factory - Módulo de cuentas</w:t>
      </w:r>
    </w:p>
    <w:p w14:paraId="6FFA1DFC">
      <w:pPr>
        <w:spacing w:before="200" w:after="16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b/>
          <w:sz w:val="22"/>
          <w:szCs w:val="22"/>
          <w:lang w:val="es-CO"/>
        </w:rPr>
        <w:t>Resumen ejecutivo</w:t>
      </w:r>
    </w:p>
    <w:p w14:paraId="5323DC07">
      <w:pPr>
        <w:spacing w:after="120"/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Durante la Semana 4 se completó el módulo de cuentas del Sistema Bancario CORE y el panel administrativo RBAC. La entrega documenta dos patrones complementarios: Factory Method selecciona el tipo de cuen</w:t>
      </w:r>
      <w:bookmarkStart w:id="0" w:name="_GoBack"/>
      <w:bookmarkEnd w:id="0"/>
      <w:r>
        <w:rPr>
          <w:rFonts w:hint="default" w:ascii="Arial" w:hAnsi="Arial" w:cs="Arial"/>
          <w:sz w:val="22"/>
          <w:szCs w:val="22"/>
          <w:lang w:val="es-CO"/>
        </w:rPr>
        <w:t>ta y Abstract Factory organiza familias coherentes de productos y políticas, sin acoplar al consumidor a sus implementaciones concretas.</w:t>
      </w:r>
    </w:p>
    <w:p w14:paraId="9A4DADD3">
      <w:pPr>
        <w:spacing w:after="120"/>
        <w:jc w:val="both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La implementación verificable se encuentra en app/Domain/Account/FabricaDeCuentas.php, app/Domain/Account/FabricaDeCuentasPorCatalogo.php, app/Domain/Account/FabricaPaquetesCuentas.php y sus fábricas de familia, con la composición registrada en app/Providers/AppServiceProvider.php. El catálogo Singleton participa como fuente compartida de definiciones; no es el patrón principal de esta entrega.</w:t>
      </w:r>
    </w:p>
    <w:p w14:paraId="30B6424C">
      <w:pPr>
        <w:spacing w:before="200" w:after="16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b/>
          <w:sz w:val="22"/>
          <w:szCs w:val="22"/>
          <w:lang w:val="es-CO"/>
        </w:rPr>
        <w:t>1. Alcance funcional de la Semana 4</w:t>
      </w:r>
    </w:p>
    <w:p w14:paraId="4D145A99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Módulo de cuentas</w:t>
      </w:r>
    </w:p>
    <w:p w14:paraId="227390F3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Arquitectura de dominio hexagonal/por capas, con separación entre dominio, aplicación, persistencia e interfaces.</w:t>
      </w:r>
    </w:p>
    <w:p w14:paraId="5CDA26AA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Persistencia Eloquent mediante repositorio y migración de cuentas.</w:t>
      </w:r>
    </w:p>
    <w:p w14:paraId="1798870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Cinco casos de uso: abrir cuenta, listar cuentas, bloquear cuenta, desbloquear cuenta y consultar saldo.</w:t>
      </w:r>
    </w:p>
    <w:p w14:paraId="719C911E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Saldos exactos en moneda COP mediante valores decimales; no se usa float para dinero.</w:t>
      </w:r>
    </w:p>
    <w:p w14:paraId="3265D510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Estados de cuenta soportados: activa, bloqueada y cerrada, con sus transiciones e invariantes de dominio.</w:t>
      </w:r>
    </w:p>
    <w:p w14:paraId="3244C88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Panel administrativo RBAC</w:t>
      </w:r>
    </w:p>
    <w:p w14:paraId="52532BCE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CRUD de usuarios y CRUD de roles, con asignación de permisos y protección de las rutas administrativas.</w:t>
      </w:r>
    </w:p>
    <w:p w14:paraId="498F450F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Prevención de auto-bloqueo: un administrador no puede eliminar su rol administrador ni quitar la última fuente del permiso manage-users.</w:t>
      </w:r>
    </w:p>
    <w:p w14:paraId="6F012929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- Seeder idempotente: las ejecuciones repetidas conservan roles, permisos y relaciones sin duplicar filas.</w:t>
      </w:r>
    </w:p>
    <w:p w14:paraId="122408A5">
      <w:pPr>
        <w:spacing w:before="200" w:after="16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b/>
          <w:sz w:val="22"/>
          <w:szCs w:val="22"/>
          <w:lang w:val="es-CO"/>
        </w:rPr>
        <w:t>2. Dónde y cómo se aplica Factory Method</w:t>
      </w:r>
    </w:p>
    <w:p w14:paraId="50743364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producto abstracto es CuentaProducto, definido en app/Domain/Account/CuentaProducto.php. Sus productos concretos son CuentaAhorro y CuentaCorriente, cada uno con la política de sobregiro correspondiente. El creador abstracto es el contrato FabricaDeCuentas, cuya operación crear(string $tipo) devuelve ?CuentaProducto.</w:t>
      </w:r>
    </w:p>
    <w:p w14:paraId="082F0C9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creador concreto FabricaDeCuentasPorCatalogo recibe CatalogoTiposCuenta por inyección. Primero consulta el catálogo con buscar($tipo); después transforma la política de sobregiro de la definición en una instancia concreta. Si el identificador no existe o la política no está soportada, retorna null en lugar de inventar un producto. La colaboración involucra CatalogoTiposCuenta.php, CatalogoTiposCuentaEstatico.php, CuentaProducto.php, CuentaAhorro.php y CuentaCorriente.php.</w:t>
      </w:r>
    </w:p>
    <w:p w14:paraId="6572FEFD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br w:type="page"/>
      </w:r>
      <w:r>
        <w:rPr>
          <w:rFonts w:hint="default" w:ascii="Arial" w:hAnsi="Arial" w:cs="Arial"/>
          <w:b/>
          <w:sz w:val="22"/>
          <w:szCs w:val="22"/>
          <w:lang w:val="es-CO"/>
        </w:rPr>
        <w:t>Flujo de creación</w:t>
      </w:r>
    </w:p>
    <w:p w14:paraId="7C93FDB0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[tipoCuenta: savings/checking]  -&gt;  [CatalogoTiposCuenta::buscar]  -&gt;  [DefinicionTipoCuenta]  -&gt;  [FabricaDeCuentasPorCatalogo::crear]  -&gt;  [CuentaAhorro | CuentaCorriente]  -&gt;  [Cuenta con producto polimórfico]</w:t>
      </w:r>
    </w:p>
    <w:p w14:paraId="20637415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El caso de uso AbrirCuenta depende de FabricaDeCuentas. Recibe el tipo, solicita $producto = $this-&gt;fabrica-&gt;crear($tipo), valida el resultado y construye Cuenta con saldo 0, moneda COP, estado Activa y el producto devuelto. Por ello, la decisión de instanciación queda concentrada en la fábrica.</w:t>
      </w:r>
    </w:p>
    <w:p w14:paraId="58E6B0B7">
      <w:pPr>
        <w:spacing w:before="200" w:after="16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b/>
          <w:sz w:val="22"/>
          <w:szCs w:val="22"/>
          <w:lang w:val="es-CO"/>
        </w:rPr>
        <w:t>3. Extracto canónico de la implementación</w:t>
      </w:r>
    </w:p>
    <w:p w14:paraId="581481AD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app/Domain/Account/FabricaDeCuentas.php (líneas 5-8)</w:t>
      </w:r>
    </w:p>
    <w:p w14:paraId="220314EE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interface FabricaDeCuentas</w:t>
      </w:r>
    </w:p>
    <w:p w14:paraId="5DA8EF7F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{</w:t>
      </w:r>
    </w:p>
    <w:p w14:paraId="1575C0F1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public function crear(string $tipo): ?CuentaProducto;</w:t>
      </w:r>
    </w:p>
    <w:p w14:paraId="16E7807F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}</w:t>
      </w:r>
    </w:p>
    <w:p w14:paraId="2EDD926C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app/Domain/Account/FabricaDeCuentasPorCatalogo.php (líneas 5-25)</w:t>
      </w:r>
    </w:p>
    <w:p w14:paraId="5AAD84E1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final class FabricaDeCuentasPorCatalogo implements FabricaDeCuentas</w:t>
      </w:r>
    </w:p>
    <w:p w14:paraId="27D98EB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{</w:t>
      </w:r>
    </w:p>
    <w:p w14:paraId="03564A25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public function __construct(private CatalogoTiposCuenta $catalogo) {}</w:t>
      </w:r>
    </w:p>
    <w:p w14:paraId="2C52AC1A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public function crear(string $tipo): ?CuentaProducto</w:t>
      </w:r>
    </w:p>
    <w:p w14:paraId="4B9714DD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{</w:t>
      </w:r>
    </w:p>
    <w:p w14:paraId="17CA9B47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$definicion = $this-&gt;catalogo-&gt;buscar($tipo);</w:t>
      </w:r>
    </w:p>
    <w:p w14:paraId="6D73C3FD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if ($definicion === null) { return null; }</w:t>
      </w:r>
    </w:p>
    <w:p w14:paraId="195FB823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return match ($definicion-&gt;politicaSobregiro) {</w:t>
      </w:r>
    </w:p>
    <w:p w14:paraId="15023D9E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    'not_allowed' =&gt; new CuentaAhorro,</w:t>
      </w:r>
    </w:p>
    <w:p w14:paraId="27F20F7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    'allowed' =&gt; new CuentaCorriente,</w:t>
      </w:r>
    </w:p>
    <w:p w14:paraId="5AB43152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    default =&gt; null,</w:t>
      </w:r>
    </w:p>
    <w:p w14:paraId="059D5CD9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    };</w:t>
      </w:r>
    </w:p>
    <w:p w14:paraId="51A2EDF6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 xml:space="preserve">    }</w:t>
      </w:r>
    </w:p>
    <w:p w14:paraId="567E3FA9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}</w:t>
      </w:r>
    </w:p>
    <w:p w14:paraId="15229C19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La composición en app/Providers/AppServiceProvider.php registra el contrato con $this-&gt;app-&gt;bind(FabricaDeCuentas::class, FabricaDeCuentasPorCatalogo::class). Laravel resuelve la fábrica y su dependencia CatalogoTiposCuenta desde el contenedor.</w:t>
      </w:r>
    </w:p>
    <w:p w14:paraId="CC84BB05">
      <w:pPr>
        <w:spacing w:before="200" w:after="16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b/>
          <w:sz w:val="22"/>
          <w:szCs w:val="22"/>
          <w:lang w:val="es-CO"/>
        </w:rPr>
        <w:t>4. Dónde y cómo se aplica Abstract Factory</w:t>
      </w:r>
    </w:p>
    <w:p w14:paraId="44CFBB9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Se añadió Abstract Factory para crear una familia completa y coherente de objetos asociados a una cuenta. La fábrica abstracta FabricaPaquetesCuentas y el contrato FabricaFamiliaCuenta permiten seleccionar la familia Personal o Empresarial sin distribuir esa decisión entre los casos de uso.</w:t>
      </w:r>
    </w:p>
    <w:p w14:paraId="3BA4DD7B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FabricaPaquetePersonal y FabricaPaqueteEmpresarial representan las dos familias disponibles. Cada una produce un PaqueteCuenta que combina la cuenta concreta con su PoliticaComision y su PoliticaSobregiro. Los tres productos reciben el mismo identificador de familia; PaqueteCuenta valida esa compatibilidad antes de aceptar la composición.</w:t>
      </w:r>
    </w:p>
    <w:p w14:paraId="D2566DA7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La identidad de familia es estable: se asigna explícitamente al producto CuentaProducto, se conserva en PaqueteCuenta y se guarda como parte de la cuenta para que la rehidratación desde persistencia mantenga la distinción personal o empresarial. Así, las reglas de comisión y sobregiro permanecen asociadas a la familia correcta.</w:t>
      </w:r>
    </w:p>
    <w:p w14:paraId="659F1828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  <w:lang w:val="es-CO"/>
        </w:rPr>
        <w:t>Abstract Factory compone con Factory Method, pero no lo duplica. La fábrica de familia delega en FabricaDeCuentas la selección de savings o checking; después agrega las políticas y devuelve el paquete coherente. Factory Method decide qué cuenta crear; Abstract Factory decide qué familia completa de productos y reglas debe acompañarla.</w:t>
      </w:r>
    </w:p>
    <w:p w14:paraId="A7B93D50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b/>
          <w:sz w:val="22"/>
          <w:szCs w:val="22"/>
          <w:lang w:val="es-CO"/>
        </w:rPr>
        <w:t>5. Diagrama UML de Factory Method y Abstract Factory</w:t>
      </w:r>
    </w:p>
    <w:p w14:paraId="33F0C60C">
      <w:pPr>
        <w:spacing w:after="120"/>
        <w:rPr>
          <w:rFonts w:hint="default" w:ascii="Arial" w:hAnsi="Arial" w:cs="Arial"/>
          <w:sz w:val="22"/>
          <w:szCs w:val="22"/>
          <w:lang w:val="es-CO"/>
        </w:rPr>
      </w:pPr>
      <w:r>
        <w:rPr>
          <w:rFonts w:hint="default" w:ascii="Arial" w:hAnsi="Arial" w:cs="Arial"/>
          <w:sz w:val="22"/>
          <w:szCs w:val="22"/>
        </w:rPr>
        <w:t>La siguiente vista identifica las clases exactas, sus contratos y las relaciones que intervienen en la creación polimórfica de cuentas.</w:t>
      </w:r>
    </w:p>
    <w:p w14:paraId="194BB5A0">
      <w:pPr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0" distR="0">
            <wp:extent cx="5912485" cy="4544695"/>
            <wp:effectExtent l="0" t="0" r="635" b="12065"/>
            <wp:docPr id="1" name="Factory Method UML diagram" descr="UML diagram of the Factory Method account creation des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ctory Method UML diagram" descr="UML diagram of the Factory Method account creation desig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99DD464">
      <w:pPr>
        <w:spacing w:after="12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Figura 1. Composición de Factory Method y Abstract Factory: FabricaDeCuentasPorCatalogo selecciona CuentaAhorro o CuentaCorriente según el tipo y Abstract Factory las integra en una familia personal o empresarial junto con sus políticas compatibles de comisión y sobregiro. La imagen UML existente se conserva como evidencia visual embebida.</w:t>
      </w:r>
    </w:p>
    <w:p w14:paraId="3AD093FB">
      <w:pPr>
        <w:numPr>
          <w:ilvl w:val="0"/>
          <w:numId w:val="4"/>
        </w:numPr>
        <w:spacing w:after="120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Video explicativo</w:t>
      </w:r>
    </w:p>
    <w:p w14:paraId="7A20E4EA">
      <w:pPr>
        <w:numPr>
          <w:numId w:val="0"/>
        </w:numPr>
        <w:spacing w:after="120"/>
        <w:rPr>
          <w:rFonts w:hint="default" w:ascii="Arial" w:hAnsi="Arial" w:cs="Arial"/>
          <w:b/>
          <w:bCs/>
          <w:sz w:val="22"/>
          <w:szCs w:val="22"/>
          <w:lang w:val="es-CO"/>
        </w:rPr>
      </w:pPr>
      <w:r>
        <w:rPr>
          <w:rFonts w:hint="default" w:ascii="Arial" w:hAnsi="Arial" w:cs="Arial"/>
          <w:b/>
          <w:bCs/>
          <w:sz w:val="22"/>
          <w:szCs w:val="22"/>
          <w:lang w:val="es-CO"/>
        </w:rPr>
        <w:t>https://youtu.be/JMF9NLN_MyI</w:t>
      </w:r>
    </w:p>
    <w:sectPr>
      <w:pgSz w:w="11906" w:h="16838"/>
      <w:pgMar w:top="1134" w:right="1134" w:bottom="1134" w:left="1134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D30776"/>
    <w:multiLevelType w:val="singleLevel"/>
    <w:tmpl w:val="88D307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749FBBE"/>
    <w:multiLevelType w:val="singleLevel"/>
    <w:tmpl w:val="D749FBBE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2484053C"/>
    <w:multiLevelType w:val="multilevel"/>
    <w:tmpl w:val="248405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F5CAFD9"/>
    <w:multiLevelType w:val="singleLevel"/>
    <w:tmpl w:val="3F5CAFD9"/>
    <w:lvl w:ilvl="0" w:tentative="0">
      <w:start w:val="6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42A4610"/>
    <w:rsid w:val="348166D4"/>
    <w:rsid w:val="3D014B47"/>
    <w:rsid w:val="54900AB0"/>
    <w:rsid w:val="54D84DC7"/>
    <w:rsid w:val="6ED413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Sistema Bancario CORE</Company>
  <Pages>11</Pages>
  <Words>788</Words>
  <Characters>5397</Characters>
  <TotalTime>0</TotalTime>
  <ScaleCrop>false</ScaleCrop>
  <LinksUpToDate>false</LinksUpToDate>
  <CharactersWithSpaces>6224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2026-08-30T00:00:00Z</dcterms:created>
  <dc:creator>Sistema Bancario CORE</dc:creator>
  <cp:lastModifiedBy>fredual guevara</cp:lastModifiedBy>
  <dcterms:modified xsi:type="dcterms:W3CDTF">2026-09-06T14:32:39Z</dcterms:modified>
  <dc:title>Evidencia del patrón Singleton — Catálogo de tipos de cuenta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eyJoZGlkIjoiNmNjZTM1MDFjMzExNDU2NzczODQ3N2YzYWY2MmYxMWEiLCJ1c2VySWQiOiIyMTk5MDI0NTI1NDM3In0=</vt:lpwstr>
  </property>
  <property fmtid="{D5CDD505-2E9C-101B-9397-08002B2CF9AE}" pid="3" name="KSOProductBuildVer">
    <vt:lpwstr>2058-12.1.0.28485</vt:lpwstr>
  </property>
  <property fmtid="{D5CDD505-2E9C-101B-9397-08002B2CF9AE}" pid="4" name="ICV">
    <vt:lpwstr>AEDC6CF207634FF5B1D8FB5744D3C4E9_13</vt:lpwstr>
  </property>
</Properties>
</file>