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AF874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 xml:space="preserve">Proyecto </w:t>
      </w:r>
    </w:p>
    <w:p w14:paraId="42503C2B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>Sistema Bancario CORE</w:t>
      </w:r>
    </w:p>
    <w:p w14:paraId="508DBF08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30AE89E4">
      <w:pP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4211E624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70B1AA00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35133FEB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38C057F1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06C7E327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3066FBE5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05EA7E06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0765C58F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76AC37ED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>Fredual Alexander Guevara Gonzalez</w:t>
      </w: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ab/>
      </w:r>
    </w:p>
    <w:p w14:paraId="3042A763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>Disneyyna Jenniredd Tarazona Flórez</w:t>
      </w:r>
    </w:p>
    <w:p w14:paraId="16EB12B6">
      <w:pP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48E2DEE5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2011B15E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1C0EADFF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61AE8167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257AD514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30CF6F08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66535E4A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4B43B67D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5CFF0A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5227E017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>Docente</w:t>
      </w:r>
    </w:p>
    <w:p w14:paraId="607D9543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>Eliecer Montero Ojeda</w:t>
      </w:r>
    </w:p>
    <w:p w14:paraId="184E806E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02408A25">
      <w:pP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40DCF56E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51AD2E93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58A1D16E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47DD15E2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>Patrones de Software A194</w:t>
      </w:r>
    </w:p>
    <w:p w14:paraId="44ADCD85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4C32D30D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66B344D0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46DB2C80">
      <w:pP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50331B13">
      <w:pP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093684FE">
      <w:pP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1AA24D73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0B643B6D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>Universitaria Tecnológica de Santander</w:t>
      </w:r>
    </w:p>
    <w:p w14:paraId="1BE0BE0E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 xml:space="preserve">Facultad Ciencias Naturales e Ingenierías </w:t>
      </w:r>
    </w:p>
    <w:p w14:paraId="5DE03D68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 xml:space="preserve">Ingeniería de Sistemas </w:t>
      </w:r>
    </w:p>
    <w:p w14:paraId="2F6ED410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>Bucaramanga</w:t>
      </w:r>
    </w:p>
    <w:p w14:paraId="5460F918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>2026</w:t>
      </w:r>
    </w:p>
    <w:p w14:paraId="7D025106">
      <w:p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br w:type="page"/>
      </w:r>
    </w:p>
    <w:p w14:paraId="25FB399D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Tabla de Contenido</w:t>
      </w:r>
    </w:p>
    <w:p w14:paraId="4B37DA21">
      <w:pPr>
        <w:rPr>
          <w:rFonts w:hint="default" w:ascii="Arial" w:hAnsi="Arial" w:cs="Arial"/>
          <w:sz w:val="24"/>
          <w:szCs w:val="24"/>
          <w:lang w:val="es-CO"/>
        </w:rPr>
      </w:pPr>
    </w:p>
    <w:p w14:paraId="2B12A500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TOC \o "1-3" \h \u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_Toc21362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1. Sistema Bancario Core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_Toc21362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3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5FFB04C3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_Toc2738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2. Gestión de cuentas, transacciones, préstamos e inversiones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_Toc2738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3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3D1D3345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_Toc19350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3. Múltiples canales (Omnicanalidad)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_Toc19350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3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7E0EA80B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_Toc20524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4. Detección de fraude en tiempo real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_Toc20524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3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1A5FC376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_Toc15128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5. Cumplimiento regulatorio (KYC, AML)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_Toc15128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3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3783CDC7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_Toc25850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Objetivo general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_Toc25850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4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4FB36E39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_Toc26958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Objetivos específicos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_Toc26958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4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704B22EB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_Toc20632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P</w:t>
      </w:r>
      <w:r>
        <w:rPr>
          <w:rFonts w:hint="default" w:ascii="Arial" w:hAnsi="Arial" w:cs="Arial"/>
          <w:sz w:val="24"/>
          <w:szCs w:val="24"/>
        </w:rPr>
        <w:t>atrón Singleton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_Toc20632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5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65E19D20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_Toc3928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Patrón Factory Method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_Toc3928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10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589F8630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_Toc16619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Patrón Abstract Factory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_Toc16619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11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16867ECD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_Toc16300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P</w:t>
      </w:r>
      <w:r>
        <w:rPr>
          <w:rFonts w:hint="default" w:ascii="Arial" w:hAnsi="Arial" w:cs="Arial"/>
          <w:sz w:val="24"/>
          <w:szCs w:val="24"/>
        </w:rPr>
        <w:t>atrón Builder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_Toc16300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12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3112317B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_Toc12847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P</w:t>
      </w:r>
      <w:r>
        <w:rPr>
          <w:rFonts w:hint="default" w:ascii="Arial" w:hAnsi="Arial" w:cs="Arial"/>
          <w:sz w:val="24"/>
          <w:szCs w:val="24"/>
        </w:rPr>
        <w:t>atrón Prototype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_Toc12847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13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4E2B645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end"/>
      </w:r>
    </w:p>
    <w:p w14:paraId="44C2BD6C">
      <w:pPr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br w:type="page"/>
      </w:r>
    </w:p>
    <w:p w14:paraId="7D025107">
      <w:pPr>
        <w:pStyle w:val="2"/>
        <w:bidi w:val="0"/>
        <w:rPr>
          <w:rFonts w:hint="default"/>
          <w:sz w:val="24"/>
          <w:szCs w:val="24"/>
          <w:lang w:val="es-CO"/>
        </w:rPr>
      </w:pPr>
      <w:bookmarkStart w:id="0" w:name="_Toc21362"/>
      <w:r>
        <w:rPr>
          <w:rFonts w:hint="default"/>
          <w:sz w:val="24"/>
          <w:szCs w:val="24"/>
          <w:lang w:val="es-CO"/>
        </w:rPr>
        <w:t>1. Sistema Bancario Core</w:t>
      </w:r>
      <w:bookmarkEnd w:id="0"/>
    </w:p>
    <w:p w14:paraId="7D025108">
      <w:pPr>
        <w:pStyle w:val="9"/>
        <w:ind w:left="72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Es el sistema informático central que procesa y registra todas las operaciones financieras fundamentales de un banco. El término </w:t>
      </w:r>
      <w:r>
        <w:rPr>
          <w:rFonts w:ascii="Arial" w:hAnsi="Arial" w:cs="Arial"/>
          <w:i/>
          <w:iCs/>
          <w:lang w:val="es-CO"/>
        </w:rPr>
        <w:t>CORE</w:t>
      </w:r>
      <w:r>
        <w:rPr>
          <w:rFonts w:ascii="Arial" w:hAnsi="Arial" w:cs="Arial"/>
          <w:lang w:val="es-CO"/>
        </w:rPr>
        <w:t xml:space="preserve"> significa </w:t>
      </w:r>
      <w:r>
        <w:rPr>
          <w:rFonts w:ascii="Arial" w:hAnsi="Arial" w:cs="Arial"/>
          <w:i/>
          <w:iCs/>
          <w:lang w:val="es-CO"/>
        </w:rPr>
        <w:t>Central Online Real-time Exchange</w:t>
      </w:r>
      <w:r>
        <w:rPr>
          <w:rFonts w:ascii="Arial" w:hAnsi="Arial" w:cs="Arial"/>
          <w:lang w:val="es-CO"/>
        </w:rPr>
        <w:t xml:space="preserve"> (Intercambio Centralizado en Línea y en Tiempo Real).</w:t>
      </w:r>
    </w:p>
    <w:p w14:paraId="7D025109">
      <w:pPr>
        <w:pStyle w:val="9"/>
        <w:ind w:left="72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Enfoque en desarrollo:</w:t>
      </w:r>
      <w:r>
        <w:rPr>
          <w:rFonts w:ascii="Arial" w:hAnsi="Arial" w:cs="Arial"/>
          <w:lang w:val="es-CO"/>
        </w:rPr>
        <w:t xml:space="preserve"> Funciona como la "única fuente de verdad" (</w:t>
      </w:r>
      <w:r>
        <w:rPr>
          <w:rFonts w:ascii="Arial" w:hAnsi="Arial" w:cs="Arial"/>
          <w:i/>
          <w:iCs/>
          <w:lang w:val="es-CO"/>
        </w:rPr>
        <w:t>Single Source of Truth</w:t>
      </w:r>
      <w:r>
        <w:rPr>
          <w:rFonts w:ascii="Arial" w:hAnsi="Arial" w:cs="Arial"/>
          <w:lang w:val="es-CO"/>
        </w:rPr>
        <w:t>). Cualquier saldo, movimiento o registro oficial vive aquí. Si este sistema se cae o falla en una transacción, el banco completo deja de funcionar adecuadamente.</w:t>
      </w:r>
    </w:p>
    <w:p w14:paraId="7D02510A">
      <w:pPr>
        <w:pStyle w:val="2"/>
        <w:bidi w:val="0"/>
        <w:rPr>
          <w:rFonts w:hint="default"/>
          <w:sz w:val="24"/>
          <w:szCs w:val="24"/>
          <w:lang w:val="es-CO"/>
        </w:rPr>
      </w:pPr>
      <w:bookmarkStart w:id="1" w:name="_Toc2738"/>
      <w:r>
        <w:rPr>
          <w:rFonts w:hint="default"/>
          <w:sz w:val="24"/>
          <w:szCs w:val="24"/>
          <w:lang w:val="es-CO"/>
        </w:rPr>
        <w:t>2. Gestión de cuentas, transacciones, préstamos e inversiones</w:t>
      </w:r>
      <w:bookmarkEnd w:id="1"/>
    </w:p>
    <w:p w14:paraId="7D02510B">
      <w:pPr>
        <w:pStyle w:val="9"/>
        <w:ind w:left="72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La lógica central del negocio financiero.</w:t>
      </w:r>
    </w:p>
    <w:p w14:paraId="7D02510C">
      <w:pPr>
        <w:pStyle w:val="9"/>
        <w:ind w:left="144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Cuentas y Transacciones:</w:t>
      </w:r>
      <w:r>
        <w:rPr>
          <w:rFonts w:ascii="Arial" w:hAnsi="Arial" w:cs="Arial"/>
          <w:lang w:val="es-CO"/>
        </w:rPr>
        <w:t xml:space="preserve"> Manejo de saldos, débitos, créditos, transferencias entre cuentas propias y de terceros.</w:t>
      </w:r>
    </w:p>
    <w:p w14:paraId="7D02510D">
      <w:pPr>
        <w:pStyle w:val="9"/>
        <w:ind w:left="144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Préstamos:</w:t>
      </w:r>
      <w:r>
        <w:rPr>
          <w:rFonts w:ascii="Arial" w:hAnsi="Arial" w:cs="Arial"/>
          <w:lang w:val="es-CO"/>
        </w:rPr>
        <w:t xml:space="preserve"> Cálculo de amortizaciones, tasas de interés (fijas/variables), cronogramas de pago y gestión de mora</w:t>
      </w:r>
    </w:p>
    <w:p w14:paraId="7D02510E">
      <w:pPr>
        <w:pStyle w:val="9"/>
        <w:ind w:left="144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Inversiones:</w:t>
      </w:r>
      <w:r>
        <w:rPr>
          <w:rFonts w:ascii="Arial" w:hAnsi="Arial" w:cs="Arial"/>
          <w:lang w:val="es-CO"/>
        </w:rPr>
        <w:t xml:space="preserve"> Plazos fijos, compra de activos o fondos mutuos con rendimiento a lo largo del tiempo.</w:t>
      </w:r>
    </w:p>
    <w:p w14:paraId="7D025112">
      <w:pPr>
        <w:pStyle w:val="2"/>
        <w:bidi w:val="0"/>
        <w:rPr>
          <w:rFonts w:hint="default"/>
          <w:sz w:val="24"/>
          <w:szCs w:val="24"/>
          <w:lang w:val="es-CO"/>
        </w:rPr>
      </w:pPr>
      <w:bookmarkStart w:id="2" w:name="_Toc19350"/>
      <w:r>
        <w:rPr>
          <w:rFonts w:hint="default"/>
          <w:sz w:val="24"/>
          <w:szCs w:val="24"/>
          <w:lang w:val="es-CO"/>
        </w:rPr>
        <w:t>3. Múltiples canales (Omnicanalidad)</w:t>
      </w:r>
      <w:bookmarkEnd w:id="2"/>
    </w:p>
    <w:p w14:paraId="7D025113">
      <w:pPr>
        <w:pStyle w:val="9"/>
        <w:ind w:left="72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Permitir que los clientes y el personal interno interactúen con el banco desde diferentes medios: aplicación móvil, portal web, cajeros automáticos (ATM), terminales en sucursales físicas, o integraciones con terceros (Open Banking / APIs).</w:t>
      </w:r>
    </w:p>
    <w:p w14:paraId="7D025118">
      <w:pPr>
        <w:pStyle w:val="2"/>
        <w:bidi w:val="0"/>
        <w:rPr>
          <w:sz w:val="24"/>
          <w:szCs w:val="24"/>
          <w:lang w:val="es-CO"/>
        </w:rPr>
      </w:pPr>
      <w:bookmarkStart w:id="3" w:name="_Toc20524"/>
      <w:r>
        <w:rPr>
          <w:sz w:val="24"/>
          <w:szCs w:val="24"/>
          <w:lang w:val="es-CO"/>
        </w:rPr>
        <w:t>4. Detección de fraude en tiempo real</w:t>
      </w:r>
      <w:bookmarkEnd w:id="3"/>
    </w:p>
    <w:p w14:paraId="7D025119">
      <w:pPr>
        <w:pStyle w:val="9"/>
        <w:ind w:left="72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El análisis automático de transacciones al instante para bloquear o alertar sobre operaciones sospechosas antes de que el dinero salga de la cuenta. Por ejemplo: una compra en internet en un país lejano un minuto después de haber usado la tarjeta físicamente en una tienda local.</w:t>
      </w:r>
    </w:p>
    <w:p w14:paraId="7D02511F">
      <w:pPr>
        <w:pStyle w:val="2"/>
        <w:bidi w:val="0"/>
        <w:rPr>
          <w:rFonts w:hint="default"/>
          <w:sz w:val="24"/>
          <w:szCs w:val="24"/>
          <w:lang w:val="es-CO"/>
        </w:rPr>
      </w:pPr>
      <w:bookmarkStart w:id="4" w:name="_Toc15128"/>
      <w:r>
        <w:rPr>
          <w:rFonts w:hint="default"/>
          <w:sz w:val="24"/>
          <w:szCs w:val="24"/>
          <w:lang w:val="es-CO"/>
        </w:rPr>
        <w:t>5. Cumplimiento regulatorio (KYC, AML)</w:t>
      </w:r>
      <w:bookmarkEnd w:id="4"/>
    </w:p>
    <w:p w14:paraId="7D025120">
      <w:pPr>
        <w:pStyle w:val="9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Son marcos normativos legales exigidos por los entes reguladores financieros de cada país para prevenir delitos.</w:t>
      </w:r>
    </w:p>
    <w:p w14:paraId="7D025121">
      <w:pPr>
        <w:pStyle w:val="9"/>
        <w:ind w:left="72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KYC (</w:t>
      </w:r>
      <w:r>
        <w:rPr>
          <w:rFonts w:ascii="Arial" w:hAnsi="Arial" w:cs="Arial"/>
          <w:b/>
          <w:bCs/>
          <w:i/>
          <w:iCs/>
          <w:lang w:val="es-CO"/>
        </w:rPr>
        <w:t>Know Your Customer</w:t>
      </w:r>
      <w:r>
        <w:rPr>
          <w:rFonts w:ascii="Arial" w:hAnsi="Arial" w:cs="Arial"/>
          <w:b/>
          <w:bCs/>
          <w:lang w:val="es-CO"/>
        </w:rPr>
        <w:t>):</w:t>
      </w:r>
    </w:p>
    <w:p w14:paraId="7D025122">
      <w:pPr>
        <w:pStyle w:val="9"/>
        <w:ind w:left="144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Proceso para verificar la identidad real de una persona antes o durante el momento en que abre una cuenta bancaria.</w:t>
      </w:r>
    </w:p>
    <w:p w14:paraId="7D025123">
      <w:pPr>
        <w:pStyle w:val="9"/>
        <w:ind w:left="144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Enfoque en desarrollo:</w:t>
      </w:r>
      <w:r>
        <w:rPr>
          <w:rFonts w:ascii="Arial" w:hAnsi="Arial" w:cs="Arial"/>
          <w:lang w:val="es-CO"/>
        </w:rPr>
        <w:t xml:space="preserve"> Integración de APIs de reconocimiento facial (biometría), escaneo y lectura OCR de documentos de identidad oficiales (pasaportes, cédulas) y validación contra bases de datos gubernamentales.</w:t>
      </w:r>
    </w:p>
    <w:p w14:paraId="7D025124">
      <w:pPr>
        <w:pStyle w:val="9"/>
        <w:ind w:left="72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AML (</w:t>
      </w:r>
      <w:r>
        <w:rPr>
          <w:rFonts w:ascii="Arial" w:hAnsi="Arial" w:cs="Arial"/>
          <w:b/>
          <w:bCs/>
          <w:i/>
          <w:iCs/>
          <w:lang w:val="es-CO"/>
        </w:rPr>
        <w:t>Anti-Money Laundering</w:t>
      </w:r>
      <w:r>
        <w:rPr>
          <w:rFonts w:ascii="Arial" w:hAnsi="Arial" w:cs="Arial"/>
          <w:b/>
          <w:bCs/>
          <w:lang w:val="es-CO"/>
        </w:rPr>
        <w:t xml:space="preserve"> ):</w:t>
      </w:r>
    </w:p>
    <w:p w14:paraId="7D025125">
      <w:pPr>
        <w:pStyle w:val="9"/>
        <w:ind w:left="144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Conjunto de procedimientos para evitar que dinero de procedencia ilícita ingrese al sistema financiero legal.</w:t>
      </w:r>
    </w:p>
    <w:p w14:paraId="7D025126">
      <w:pPr>
        <w:pStyle w:val="9"/>
        <w:ind w:left="144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Enfoque en desarrollo:</w:t>
      </w:r>
    </w:p>
    <w:p w14:paraId="7D025127">
      <w:pPr>
        <w:pStyle w:val="9"/>
        <w:ind w:left="216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Algoritmos de monitoreo continuo que identifican fraccionamiento de depósitos (intentos de evadir límites de declaración), depósitos masivos inusuales o transferencias hacia/desde países de alto riesgo.</w:t>
      </w:r>
    </w:p>
    <w:p w14:paraId="7D025128">
      <w:pPr>
        <w:pStyle w:val="9"/>
        <w:ind w:left="216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Cotejo de clientes nuevos y existentes contra Listas Restringidas internacionales (listas de personas sancionadas, terroristas o PEP - </w:t>
      </w:r>
      <w:r>
        <w:rPr>
          <w:rFonts w:ascii="Arial" w:hAnsi="Arial" w:cs="Arial"/>
          <w:i/>
          <w:iCs/>
          <w:lang w:val="es-CO"/>
        </w:rPr>
        <w:t>Personas Expuestas Políticamente</w:t>
      </w:r>
      <w:r>
        <w:rPr>
          <w:rFonts w:ascii="Arial" w:hAnsi="Arial" w:cs="Arial"/>
          <w:lang w:val="es-CO"/>
        </w:rPr>
        <w:t>).</w:t>
      </w:r>
    </w:p>
    <w:p w14:paraId="1A0FB871">
      <w:pPr>
        <w:pStyle w:val="2"/>
        <w:bidi w:val="0"/>
        <w:rPr>
          <w:sz w:val="24"/>
          <w:szCs w:val="24"/>
          <w:lang w:val="es-CO"/>
        </w:rPr>
      </w:pPr>
      <w:bookmarkStart w:id="5" w:name="_Toc25850"/>
      <w:r>
        <w:rPr>
          <w:sz w:val="24"/>
          <w:szCs w:val="24"/>
          <w:lang w:val="es-CO"/>
        </w:rPr>
        <w:t>Objetivo general</w:t>
      </w:r>
      <w:bookmarkEnd w:id="5"/>
    </w:p>
    <w:p w14:paraId="4E2538AD">
      <w:pPr>
        <w:pStyle w:val="9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Desarrollar un Sistema Bancario CORE que permita gestionar de forma segura y consistente las operaciones financieras de cuentas, transacciones, préstamos e inversiones, integrando múltiples canales de acceso, mecanismos de detección de fraude en tiempo real y procesos de cumplimiento regulatorio KYC y AML.</w:t>
      </w:r>
    </w:p>
    <w:p w14:paraId="4052DB85">
      <w:pPr>
        <w:pStyle w:val="2"/>
        <w:bidi w:val="0"/>
        <w:rPr>
          <w:sz w:val="24"/>
          <w:szCs w:val="24"/>
          <w:lang w:val="es-CO"/>
        </w:rPr>
      </w:pPr>
      <w:bookmarkStart w:id="6" w:name="_Toc26958"/>
      <w:r>
        <w:rPr>
          <w:sz w:val="24"/>
          <w:szCs w:val="24"/>
          <w:lang w:val="es-CO"/>
        </w:rPr>
        <w:t>Objetivos específicos</w:t>
      </w:r>
      <w:bookmarkEnd w:id="6"/>
    </w:p>
    <w:p w14:paraId="29CB8CE5">
      <w:pPr>
        <w:pStyle w:val="9"/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Implementar la gestión integral de cuentas, transacciones, préstamos e inversiones, garantizando la consistencia, integridad y trazabilidad de las operaciones financieras. </w:t>
      </w:r>
    </w:p>
    <w:p w14:paraId="4042A7AA">
      <w:pPr>
        <w:pStyle w:val="9"/>
        <w:numPr>
          <w:ilvl w:val="0"/>
          <w:numId w:val="1"/>
        </w:numPr>
        <w:ind w:left="420" w:leftChars="0" w:hanging="420" w:firstLineChars="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Integrar múltiples canales de acceso, como web, dispositivos móviles, cajeros automáticos y sucursales, mediante una plataforma centralizada que permita gestionar de forma segura las operaciones de los usuarios. </w:t>
      </w:r>
    </w:p>
    <w:p w14:paraId="5826EA11">
      <w:pPr>
        <w:pStyle w:val="9"/>
        <w:numPr>
          <w:ilvl w:val="0"/>
          <w:numId w:val="1"/>
        </w:numPr>
        <w:ind w:left="420" w:leftChars="0" w:hanging="420" w:firstLineChars="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Implementar mecanismos de detección de fraude en tiempo real, capaces de analizar las transacciones e identificar operaciones potencialmente sospechosas para generar alertas o acciones preventivas. </w:t>
      </w:r>
    </w:p>
    <w:p w14:paraId="72F3D6A6">
      <w:pPr>
        <w:pStyle w:val="9"/>
        <w:numPr>
          <w:ilvl w:val="0"/>
          <w:numId w:val="1"/>
        </w:numPr>
        <w:ind w:left="420" w:leftChars="0" w:hanging="420" w:firstLineChars="0"/>
        <w:jc w:val="both"/>
        <w:rPr>
          <w:rFonts w:ascii="Arial" w:hAnsi="Arial" w:cs="Arial"/>
        </w:rPr>
      </w:pPr>
      <w:r>
        <w:rPr>
          <w:rFonts w:ascii="Arial" w:hAnsi="Arial" w:cs="Arial"/>
          <w:lang w:val="es-CO"/>
        </w:rPr>
        <w:t>Incorporar procesos de cumplimiento regulatorio KYC y AML, orientados a la validación de la identidad de los clientes y al monitoreo de operaciones que puedan representar riesgos financieros o actividades ilícitas.</w:t>
      </w:r>
    </w:p>
    <w:p w14:paraId="17D439A0">
      <w:pPr>
        <w:pStyle w:val="2"/>
        <w:bidi w:val="0"/>
        <w:jc w:val="center"/>
        <w:rPr>
          <w:rFonts w:hint="default"/>
          <w:sz w:val="24"/>
          <w:szCs w:val="24"/>
        </w:rPr>
      </w:pPr>
      <w:r>
        <w:rPr>
          <w:sz w:val="24"/>
          <w:szCs w:val="24"/>
          <w:lang w:val="es-CO"/>
        </w:rPr>
        <w:br w:type="page"/>
      </w:r>
      <w:bookmarkStart w:id="7" w:name="_Toc20632"/>
      <w:r>
        <w:rPr>
          <w:rFonts w:hint="default"/>
          <w:sz w:val="24"/>
          <w:szCs w:val="24"/>
          <w:lang w:val="es-CO"/>
        </w:rPr>
        <w:t>P</w:t>
      </w:r>
      <w:r>
        <w:rPr>
          <w:rFonts w:hint="default"/>
          <w:sz w:val="24"/>
          <w:szCs w:val="24"/>
        </w:rPr>
        <w:t>atrón Singleton</w:t>
      </w:r>
      <w:bookmarkEnd w:id="7"/>
    </w:p>
    <w:p w14:paraId="394A3B74">
      <w:pPr>
        <w:rPr>
          <w:rFonts w:hint="default" w:ascii="Arial" w:hAnsi="Arial" w:cs="Arial"/>
          <w:sz w:val="22"/>
          <w:szCs w:val="22"/>
        </w:rPr>
      </w:pPr>
    </w:p>
    <w:p w14:paraId="0DE80616">
      <w:pPr>
        <w:numPr>
          <w:ilvl w:val="0"/>
          <w:numId w:val="2"/>
        </w:numPr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  <w:lang w:val="es-CO"/>
        </w:rPr>
        <w:t xml:space="preserve">Resumen </w:t>
      </w:r>
      <w:r>
        <w:rPr>
          <w:rFonts w:hint="default" w:ascii="Arial" w:hAnsi="Arial" w:cs="Arial"/>
          <w:b/>
          <w:bCs/>
          <w:sz w:val="22"/>
          <w:szCs w:val="22"/>
        </w:rPr>
        <w:t>ejecutivo</w:t>
      </w:r>
    </w:p>
    <w:p w14:paraId="0DC6E16C">
      <w:pPr>
        <w:numPr>
          <w:ilvl w:val="0"/>
          <w:numId w:val="0"/>
        </w:numPr>
        <w:rPr>
          <w:rFonts w:hint="default" w:ascii="Arial" w:hAnsi="Arial" w:cs="Arial"/>
          <w:b/>
          <w:bCs/>
          <w:sz w:val="22"/>
          <w:szCs w:val="22"/>
        </w:rPr>
      </w:pPr>
    </w:p>
    <w:p w14:paraId="07859DC2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s-CO"/>
        </w:rPr>
        <w:t>El</w:t>
      </w:r>
      <w:r>
        <w:rPr>
          <w:rFonts w:hint="default" w:ascii="Arial" w:hAnsi="Arial" w:cs="Arial"/>
          <w:sz w:val="22"/>
          <w:szCs w:val="22"/>
        </w:rPr>
        <w:t xml:space="preserve"> patrón Singleton aplicado al catálogo de tipos de cuenta del Sistema Bancario CORE. Los identificadores propios del código, las vistas y las pruebas usan ahora vocabulario español canónico; los contratos de Laravel, autenticación, permisos, rutas y datos estables (savings, checking, COP, USD, allowed, not_allowed) permanecen intactos.</w:t>
      </w:r>
    </w:p>
    <w:p w14:paraId="58C63BC5">
      <w:pPr>
        <w:rPr>
          <w:rFonts w:hint="default" w:ascii="Arial" w:hAnsi="Arial" w:cs="Arial"/>
          <w:sz w:val="22"/>
          <w:szCs w:val="22"/>
        </w:rPr>
      </w:pPr>
    </w:p>
    <w:p w14:paraId="51C94F7A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El ciclo de vida del Singleton lo gestiona el contenedor de Laravel mediante el enlace nativo $this-&gt;app-&gt;singleton(...) en AppServiceProvider::register(): no existe un constructor privado ni una variable global estática. Dos resoluciones del contrato a través del contenedor devuelven exactamente la misma instancia, verificado con assertSame en pruebas reales.</w:t>
      </w:r>
    </w:p>
    <w:p w14:paraId="195ECDF3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Estado final de verificación: 34 pruebas, 157 aserciones, 0 fallos, 0 errores (2026-08-30).</w:t>
      </w:r>
    </w:p>
    <w:p w14:paraId="02DEC0D5">
      <w:pPr>
        <w:rPr>
          <w:rFonts w:hint="default" w:ascii="Arial" w:hAnsi="Arial" w:cs="Arial"/>
          <w:sz w:val="22"/>
          <w:szCs w:val="22"/>
        </w:rPr>
      </w:pPr>
    </w:p>
    <w:p w14:paraId="1E1909FD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  <w:t>Diagrama UML (identificadores finales</w:t>
      </w:r>
      <w:r>
        <w:rPr>
          <w:rFonts w:hint="default" w:ascii="Arial" w:hAnsi="Arial" w:cs="Arial"/>
          <w:sz w:val="22"/>
          <w:szCs w:val="22"/>
        </w:rPr>
        <w:t>)</w:t>
      </w:r>
    </w:p>
    <w:p w14:paraId="26D01C37"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 w14:paraId="72B2A21B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El diagrama usa exactamente los nombres finales del código: CatalogoTiposCuenta (interfaz), CatalogoTiposCuentaEstatico (implementación) y DefinicionTipoCuenta (objeto de valor inmutable), con el enlace singleton de AppServiceProvider.php:18.</w:t>
      </w:r>
    </w:p>
    <w:p w14:paraId="64EFE3B6">
      <w:pPr>
        <w:jc w:val="center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0" distR="0">
            <wp:extent cx="5791200" cy="3783965"/>
            <wp:effectExtent l="0" t="0" r="0" b="10795"/>
            <wp:docPr id="2" name="DiagramaUM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UML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7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58EE">
      <w:pPr>
        <w:numPr>
          <w:ilvl w:val="0"/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 w14:paraId="48010952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  <w:t>Código canónico actual (extractos con rutas y líneas)</w:t>
      </w:r>
    </w:p>
    <w:p w14:paraId="0B8EB45A">
      <w:pPr>
        <w:numPr>
          <w:ilvl w:val="0"/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 w14:paraId="642CBB3A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Los extractos reproducen exactamente el árbol verificado del 2026-08-30. Las referencias de línea corresponden a los archivos actuales.</w:t>
      </w:r>
    </w:p>
    <w:p w14:paraId="3DC0DDD2">
      <w:pPr>
        <w:rPr>
          <w:rFonts w:hint="default" w:ascii="Arial" w:hAnsi="Arial" w:cs="Arial"/>
          <w:sz w:val="22"/>
          <w:szCs w:val="22"/>
        </w:rPr>
      </w:pPr>
    </w:p>
    <w:p w14:paraId="5FE9B48A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app/Domain/Account/CatalogoTiposCuenta.php (líneas 1–13)</w:t>
      </w:r>
    </w:p>
    <w:p w14:paraId="06B1970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&lt;?php</w:t>
      </w:r>
    </w:p>
    <w:p w14:paraId="3B4697A5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281FA05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namespace App\Domain\Account;</w:t>
      </w:r>
    </w:p>
    <w:p w14:paraId="1F85314A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3AB91DF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interface CatalogoTiposCuenta</w:t>
      </w:r>
    </w:p>
    <w:p w14:paraId="47DC69D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{</w:t>
      </w:r>
    </w:p>
    <w:p w14:paraId="08293FD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19BFE18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@return list&lt;DefinicionTipoCuenta&gt;</w:t>
      </w:r>
    </w:p>
    <w:p w14:paraId="54BB786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4814CC2F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listar(): array;</w:t>
      </w:r>
    </w:p>
    <w:p w14:paraId="735E12B6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645D731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buscar(string $identificador): ?DefinicionTipoCuenta;</w:t>
      </w:r>
    </w:p>
    <w:p w14:paraId="7A5AA0E6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}</w:t>
      </w:r>
    </w:p>
    <w:p w14:paraId="1A6B52C1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app/Domain/Account/CatalogoTiposCuentaEstatico.php (líneas 5–42)</w:t>
      </w:r>
    </w:p>
    <w:p w14:paraId="51FA2424">
      <w:pPr>
        <w:rPr>
          <w:rFonts w:hint="default" w:ascii="Arial" w:hAnsi="Arial" w:cs="Arial"/>
          <w:sz w:val="22"/>
          <w:szCs w:val="22"/>
        </w:rPr>
      </w:pPr>
    </w:p>
    <w:p w14:paraId="326B789B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final class CatalogoTiposCuentaEstatico implements CatalogoTiposCuenta</w:t>
      </w:r>
      <w:r>
        <w:rPr>
          <w:rFonts w:hint="default" w:ascii="Arial" w:hAnsi="Arial" w:cs="Arial"/>
          <w:sz w:val="22"/>
          <w:szCs w:val="22"/>
          <w:lang w:val="es-CO"/>
        </w:rPr>
        <w:t xml:space="preserve"> </w:t>
      </w:r>
      <w:r>
        <w:rPr>
          <w:rFonts w:hint="default" w:ascii="Arial" w:hAnsi="Arial" w:cs="Arial"/>
          <w:sz w:val="22"/>
          <w:szCs w:val="22"/>
        </w:rPr>
        <w:t>{</w:t>
      </w:r>
    </w:p>
    <w:p w14:paraId="491A5BC0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/**</w:t>
      </w:r>
      <w:r>
        <w:rPr>
          <w:rFonts w:hint="default" w:ascii="Arial" w:hAnsi="Arial" w:cs="Arial"/>
          <w:sz w:val="22"/>
          <w:szCs w:val="22"/>
          <w:lang w:val="es-CO"/>
        </w:rPr>
        <w:t xml:space="preserve"> </w:t>
      </w:r>
      <w:r>
        <w:rPr>
          <w:rFonts w:hint="default" w:ascii="Arial" w:hAnsi="Arial" w:cs="Arial"/>
          <w:sz w:val="22"/>
          <w:szCs w:val="22"/>
        </w:rPr>
        <w:t>* @var array&lt;string, DefinicionTipoCuenta&gt;</w:t>
      </w:r>
      <w:r>
        <w:rPr>
          <w:rFonts w:hint="default" w:ascii="Arial" w:hAnsi="Arial" w:cs="Arial"/>
          <w:sz w:val="22"/>
          <w:szCs w:val="22"/>
          <w:lang w:val="es-CO"/>
        </w:rPr>
        <w:t xml:space="preserve"> </w:t>
      </w:r>
      <w:r>
        <w:rPr>
          <w:rFonts w:hint="default" w:ascii="Arial" w:hAnsi="Arial" w:cs="Arial"/>
          <w:sz w:val="22"/>
          <w:szCs w:val="22"/>
        </w:rPr>
        <w:t xml:space="preserve"> */    </w:t>
      </w:r>
    </w:p>
    <w:p w14:paraId="109B75F7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private array $definitions;</w:t>
      </w:r>
    </w:p>
    <w:p w14:paraId="6C0DABC8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public function __construct()   {</w:t>
      </w:r>
    </w:p>
    <w:p w14:paraId="03C1965E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$this-&gt;definitions = [</w:t>
      </w:r>
    </w:p>
    <w:p w14:paraId="23D4C07D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'savings' =&gt; new DefinicionTipoCuenta(</w:t>
      </w:r>
    </w:p>
    <w:p w14:paraId="77421EF6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identificador: 'savings',</w:t>
      </w:r>
    </w:p>
    <w:p w14:paraId="575BF081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nombreVisible: 'Savings Account',</w:t>
      </w:r>
    </w:p>
    <w:p w14:paraId="30E24E28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monedasElegibles: ['COP', 'USD'],</w:t>
      </w:r>
    </w:p>
    <w:p w14:paraId="39D0B6D6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politicaSobregiro: 'not_allowed',</w:t>
      </w:r>
    </w:p>
    <w:p w14:paraId="16205B37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),</w:t>
      </w:r>
    </w:p>
    <w:p w14:paraId="35FFDF00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'checking' =&gt; new DefinicionTipoCuenta(</w:t>
      </w:r>
    </w:p>
    <w:p w14:paraId="43435846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identificador: 'checking',</w:t>
      </w:r>
    </w:p>
    <w:p w14:paraId="6B828B44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nombreVisible: 'Checking Account',</w:t>
      </w:r>
    </w:p>
    <w:p w14:paraId="26E46296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monedasElegibles: ['COP', 'USD'],</w:t>
      </w:r>
    </w:p>
    <w:p w14:paraId="050779A8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politicaSobregiro: 'allowed',</w:t>
      </w:r>
    </w:p>
    <w:p w14:paraId="4E248645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),</w:t>
      </w:r>
    </w:p>
    <w:p w14:paraId="61FDD89B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];</w:t>
      </w:r>
    </w:p>
    <w:p w14:paraId="53A74A94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46581B5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67DE62E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@return list&lt;DefinicionTipoCuenta&gt;</w:t>
      </w:r>
    </w:p>
    <w:p w14:paraId="09AE775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7B33FD9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listar(): array</w:t>
      </w:r>
    </w:p>
    <w:p w14:paraId="58FD155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58663B66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return array_values($this-&gt;definitions);</w:t>
      </w:r>
    </w:p>
    <w:p w14:paraId="4104639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3434C0A0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06927E2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buscar(string $identificador): ?DefinicionTipoCuenta</w:t>
      </w:r>
    </w:p>
    <w:p w14:paraId="2EB4DF3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4E7C455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return $this-&gt;definitions[$identificador] ?? null;</w:t>
      </w:r>
    </w:p>
    <w:p w14:paraId="7DAD50F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56FA1330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}</w:t>
      </w:r>
    </w:p>
    <w:p w14:paraId="743026B7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app/Domain/Account/DefinicionTipoCuenta.php (líneas 5–16)</w:t>
      </w:r>
    </w:p>
    <w:p w14:paraId="7298A33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final readonly class DefinicionTipoCuenta</w:t>
      </w:r>
    </w:p>
    <w:p w14:paraId="27B8420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{</w:t>
      </w:r>
    </w:p>
    <w:p w14:paraId="0470721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2FF2A1E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@param  list&lt;string&gt;  $monedasElegibles</w:t>
      </w:r>
    </w:p>
    <w:p w14:paraId="24132FB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7801512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__construct(</w:t>
      </w:r>
    </w:p>
    <w:p w14:paraId="51734A4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public string $identificador,</w:t>
      </w:r>
    </w:p>
    <w:p w14:paraId="6AA9D21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public string $nombreVisible,</w:t>
      </w:r>
    </w:p>
    <w:p w14:paraId="6C69555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public array $monedasElegibles,</w:t>
      </w:r>
    </w:p>
    <w:p w14:paraId="7564528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public string $politicaSobregiro,</w:t>
      </w:r>
    </w:p>
    <w:p w14:paraId="06C7F7E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) {}</w:t>
      </w:r>
    </w:p>
    <w:p w14:paraId="3E4DEBD2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}</w:t>
      </w:r>
    </w:p>
    <w:p w14:paraId="72F5AF5C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app/Providers/AppServiceProvider.php (líneas 11–29; enlace en la línea 18)</w:t>
      </w:r>
    </w:p>
    <w:p w14:paraId="47368D19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class AppServiceProvider extends ServiceProvider</w:t>
      </w:r>
    </w:p>
    <w:p w14:paraId="67879A49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{</w:t>
      </w:r>
    </w:p>
    <w:p w14:paraId="3451F5A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6D83914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Register any application services.</w:t>
      </w:r>
    </w:p>
    <w:p w14:paraId="42F5B13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70E0DD7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register(): void</w:t>
      </w:r>
    </w:p>
    <w:p w14:paraId="0F557213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4F5826A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$this-&gt;app-&gt;singleton(CatalogoTiposCuenta::class, CatalogoTiposCuentaEstatico::class);</w:t>
      </w:r>
    </w:p>
    <w:p w14:paraId="491CEB3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512522DE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7DE7F43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7CA07E7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Bootstrap any application services.</w:t>
      </w:r>
    </w:p>
    <w:p w14:paraId="79A9278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58F56DC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boot(): void</w:t>
      </w:r>
    </w:p>
    <w:p w14:paraId="2576C86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10A1440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Gate::define('manage-users', fn (User $user): bool =&gt; $user-&gt;hasPermission('manage-users'));</w:t>
      </w:r>
    </w:p>
    <w:p w14:paraId="2C4566A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Gate::define('view-accounts', fn (User $user): bool =&gt; $user-&gt;hasPermission('view-accounts'));</w:t>
      </w:r>
    </w:p>
    <w:p w14:paraId="539C89E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6EF8ECD7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}</w:t>
      </w:r>
    </w:p>
    <w:p w14:paraId="4F2A7DDA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app/Http/Controllers/ControladorCuentas.php (líneas 12–43; resoluciones en 16–17)</w:t>
      </w:r>
    </w:p>
    <w:p w14:paraId="365719CF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public function index(CatalogoTiposCuenta $catalogo): View</w:t>
      </w:r>
    </w:p>
    <w:p w14:paraId="7005646F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7C8171EE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/** @var User $usuario */</w:t>
      </w:r>
    </w:p>
    <w:p w14:paraId="4415BD91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$usuario = auth()-&gt;user();</w:t>
      </w:r>
    </w:p>
    <w:p w14:paraId="753C842E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$primeraResolucion = app(CatalogoTiposCuenta::class);</w:t>
      </w:r>
    </w:p>
    <w:p w14:paraId="0698D875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$segundaResolucion = app(CatalogoTiposCuenta::class);</w:t>
      </w:r>
    </w:p>
    <w:p w14:paraId="0B81672F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/** @var list&lt;array{identificador: string, etiqueta: string, monedasElegibles: list&lt;string&gt;, politicaSobregiro: string}&gt; $tiposCuenta */</w:t>
      </w:r>
    </w:p>
    <w:p w14:paraId="620FB758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$tiposCuenta = array_map(</w:t>
      </w:r>
    </w:p>
    <w:p w14:paraId="6CE1E143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fn (DefinicionTipoCuenta $definicion): array =&gt; [</w:t>
      </w:r>
    </w:p>
    <w:p w14:paraId="08F5B262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'identificador' =&gt; $definicion-&gt;identificador,</w:t>
      </w:r>
    </w:p>
    <w:p w14:paraId="15A631DA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'etiqueta' =&gt; match ($definicion-&gt;identificador) {</w:t>
      </w:r>
    </w:p>
    <w:p w14:paraId="5FF45CA6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'savings' =&gt; 'Cuenta de ahorros',</w:t>
      </w:r>
    </w:p>
    <w:p w14:paraId="08DF7701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'checking' =&gt; 'Cuenta corriente',</w:t>
      </w:r>
    </w:p>
    <w:p w14:paraId="0DD29CCF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default =&gt; $definicion-&gt;nombreVisible,</w:t>
      </w:r>
    </w:p>
    <w:p w14:paraId="140BBC63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},</w:t>
      </w:r>
    </w:p>
    <w:p w14:paraId="767A78E3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'monedasElegibles' =&gt; $definicion-&gt;monedasElegibles,</w:t>
      </w:r>
    </w:p>
    <w:p w14:paraId="612C2AD6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'politicaSobregiro' =&gt; match ($definicion-&gt;politicaSobregiro) {</w:t>
      </w:r>
    </w:p>
    <w:p w14:paraId="24CA4C7E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'not_allowed' =&gt; 'Sobregiro no permitido',</w:t>
      </w:r>
    </w:p>
    <w:p w14:paraId="70F335A8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'allowed' =&gt; 'Sobregiro permitido',</w:t>
      </w:r>
    </w:p>
    <w:p w14:paraId="1940014B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default =&gt; $definicion-&gt;politicaSobregiro,</w:t>
      </w:r>
    </w:p>
    <w:p w14:paraId="1F4D47A9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},</w:t>
      </w:r>
    </w:p>
    <w:p w14:paraId="7A8CBDDA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],</w:t>
      </w:r>
    </w:p>
    <w:p w14:paraId="1A4DF68C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$catalogo-&gt;listar(),</w:t>
      </w:r>
    </w:p>
    <w:p w14:paraId="2284132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);</w:t>
      </w:r>
    </w:p>
    <w:p w14:paraId="584C9FFE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1CD23D36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/** @var array{contrato: string, implementacion: string, mismaInstancia: bool} $evidenciaSingleton */</w:t>
      </w:r>
    </w:p>
    <w:p w14:paraId="1732377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$evidenciaSingleton = [</w:t>
      </w:r>
    </w:p>
    <w:p w14:paraId="62B74E2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'contrato' =&gt; CatalogoTiposCuenta::class,</w:t>
      </w:r>
    </w:p>
    <w:p w14:paraId="50B1235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'implementacion' =&gt; $primeraResolucion::class,</w:t>
      </w:r>
    </w:p>
    <w:p w14:paraId="6D47028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'mismaInstancia' =&gt; $primeraResolucion === $segundaResolucion,</w:t>
      </w:r>
    </w:p>
    <w:p w14:paraId="227DA400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];</w:t>
      </w:r>
    </w:p>
    <w:p w14:paraId="448A1774">
      <w:pPr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4</w:t>
      </w:r>
      <w:r>
        <w:rPr>
          <w:rFonts w:hint="default" w:ascii="Arial" w:hAnsi="Arial" w:cs="Arial"/>
          <w:sz w:val="22"/>
          <w:szCs w:val="22"/>
        </w:rPr>
        <w:t>. Dos resoluciones reales del contenedor con assertSame</w:t>
      </w:r>
      <w:r>
        <w:rPr>
          <w:rFonts w:hint="default" w:ascii="Arial" w:hAnsi="Arial" w:cs="Arial"/>
          <w:sz w:val="22"/>
          <w:szCs w:val="22"/>
          <w:lang w:val="es-CO"/>
        </w:rPr>
        <w:t xml:space="preserve"> (Verifica que dos valores sean identicos)</w:t>
      </w:r>
    </w:p>
    <w:p w14:paraId="1C9818B4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s-CO"/>
        </w:rPr>
        <w:t>4</w:t>
      </w:r>
      <w:r>
        <w:rPr>
          <w:rFonts w:hint="default" w:ascii="Arial" w:hAnsi="Arial" w:cs="Arial"/>
          <w:sz w:val="22"/>
          <w:szCs w:val="22"/>
        </w:rPr>
        <w:t>.1 tests/Feature/CatalogoTiposCuentaContenedorTest.php (líneas 12–23)</w:t>
      </w:r>
    </w:p>
    <w:p w14:paraId="6267BD49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test_the_catalog_contract_resolves_as_a_singleton(): void</w:t>
      </w:r>
    </w:p>
    <w:p w14:paraId="5FE0F9A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6A22AA6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$primeraResolucion = $this-&gt;app-&gt;make(CatalogoTiposCuenta::class);</w:t>
      </w:r>
    </w:p>
    <w:p w14:paraId="3DDF70DF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$segundaResolucion = $this-&gt;app-&gt;make(CatalogoTiposCuenta::class);</w:t>
      </w:r>
    </w:p>
    <w:p w14:paraId="4D102A7B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3B70165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$this-&gt;assertSame($primeraResolucion, $segundaResolucion);</w:t>
      </w:r>
    </w:p>
    <w:p w14:paraId="6106F2C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$this-&gt;assertSame(</w:t>
      </w:r>
    </w:p>
    <w:p w14:paraId="6C28484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['savings', 'checking'],</w:t>
      </w:r>
    </w:p>
    <w:p w14:paraId="6410B73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array_map(fn ($definicion): string =&gt; $definicion-&gt;identificador, $primeraResolucion-&gt;listar()),</w:t>
      </w:r>
    </w:p>
    <w:p w14:paraId="08ED82A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);</w:t>
      </w:r>
    </w:p>
    <w:p w14:paraId="4212D756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$this-&gt;assertSame($primeraResolucion-&gt;buscar('checking'), $segundaResolucion-&gt;buscar('checking'));</w:t>
      </w:r>
    </w:p>
    <w:p w14:paraId="4417FD07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29843E26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Resultado real: la prueba PASÓ dentro de la suite (34/157); el XML JUnit de la ejecución registra failures=0 y errors=0.</w:t>
      </w:r>
    </w:p>
    <w:p w14:paraId="0031D574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s-CO"/>
        </w:rPr>
        <w:t>4</w:t>
      </w:r>
      <w:r>
        <w:rPr>
          <w:rFonts w:hint="default" w:ascii="Arial" w:hAnsi="Arial" w:cs="Arial"/>
          <w:sz w:val="22"/>
          <w:szCs w:val="22"/>
        </w:rPr>
        <w:t>.2 tests/Feature/VistaCuentasTest.php (líneas 72–85) — evidencia renderizada</w:t>
      </w:r>
    </w:p>
    <w:p w14:paraId="738B5C5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test_la_evidencia_del_singleton_muestra_la_identidad_real_del_contenedor(): void</w:t>
      </w:r>
    </w:p>
    <w:p w14:paraId="21BBF9E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44D8021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$usuario = $this-&gt;usuarioConPermiso('view-accounts');</w:t>
      </w:r>
    </w:p>
    <w:p w14:paraId="05F795DF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$primeraEsperada = $this-&gt;app-&gt;make(CatalogoTiposCuenta::class);</w:t>
      </w:r>
    </w:p>
    <w:p w14:paraId="63EDCBD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$segundaEsperada = $this-&gt;app-&gt;make(CatalogoTiposCuenta::class);</w:t>
      </w:r>
    </w:p>
    <w:p w14:paraId="07D758CF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71E93BB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$response = $this-&gt;actingAs($usuario)-&gt;get(route('accounts.index'));</w:t>
      </w:r>
    </w:p>
    <w:p w14:paraId="58BDBA07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4B54A98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$response-&gt;assertSee(CatalogoTiposCuenta::class)</w:t>
      </w:r>
    </w:p>
    <w:p w14:paraId="705B015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-&gt;assertSee(CatalogoTiposCuentaEstatico::class)</w:t>
      </w:r>
    </w:p>
    <w:p w14:paraId="4F27193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-&gt;assertSee($primeraEsperada === $segundaEsperada ? 'Sí, es la misma instancia.' : 'No, son instancias diferentes.')</w:t>
      </w:r>
    </w:p>
    <w:p w14:paraId="357BBCC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-&gt;assertSee('metadatos de referencia inmutables')</w:t>
      </w:r>
    </w:p>
    <w:p w14:paraId="01F8D8B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-&gt;assertSee('no contiene cuentas, saldos ni estado de la solicitud');</w:t>
      </w:r>
    </w:p>
    <w:p w14:paraId="6321A593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0146AC54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Resultado real: la vista renderiza «Sí, es la misma instancia.» porque ambas resoluciones del contenedor son idénticas (===), y la prueba lo aserta contra el estado real del contenedor.</w:t>
      </w:r>
    </w:p>
    <w:p w14:paraId="44561D65">
      <w:pPr>
        <w:rPr>
          <w:rFonts w:hint="default" w:ascii="Arial" w:hAnsi="Arial" w:cs="Arial"/>
          <w:sz w:val="22"/>
          <w:szCs w:val="22"/>
        </w:rPr>
      </w:pPr>
    </w:p>
    <w:p w14:paraId="12BEF690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" w:hAnsi="Arial" w:cs="Arial"/>
          <w:b/>
          <w:bCs/>
          <w:sz w:val="22"/>
          <w:szCs w:val="22"/>
          <w:lang w:val="es-CO"/>
        </w:rPr>
      </w:pPr>
      <w:r>
        <w:rPr>
          <w:rFonts w:hint="default" w:ascii="Arial" w:hAnsi="Arial" w:cs="Arial"/>
          <w:b/>
          <w:bCs/>
          <w:sz w:val="22"/>
          <w:szCs w:val="22"/>
          <w:lang w:val="es-CO"/>
        </w:rPr>
        <w:t>Evidencia en el sistema</w:t>
      </w:r>
    </w:p>
    <w:p w14:paraId="6B8F143C">
      <w:pPr>
        <w:numPr>
          <w:ilvl w:val="0"/>
          <w:numId w:val="0"/>
        </w:numPr>
        <w:jc w:val="left"/>
        <w:rPr>
          <w:rFonts w:hint="default" w:ascii="Arial" w:hAnsi="Arial" w:cs="Arial"/>
          <w:sz w:val="22"/>
          <w:szCs w:val="22"/>
          <w:lang w:val="es-CO"/>
        </w:rPr>
      </w:pPr>
    </w:p>
    <w:p w14:paraId="17B83F17">
      <w:pPr>
        <w:numPr>
          <w:ilvl w:val="0"/>
          <w:numId w:val="0"/>
        </w:numPr>
        <w:jc w:val="left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Se establecieron dos tipos de cuentas en el catalogo, en el cual se instanciaron desde el controlador y se evidencia en el imagen que al compararlas coinciden en la misma instancia.</w:t>
      </w:r>
    </w:p>
    <w:p w14:paraId="7436548B">
      <w:pPr>
        <w:numPr>
          <w:ilvl w:val="0"/>
          <w:numId w:val="0"/>
        </w:numPr>
        <w:jc w:val="both"/>
        <w:rPr>
          <w:rFonts w:hint="default" w:ascii="Arial" w:hAnsi="Arial" w:cs="Arial"/>
          <w:sz w:val="22"/>
          <w:szCs w:val="22"/>
          <w:lang w:val="es-CO"/>
        </w:rPr>
      </w:pPr>
    </w:p>
    <w:p w14:paraId="51C58F8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117590" cy="3138805"/>
            <wp:effectExtent l="0" t="0" r="8890" b="635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br w:type="page"/>
      </w:r>
    </w:p>
    <w:p w14:paraId="40AAF271">
      <w:pPr>
        <w:pStyle w:val="2"/>
        <w:bidi w:val="0"/>
        <w:jc w:val="center"/>
        <w:rPr>
          <w:rFonts w:hint="default"/>
          <w:sz w:val="24"/>
          <w:szCs w:val="24"/>
        </w:rPr>
      </w:pPr>
      <w:bookmarkStart w:id="8" w:name="_Toc3928"/>
      <w:r>
        <w:rPr>
          <w:rFonts w:hint="default"/>
          <w:sz w:val="24"/>
          <w:szCs w:val="24"/>
        </w:rPr>
        <w:t>Patrón Factory Method</w:t>
      </w:r>
      <w:bookmarkEnd w:id="8"/>
    </w:p>
    <w:p w14:paraId="1D50E01A">
      <w:pPr>
        <w:jc w:val="center"/>
        <w:rPr>
          <w:rFonts w:hint="default" w:ascii="Arial" w:hAnsi="Arial" w:cs="Arial"/>
          <w:b/>
          <w:bCs/>
          <w:sz w:val="24"/>
          <w:szCs w:val="24"/>
        </w:rPr>
      </w:pPr>
    </w:p>
    <w:p w14:paraId="1127471A">
      <w:pPr>
        <w:bidi w:val="0"/>
        <w:rPr>
          <w:rFonts w:hint="default" w:ascii="Arial" w:hAnsi="Arial" w:cs="Arial"/>
          <w:b/>
          <w:bCs/>
          <w:sz w:val="22"/>
          <w:szCs w:val="24"/>
        </w:rPr>
      </w:pPr>
      <w:r>
        <w:rPr>
          <w:rFonts w:hint="default" w:ascii="Arial" w:hAnsi="Arial" w:cs="Arial"/>
          <w:b/>
          <w:bCs/>
          <w:sz w:val="22"/>
          <w:szCs w:val="24"/>
        </w:rPr>
        <w:t>Resumen ejecutivo</w:t>
      </w:r>
    </w:p>
    <w:p w14:paraId="7D5D7651">
      <w:pPr>
        <w:bidi w:val="0"/>
        <w:rPr>
          <w:rFonts w:hint="default" w:ascii="Arial" w:hAnsi="Arial" w:cs="Arial"/>
          <w:b/>
          <w:bCs/>
          <w:sz w:val="22"/>
          <w:szCs w:val="24"/>
        </w:rPr>
      </w:pPr>
    </w:p>
    <w:p w14:paraId="5D39C065">
      <w:pPr>
        <w:spacing w:after="100" w:line="259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En el dominio de cuentas, FabricaDeCuentas define la operación crear(string $tipo): ?CuentaProducto. FabricaDeCuentasPorCatalogo implementa esa operación consultando CatalogoTiposCuenta y eligiendo CuentaAhorro para not_allowed o CuentaCorriente para allowed. El cliente depende del contrato, no de las clases concretas.</w:t>
      </w:r>
    </w:p>
    <w:p w14:paraId="777CFF2E">
      <w:pPr>
        <w:spacing w:after="100" w:line="259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Abrir una cuenta requiere que el tipo funcional (savings o checking) se traduzca a un producto con comportamiento diferente, especialmente frente al sobregiro. Si el caso de uso construyera directamente cada clase, la selección quedaría acoplada a sus variantes y se repetiría en los consumidores.</w:t>
      </w:r>
    </w:p>
    <w:p w14:paraId="417BD0E0">
      <w:pPr>
        <w:spacing w:after="100" w:line="259" w:lineRule="auto"/>
        <w:jc w:val="both"/>
        <w:rPr>
          <w:rFonts w:hint="default" w:ascii="Arial" w:hAnsi="Arial" w:cs="Arial"/>
          <w:b/>
          <w:bCs/>
          <w:color w:val="auto"/>
          <w:sz w:val="22"/>
          <w:szCs w:val="24"/>
        </w:rPr>
      </w:pPr>
      <w:r>
        <w:rPr>
          <w:rFonts w:hint="default" w:ascii="Arial" w:hAnsi="Arial" w:cs="Arial"/>
          <w:b/>
          <w:bCs/>
          <w:color w:val="auto"/>
          <w:sz w:val="22"/>
          <w:szCs w:val="24"/>
        </w:rPr>
        <w:t>Diagrama UML</w:t>
      </w:r>
    </w:p>
    <w:p w14:paraId="6C392E04">
      <w:pPr>
        <w:spacing w:after="100" w:line="259" w:lineRule="auto"/>
        <w:jc w:val="both"/>
      </w:pPr>
      <w:r>
        <w:drawing>
          <wp:inline distT="0" distB="0" distL="114300" distR="114300">
            <wp:extent cx="6126480" cy="3573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508E">
      <w:pPr>
        <w:spacing w:after="100" w:line="259" w:lineRule="auto"/>
        <w:jc w:val="both"/>
        <w:rPr>
          <w:rFonts w:hint="default" w:ascii="Arial" w:hAnsi="Arial" w:cs="Arial"/>
          <w:sz w:val="22"/>
          <w:szCs w:val="24"/>
        </w:rPr>
      </w:pPr>
      <w:r>
        <w:rPr>
          <w:rFonts w:hint="default" w:ascii="Arial" w:hAnsi="Arial" w:cs="Arial"/>
          <w:sz w:val="22"/>
          <w:szCs w:val="24"/>
        </w:rPr>
        <w:t>Trazabilidad al código real</w:t>
      </w:r>
    </w:p>
    <w:p w14:paraId="443B5568">
      <w:pPr>
        <w:spacing w:after="100" w:line="259" w:lineRule="auto"/>
        <w:jc w:val="both"/>
        <w:rPr>
          <w:rFonts w:hint="default" w:ascii="Arial" w:hAnsi="Arial" w:cs="Arial"/>
          <w:sz w:val="22"/>
          <w:szCs w:val="24"/>
        </w:rPr>
      </w:pPr>
      <w:r>
        <w:rPr>
          <w:rFonts w:hint="default" w:ascii="Arial" w:hAnsi="Arial" w:cs="Arial"/>
          <w:sz w:val="22"/>
          <w:szCs w:val="24"/>
        </w:rPr>
        <w:t>AppServiceProvider enlaza FabricaDeCuentas con FabricaDeCuentasPorCatalogo. La implementación consulta el catálogo y retorna la variante concreta. FabricaPaquetePersonal y FabricaPaqueteEmpresarial reciben esa abstracción por constructor; por ello pueden reutilizar Factory Method sin conocer la clase concreta seleccionada.</w:t>
      </w:r>
    </w:p>
    <w:p w14:paraId="3F9B299E">
      <w:pPr>
        <w:shd w:val="clear" w:fill="F2F2F2"/>
        <w:spacing w:after="140"/>
        <w:ind w:left="360"/>
      </w:pPr>
      <w:r>
        <w:rPr>
          <w:rFonts w:ascii="Consolas" w:hAnsi="Consolas"/>
          <w:color w:val="243447"/>
          <w:sz w:val="17"/>
        </w:rPr>
        <w:t>public function crear(string $tipo): ?CuentaProducto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>{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$definicion = $this-&gt;catalogo-&gt;buscar($tipo);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if ($definicion === null) {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    return null;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}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return match ($definicion-&gt;politicaSobregiro) {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    'not_allowed' =&gt; new CuentaAhorro,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    'allowed' =&gt; new CuentaCorriente,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    default =&gt; null,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};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>}</w:t>
      </w:r>
    </w:p>
    <w:p w14:paraId="1CD12234">
      <w:pPr>
        <w:rPr>
          <w:rFonts w:hint="default" w:ascii="Arial" w:hAnsi="Arial" w:cs="Arial"/>
          <w:sz w:val="22"/>
          <w:szCs w:val="24"/>
        </w:rPr>
      </w:pPr>
      <w:r>
        <w:rPr>
          <w:rFonts w:hint="default" w:ascii="Arial" w:hAnsi="Arial" w:cs="Arial"/>
          <w:sz w:val="22"/>
          <w:szCs w:val="24"/>
        </w:rPr>
        <w:br w:type="page"/>
      </w:r>
    </w:p>
    <w:p w14:paraId="32721535">
      <w:pPr>
        <w:pStyle w:val="2"/>
        <w:bidi w:val="0"/>
        <w:jc w:val="center"/>
        <w:rPr>
          <w:rFonts w:hint="default"/>
          <w:sz w:val="24"/>
          <w:szCs w:val="24"/>
        </w:rPr>
      </w:pPr>
      <w:bookmarkStart w:id="9" w:name="_Toc16619"/>
      <w:r>
        <w:rPr>
          <w:rFonts w:hint="default"/>
          <w:sz w:val="24"/>
          <w:szCs w:val="24"/>
        </w:rPr>
        <w:t>Patrón Abstract Factory</w:t>
      </w:r>
      <w:bookmarkEnd w:id="9"/>
    </w:p>
    <w:p w14:paraId="369C33E6">
      <w:pPr>
        <w:jc w:val="left"/>
        <w:rPr>
          <w:rFonts w:hint="default" w:ascii="Arial" w:hAnsi="Arial" w:cs="Arial"/>
          <w:b/>
          <w:bCs/>
          <w:sz w:val="24"/>
          <w:szCs w:val="24"/>
        </w:rPr>
      </w:pPr>
    </w:p>
    <w:p w14:paraId="5674D820">
      <w:pPr>
        <w:jc w:val="left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Resumen ejecutivo</w:t>
      </w:r>
    </w:p>
    <w:p w14:paraId="184D39B7">
      <w:pPr>
        <w:jc w:val="left"/>
        <w:rPr>
          <w:rFonts w:hint="default" w:ascii="Arial" w:hAnsi="Arial" w:cs="Arial"/>
          <w:b w:val="0"/>
          <w:bCs w:val="0"/>
          <w:sz w:val="22"/>
          <w:szCs w:val="22"/>
        </w:rPr>
      </w:pPr>
    </w:p>
    <w:p w14:paraId="0EC00DDD">
      <w:pPr>
        <w:jc w:val="both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s-CO"/>
        </w:rPr>
        <w:t xml:space="preserve">Se implemento el patron en </w:t>
      </w:r>
      <w:r>
        <w:rPr>
          <w:rFonts w:hint="default" w:ascii="Arial" w:hAnsi="Arial" w:cs="Arial"/>
          <w:b w:val="0"/>
          <w:bCs w:val="0"/>
          <w:sz w:val="22"/>
          <w:szCs w:val="22"/>
        </w:rPr>
        <w:t>FabricaPaquetesCuentas</w:t>
      </w:r>
      <w:r>
        <w:rPr>
          <w:rFonts w:hint="default" w:ascii="Arial" w:hAnsi="Arial" w:cs="Arial"/>
          <w:b w:val="0"/>
          <w:bCs w:val="0"/>
          <w:sz w:val="22"/>
          <w:szCs w:val="22"/>
          <w:lang w:val="es-CO"/>
        </w:rPr>
        <w:t xml:space="preserve"> lo cual</w:t>
      </w: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 abstrae la creación de familias de productos relacionados. FabricaPaquetePersonal y FabricaPaqueteEmpresarial crean un PaqueteCuenta que reúne una CuentaProducto, PoliticaComision y PoliticaSobregiro de la misma familia. El paquete valida y conserva esa coherencia.</w:t>
      </w:r>
    </w:p>
    <w:p w14:paraId="6562AE0B">
      <w:pPr>
        <w:jc w:val="both"/>
        <w:rPr>
          <w:rFonts w:hint="default" w:ascii="Arial" w:hAnsi="Arial" w:cs="Arial"/>
          <w:b w:val="0"/>
          <w:bCs w:val="0"/>
          <w:sz w:val="22"/>
          <w:szCs w:val="22"/>
        </w:rPr>
      </w:pPr>
    </w:p>
    <w:p w14:paraId="349B67D1">
      <w:pPr>
        <w:jc w:val="both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>La apertura no solo necesita una cuenta individual: también necesita políticas compatibles con la familia personal o empresarial. Crear cada pieza por separado permitiría combinar, por error, una cuenta personal con políticas empresariales. Abstract Factory concentra la composición y evita esa mezcla.</w:t>
      </w:r>
    </w:p>
    <w:p w14:paraId="0FB507CE">
      <w:pPr>
        <w:jc w:val="both"/>
        <w:rPr>
          <w:rFonts w:hint="default" w:ascii="Arial" w:hAnsi="Arial" w:cs="Arial"/>
          <w:b w:val="0"/>
          <w:bCs w:val="0"/>
          <w:sz w:val="22"/>
          <w:szCs w:val="22"/>
        </w:rPr>
      </w:pPr>
    </w:p>
    <w:p w14:paraId="004222F6">
      <w:pPr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  <w:t>Diagrama UML</w:t>
      </w:r>
    </w:p>
    <w:p w14:paraId="2D7616DB">
      <w:pPr>
        <w:jc w:val="both"/>
        <w:rPr>
          <w:rFonts w:hint="default" w:ascii="Arial" w:hAnsi="Arial" w:cs="Arial"/>
          <w:b/>
          <w:bCs/>
          <w:sz w:val="22"/>
          <w:szCs w:val="22"/>
        </w:rPr>
      </w:pPr>
    </w:p>
    <w:p w14:paraId="67ACC943">
      <w:pPr>
        <w:jc w:val="both"/>
      </w:pPr>
      <w:r>
        <w:drawing>
          <wp:inline distT="0" distB="0" distL="114300" distR="114300">
            <wp:extent cx="6126480" cy="3707765"/>
            <wp:effectExtent l="0" t="0" r="0" b="1079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0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1A31">
      <w:pPr>
        <w:jc w:val="both"/>
        <w:rPr>
          <w:rFonts w:hint="default" w:ascii="Arial" w:hAnsi="Arial" w:cs="Arial"/>
          <w:b/>
          <w:bCs/>
          <w:sz w:val="22"/>
          <w:szCs w:val="24"/>
        </w:rPr>
      </w:pPr>
    </w:p>
    <w:p w14:paraId="27F91998">
      <w:pPr>
        <w:bidi w:val="0"/>
        <w:rPr>
          <w:rFonts w:hint="default" w:ascii="Arial" w:hAnsi="Arial" w:cs="Arial"/>
          <w:b/>
          <w:bCs/>
          <w:sz w:val="22"/>
          <w:szCs w:val="24"/>
        </w:rPr>
      </w:pPr>
      <w:r>
        <w:rPr>
          <w:rFonts w:hint="default" w:ascii="Arial" w:hAnsi="Arial" w:cs="Arial"/>
          <w:b/>
          <w:bCs/>
          <w:sz w:val="22"/>
          <w:szCs w:val="24"/>
        </w:rPr>
        <w:t>Trazabilidad al código real</w:t>
      </w:r>
    </w:p>
    <w:p w14:paraId="1BE9225D">
      <w:pPr>
        <w:bidi w:val="0"/>
        <w:rPr>
          <w:rFonts w:hint="default" w:ascii="Arial" w:hAnsi="Arial" w:cs="Arial"/>
          <w:b/>
          <w:bCs/>
          <w:sz w:val="22"/>
          <w:szCs w:val="24"/>
        </w:rPr>
      </w:pPr>
    </w:p>
    <w:p w14:paraId="2FEF4493">
      <w:pPr>
        <w:spacing w:after="100" w:line="259" w:lineRule="auto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cs="Arial"/>
          <w:color w:val="auto"/>
          <w:sz w:val="22"/>
          <w:szCs w:val="22"/>
        </w:rPr>
        <w:t>AppServiceProvider obtiene FabricaDeCuentas desde el contenedor y registra dos fábricas concretas dentro de FabricaPaquetesCuentasPorFamilia. Cada fábrica concreta delega el tipo a Factory Method, adapta el producto a su familia y compone las dos políticas con el mismo identificador.</w:t>
      </w:r>
    </w:p>
    <w:p w14:paraId="1EFDC80C">
      <w:pPr>
        <w:shd w:val="clear" w:fill="F2F2F2"/>
        <w:spacing w:after="140"/>
        <w:ind w:left="360"/>
      </w:pPr>
      <w:r>
        <w:rPr>
          <w:rFonts w:ascii="Consolas" w:hAnsi="Consolas"/>
          <w:color w:val="243447"/>
          <w:sz w:val="17"/>
        </w:rPr>
        <w:t>return new PaqueteCuenta(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familia: $this-&gt;familia(),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cuenta: $cuenta,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comision: new PoliticaComisionPorFamilia($this-&gt;familia()),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sobregiro: new PoliticaSobregiroPorFamilia($this-&gt;familia()),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>);</w:t>
      </w:r>
    </w:p>
    <w:p w14:paraId="67465553">
      <w:pPr>
        <w:rPr>
          <w:rFonts w:hint="default"/>
        </w:rPr>
      </w:pPr>
      <w:r>
        <w:rPr>
          <w:rFonts w:hint="default"/>
        </w:rPr>
        <w:br w:type="page"/>
      </w:r>
    </w:p>
    <w:p w14:paraId="04127D6B">
      <w:pPr>
        <w:pStyle w:val="2"/>
        <w:bidi w:val="0"/>
        <w:jc w:val="center"/>
        <w:rPr>
          <w:rFonts w:hint="default"/>
          <w:sz w:val="24"/>
          <w:szCs w:val="24"/>
        </w:rPr>
      </w:pPr>
      <w:bookmarkStart w:id="10" w:name="_Toc16300"/>
      <w:r>
        <w:rPr>
          <w:rFonts w:hint="default"/>
          <w:sz w:val="24"/>
          <w:szCs w:val="24"/>
          <w:lang w:val="es-CO"/>
        </w:rPr>
        <w:t>P</w:t>
      </w:r>
      <w:r>
        <w:rPr>
          <w:rFonts w:hint="default"/>
          <w:sz w:val="24"/>
          <w:szCs w:val="24"/>
        </w:rPr>
        <w:t>atrón Builder</w:t>
      </w:r>
      <w:bookmarkEnd w:id="10"/>
    </w:p>
    <w:p w14:paraId="4669E54E">
      <w:pPr>
        <w:rPr>
          <w:rFonts w:hint="default"/>
          <w:b/>
          <w:bCs/>
          <w:sz w:val="24"/>
          <w:szCs w:val="24"/>
        </w:rPr>
      </w:pPr>
    </w:p>
    <w:p w14:paraId="5C9A4261">
      <w:pPr>
        <w:rPr>
          <w:rFonts w:hint="default" w:ascii="Arial" w:hAnsi="Arial" w:cs="Arial"/>
          <w:b/>
          <w:bCs/>
          <w:sz w:val="22"/>
          <w:szCs w:val="22"/>
          <w:lang w:val="es-CO"/>
        </w:rPr>
      </w:pPr>
      <w:r>
        <w:rPr>
          <w:rFonts w:hint="default" w:ascii="Arial" w:hAnsi="Arial" w:cs="Arial"/>
          <w:b/>
          <w:bCs/>
          <w:sz w:val="22"/>
          <w:szCs w:val="22"/>
          <w:lang w:val="es-CO"/>
        </w:rPr>
        <w:t>Resumen Ejecutivo</w:t>
      </w:r>
    </w:p>
    <w:p w14:paraId="60CB08BC">
      <w:pPr>
        <w:rPr>
          <w:rFonts w:hint="default" w:ascii="Arial" w:hAnsi="Arial" w:cs="Arial"/>
          <w:sz w:val="22"/>
          <w:szCs w:val="22"/>
          <w:lang w:val="es-CO"/>
        </w:rPr>
      </w:pPr>
    </w:p>
    <w:p w14:paraId="2D057475">
      <w:pPr>
        <w:jc w:val="both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El modelo Cuenta posee varios datos obligatorios y opcionales: saldo, moneda, estado, tipo, cliente, operador, producto, familia, paquete e identificador. Una construcción directa debe coordinar muchos argumentos, valores por defecto y dependencias relacionadas. Builder ofrece una secuencia explícita y legible para ensamblar el objeto sin trasladar esa complejidad al caso de uso.</w:t>
      </w:r>
    </w:p>
    <w:p w14:paraId="1577DFC0">
      <w:pPr>
        <w:jc w:val="both"/>
        <w:rPr>
          <w:rFonts w:hint="default" w:ascii="Arial" w:hAnsi="Arial" w:cs="Arial"/>
          <w:sz w:val="22"/>
          <w:szCs w:val="22"/>
          <w:lang w:val="es-CO"/>
        </w:rPr>
      </w:pPr>
    </w:p>
    <w:p w14:paraId="136F5233">
      <w:pPr>
        <w:jc w:val="both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el Builder no decide qué producto corresponde a savings o checking ni crea por sí mismo la familia empresarial/personal. Esas responsabilidades permanecen en la fábrica de paquetes.</w:t>
      </w:r>
    </w:p>
    <w:p w14:paraId="7A311B60">
      <w:pPr>
        <w:jc w:val="both"/>
        <w:rPr>
          <w:rFonts w:hint="default" w:ascii="Arial" w:hAnsi="Arial" w:cs="Arial"/>
          <w:b/>
          <w:bCs/>
          <w:sz w:val="22"/>
          <w:szCs w:val="22"/>
          <w:lang w:val="es-CO"/>
        </w:rPr>
      </w:pPr>
    </w:p>
    <w:p w14:paraId="740D89C4">
      <w:pPr>
        <w:jc w:val="both"/>
        <w:rPr>
          <w:rFonts w:hint="default" w:ascii="Arial" w:hAnsi="Arial" w:cs="Arial"/>
          <w:b/>
          <w:bCs/>
          <w:sz w:val="22"/>
          <w:szCs w:val="22"/>
          <w:lang w:val="es-CO"/>
        </w:rPr>
      </w:pPr>
      <w:r>
        <w:rPr>
          <w:rFonts w:hint="default" w:ascii="Arial" w:hAnsi="Arial" w:cs="Arial"/>
          <w:b/>
          <w:bCs/>
          <w:sz w:val="22"/>
          <w:szCs w:val="22"/>
          <w:lang w:val="es-CO"/>
        </w:rPr>
        <w:t>Diagrama UML</w:t>
      </w:r>
    </w:p>
    <w:p w14:paraId="01624BC6">
      <w:pPr>
        <w:jc w:val="both"/>
        <w:rPr>
          <w:rFonts w:hint="default" w:ascii="Arial" w:hAnsi="Arial" w:cs="Arial"/>
          <w:b/>
          <w:bCs/>
          <w:sz w:val="22"/>
          <w:szCs w:val="22"/>
          <w:lang w:val="es-CO"/>
        </w:rPr>
      </w:pPr>
    </w:p>
    <w:p w14:paraId="6E53C072">
      <w:pPr>
        <w:jc w:val="both"/>
      </w:pPr>
      <w:r>
        <w:drawing>
          <wp:inline distT="0" distB="0" distL="0" distR="0">
            <wp:extent cx="6028055" cy="4333875"/>
            <wp:effectExtent l="0" t="0" r="6985" b="9525"/>
            <wp:docPr id="10" name="UML Build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ML Builder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805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8F85">
      <w:pPr>
        <w:jc w:val="both"/>
      </w:pPr>
    </w:p>
    <w:p w14:paraId="3D0CB829">
      <w:pPr>
        <w:spacing w:after="160"/>
        <w:rPr>
          <w:color w:val="auto"/>
          <w:sz w:val="24"/>
          <w:szCs w:val="24"/>
        </w:rPr>
      </w:pPr>
      <w:r>
        <w:rPr>
          <w:rFonts w:ascii="Arial" w:hAnsi="Arial"/>
          <w:b/>
          <w:color w:val="auto"/>
          <w:sz w:val="24"/>
          <w:szCs w:val="24"/>
        </w:rPr>
        <w:t xml:space="preserve">Evidencia </w:t>
      </w:r>
      <w:r>
        <w:rPr>
          <w:rFonts w:hint="default" w:ascii="Arial" w:hAnsi="Arial"/>
          <w:b/>
          <w:color w:val="auto"/>
          <w:sz w:val="24"/>
          <w:szCs w:val="24"/>
          <w:lang w:val="es-CO"/>
        </w:rPr>
        <w:t>de</w:t>
      </w:r>
      <w:r>
        <w:rPr>
          <w:rFonts w:ascii="Arial" w:hAnsi="Arial"/>
          <w:b/>
          <w:color w:val="auto"/>
          <w:sz w:val="24"/>
          <w:szCs w:val="24"/>
        </w:rPr>
        <w:t xml:space="preserve"> código</w:t>
      </w:r>
    </w:p>
    <w:p w14:paraId="3C0E83DF">
      <w:pPr>
        <w:spacing w:after="40"/>
        <w:rPr>
          <w:rFonts w:ascii="Arial" w:hAnsi="Arial"/>
          <w:b/>
          <w:color w:val="1F4E79"/>
          <w:sz w:val="20"/>
        </w:rPr>
      </w:pPr>
      <w:r>
        <w:rPr>
          <w:rFonts w:ascii="Arial" w:hAnsi="Arial"/>
          <w:b/>
          <w:color w:val="1F4E79"/>
          <w:sz w:val="20"/>
        </w:rPr>
        <w:t>app/Domain/Account/AbrirCuenta.php, líneas 37–47:</w:t>
      </w:r>
    </w:p>
    <w:p w14:paraId="1BC4050B">
      <w:pPr>
        <w:spacing w:after="40"/>
        <w:rPr>
          <w:rFonts w:ascii="Arial" w:hAnsi="Arial"/>
          <w:b w:val="0"/>
          <w:bCs/>
          <w:color w:val="auto"/>
          <w:sz w:val="20"/>
        </w:rPr>
      </w:pPr>
    </w:p>
    <w:p w14:paraId="355A00B9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>private function nuevaCuenta(string $tipo, int $customerId, int $operadoPorId, PaqueteCuenta $paquete): Cuenta</w:t>
      </w:r>
    </w:p>
    <w:p w14:paraId="3DBE32F3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{</w:t>
      </w:r>
    </w:p>
    <w:p w14:paraId="22FF99B7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    return (new CuentaBuilder)</w:t>
      </w:r>
    </w:p>
    <w:p w14:paraId="1F1C7C58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        -&gt;withType($tipo)</w:t>
      </w:r>
    </w:p>
    <w:p w14:paraId="47359ADB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        -&gt;forCustomer($customerId)</w:t>
      </w:r>
    </w:p>
    <w:p w14:paraId="7912A55E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        -&gt;operatedBy($operadoPorId)</w:t>
      </w:r>
    </w:p>
    <w:p w14:paraId="3FDFC01B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        -&gt;withProduct($paquete-&gt;cuenta)</w:t>
      </w:r>
    </w:p>
    <w:p w14:paraId="541DF751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        -&gt;withFamily($paquete-&gt;familia)</w:t>
      </w:r>
    </w:p>
    <w:p w14:paraId="31BA3BA5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        -&gt;withPackage($paquete)</w:t>
      </w:r>
    </w:p>
    <w:p w14:paraId="4BD54B8C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        -&gt;build();</w:t>
      </w:r>
    </w:p>
    <w:p w14:paraId="1240862A">
      <w:pPr>
        <w:shd w:val="clear" w:fill="F2F5F7"/>
        <w:spacing w:after="40"/>
        <w:rPr>
          <w:b w:val="0"/>
          <w:bCs/>
          <w:color w:val="auto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}</w:t>
      </w:r>
    </w:p>
    <w:p w14:paraId="34CC9517">
      <w:pPr>
        <w:spacing w:after="100"/>
      </w:pPr>
      <w:r>
        <w:rPr>
          <w:rFonts w:ascii="Arial" w:hAnsi="Arial"/>
          <w:sz w:val="20"/>
        </w:rPr>
        <w:t>app/Domain/Account/CuentaBuilder.php, líneas 108–134: build() rechaza tipo, cliente o producto ausentes; usa saldo 0, moneda COP y estado Activa cuando no se especifican; finalmente pasa los valores a Cuenta mediante argumentos nombrados.</w:t>
      </w:r>
    </w:p>
    <w:p w14:paraId="53049CC7">
      <w:pPr>
        <w:spacing w:after="140"/>
        <w:rPr>
          <w:rFonts w:ascii="Arial" w:hAnsi="Arial"/>
          <w:sz w:val="20"/>
        </w:rPr>
      </w:pPr>
      <w:r>
        <w:rPr>
          <w:rFonts w:ascii="Arial" w:hAnsi="Arial"/>
          <w:sz w:val="20"/>
        </w:rPr>
        <w:t>app/Domain/Account/Cuenta.php, líneas 22–32: si no llega un paquete, la entidad crea uno compatible; si llega, verifica que familia y producto coincidan. Esta última garantía evita ensamblajes incoherentes.</w:t>
      </w:r>
    </w:p>
    <w:p w14:paraId="0EB08457">
      <w:pPr>
        <w:spacing w:after="140"/>
        <w:rPr>
          <w:rFonts w:ascii="Arial" w:hAnsi="Arial"/>
          <w:sz w:val="20"/>
        </w:rPr>
      </w:pPr>
    </w:p>
    <w:p w14:paraId="6CC5FF0F">
      <w:pPr>
        <w:pStyle w:val="2"/>
        <w:bidi w:val="0"/>
        <w:jc w:val="center"/>
        <w:rPr>
          <w:sz w:val="24"/>
          <w:szCs w:val="24"/>
        </w:rPr>
      </w:pPr>
      <w:bookmarkStart w:id="11" w:name="_Toc12847"/>
      <w:r>
        <w:rPr>
          <w:rFonts w:hint="default"/>
          <w:sz w:val="24"/>
          <w:szCs w:val="24"/>
          <w:lang w:val="es-CO"/>
        </w:rPr>
        <w:t>P</w:t>
      </w:r>
      <w:r>
        <w:rPr>
          <w:sz w:val="24"/>
          <w:szCs w:val="24"/>
        </w:rPr>
        <w:t>atrón Prototype</w:t>
      </w:r>
      <w:bookmarkEnd w:id="11"/>
    </w:p>
    <w:p w14:paraId="3A2CEE7E">
      <w:pPr>
        <w:rPr>
          <w:sz w:val="24"/>
          <w:szCs w:val="24"/>
        </w:rPr>
      </w:pPr>
    </w:p>
    <w:p w14:paraId="4FBB4067">
      <w:pPr>
        <w:rPr>
          <w:rFonts w:hint="default" w:ascii="Arial" w:hAnsi="Arial" w:cs="Arial"/>
          <w:b/>
          <w:bCs/>
          <w:sz w:val="22"/>
          <w:szCs w:val="22"/>
          <w:lang w:val="es-CO"/>
        </w:rPr>
      </w:pPr>
      <w:r>
        <w:rPr>
          <w:rFonts w:hint="default" w:ascii="Arial" w:hAnsi="Arial" w:cs="Arial"/>
          <w:b/>
          <w:bCs/>
          <w:sz w:val="22"/>
          <w:szCs w:val="22"/>
          <w:lang w:val="es-CO"/>
        </w:rPr>
        <w:t>Resumen ejecutivo</w:t>
      </w:r>
    </w:p>
    <w:p w14:paraId="544A2683">
      <w:pPr>
        <w:rPr>
          <w:rFonts w:hint="default" w:ascii="Arial" w:hAnsi="Arial" w:cs="Arial"/>
          <w:sz w:val="22"/>
          <w:szCs w:val="22"/>
          <w:lang w:val="es-CO"/>
        </w:rPr>
      </w:pPr>
    </w:p>
    <w:p w14:paraId="14A9B805">
      <w:pPr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s-CO"/>
        </w:rPr>
        <w:t>El modelo</w:t>
      </w:r>
      <w:r>
        <w:rPr>
          <w:rFonts w:hint="default" w:ascii="Arial" w:hAnsi="Arial" w:cs="Arial"/>
          <w:sz w:val="22"/>
          <w:szCs w:val="22"/>
        </w:rPr>
        <w:t xml:space="preserve"> Cuenta ofrece una operación explícita para producir una nueva cuenta a partir de una cuenta existente, conservando los valores de negocio pertinentes y preparando una identidad independiente.</w:t>
      </w:r>
    </w:p>
    <w:p w14:paraId="33F6945E">
      <w:pPr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La operación no persiste automáticamente el clon ni asigna por sí misma un id definitivo. Su responsabilidad verificable termina en entregar una nueva instancia lista para recibir identidad y posteriores cambios.</w:t>
      </w:r>
    </w:p>
    <w:p w14:paraId="2FEC34E1">
      <w:pPr>
        <w:jc w:val="both"/>
        <w:rPr>
          <w:rFonts w:hint="default" w:ascii="Arial" w:hAnsi="Arial" w:cs="Arial"/>
          <w:sz w:val="22"/>
          <w:szCs w:val="22"/>
        </w:rPr>
      </w:pPr>
    </w:p>
    <w:p w14:paraId="1ED4BBC9">
      <w:pPr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Es apropiado cuando la configuración de una cuenta ya contiene una combinación válida de producto, paquete, familia y políticas, y crear otra cuenta con la misma configuración sería más costoso o más propenso a inconsistencias. También resulta útil cuando se necesita conservar valores iniciales, pero evitar compartir estado mutable entre la cuenta original y la nueva.</w:t>
      </w:r>
    </w:p>
    <w:p w14:paraId="7D50B2E2">
      <w:pPr>
        <w:rPr>
          <w:rFonts w:hint="default"/>
          <w:sz w:val="24"/>
          <w:szCs w:val="24"/>
          <w:lang w:val="es-CO"/>
        </w:rPr>
      </w:pPr>
    </w:p>
    <w:p w14:paraId="113457B9">
      <w:pPr>
        <w:rPr>
          <w:rFonts w:hint="default" w:ascii="Arial" w:hAnsi="Arial" w:cs="Arial"/>
          <w:b/>
          <w:bCs/>
          <w:sz w:val="22"/>
          <w:szCs w:val="22"/>
          <w:lang w:val="es-CO"/>
        </w:rPr>
      </w:pPr>
      <w:r>
        <w:rPr>
          <w:rFonts w:hint="default" w:ascii="Arial" w:hAnsi="Arial" w:cs="Arial"/>
          <w:b/>
          <w:bCs/>
          <w:sz w:val="22"/>
          <w:szCs w:val="22"/>
        </w:rPr>
        <w:t>Diagrama UML</w:t>
      </w:r>
    </w:p>
    <w:p w14:paraId="234FA17C">
      <w:pPr>
        <w:jc w:val="both"/>
        <w:rPr>
          <w:rFonts w:hint="default"/>
          <w:lang w:val="es-CO"/>
        </w:rPr>
      </w:pPr>
    </w:p>
    <w:p w14:paraId="4A1096FF">
      <w:pPr>
        <w:jc w:val="both"/>
      </w:pPr>
      <w:r>
        <w:drawing>
          <wp:inline distT="0" distB="0" distL="114300" distR="114300">
            <wp:extent cx="6095365" cy="4431665"/>
            <wp:effectExtent l="0" t="0" r="635" b="3175"/>
            <wp:docPr id="5" name="prototype-uml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rototype-uml.sv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365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7B86">
      <w:r>
        <w:br w:type="page"/>
      </w:r>
    </w:p>
    <w:p w14:paraId="587FF618">
      <w:pPr>
        <w:jc w:val="both"/>
        <w:rPr>
          <w:rFonts w:hint="default" w:ascii="Arial" w:hAnsi="Arial" w:cs="Arial"/>
          <w:b/>
          <w:bCs/>
          <w:sz w:val="22"/>
          <w:szCs w:val="24"/>
          <w:lang w:val="es-CO"/>
        </w:rPr>
      </w:pPr>
      <w:r>
        <w:rPr>
          <w:rFonts w:hint="default" w:ascii="Arial" w:hAnsi="Arial" w:cs="Arial"/>
          <w:b/>
          <w:bCs/>
          <w:sz w:val="22"/>
          <w:szCs w:val="24"/>
          <w:lang w:val="es-CO"/>
        </w:rPr>
        <w:t>Evidencia en el codigo</w:t>
      </w:r>
    </w:p>
    <w:p w14:paraId="5EFCA040">
      <w:pPr>
        <w:jc w:val="both"/>
        <w:rPr>
          <w:rFonts w:hint="default" w:ascii="Arial" w:hAnsi="Arial" w:cs="Arial"/>
          <w:b/>
          <w:bCs/>
          <w:sz w:val="22"/>
          <w:szCs w:val="24"/>
          <w:lang w:val="es-CO"/>
        </w:rPr>
      </w:pPr>
    </w:p>
    <w:p w14:paraId="50B3248B">
      <w:pPr>
        <w:jc w:val="both"/>
        <w:rPr>
          <w:rFonts w:hint="default" w:ascii="Arial" w:hAnsi="Arial" w:cs="Arial"/>
          <w:b w:val="0"/>
          <w:bCs w:val="0"/>
          <w:sz w:val="22"/>
          <w:szCs w:val="24"/>
          <w:lang w:val="es-CO"/>
        </w:rPr>
      </w:pPr>
      <w:r>
        <w:rPr>
          <w:rFonts w:hint="default" w:ascii="Arial" w:hAnsi="Arial" w:cs="Arial"/>
          <w:b w:val="0"/>
          <w:bCs w:val="0"/>
          <w:sz w:val="22"/>
          <w:szCs w:val="24"/>
          <w:lang w:val="es-CO"/>
        </w:rPr>
        <w:t>Fuente: app/Domain/Account/Cuenta.php, método clonarParaNuevaCuenta(), líneas 94–115. El fragmento se reproduce para facilitar la revisión y no constituye una versión alternativa del código.</w:t>
      </w:r>
    </w:p>
    <w:p w14:paraId="0DED7BD7">
      <w:pPr>
        <w:jc w:val="both"/>
        <w:rPr>
          <w:rFonts w:hint="default" w:ascii="Arial" w:hAnsi="Arial" w:cs="Arial"/>
          <w:sz w:val="22"/>
          <w:szCs w:val="24"/>
          <w:lang w:val="es-CO"/>
        </w:rPr>
      </w:pPr>
    </w:p>
    <w:p w14:paraId="04B53A97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>public function clonarParaNuevaCuenta(): self</w:t>
      </w:r>
    </w:p>
    <w:p w14:paraId="4F5A12C7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{</w:t>
      </w:r>
    </w:p>
    <w:p w14:paraId="2EB87843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$producto = clone $this-&gt;producto;</w:t>
      </w:r>
    </w:p>
    <w:p w14:paraId="31F59F71">
      <w:pPr>
        <w:jc w:val="both"/>
        <w:rPr>
          <w:rFonts w:hint="default" w:ascii="Arial" w:hAnsi="Arial" w:cs="Arial"/>
          <w:sz w:val="22"/>
          <w:szCs w:val="24"/>
          <w:lang w:val="es-CO"/>
        </w:rPr>
      </w:pPr>
    </w:p>
    <w:p w14:paraId="490CFA64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return new self(</w:t>
      </w:r>
    </w:p>
    <w:p w14:paraId="27FF5392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saldo: $this-&gt;saldo,</w:t>
      </w:r>
    </w:p>
    <w:p w14:paraId="13FEFA01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moneda: $this-&gt;moneda,</w:t>
      </w:r>
    </w:p>
    <w:p w14:paraId="748E869F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estado: $this-&gt;estado,</w:t>
      </w:r>
    </w:p>
    <w:p w14:paraId="12EC3FA0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tipo: $this-&gt;tipo,</w:t>
      </w:r>
    </w:p>
    <w:p w14:paraId="764EDFBB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customerId: $this-&gt;customerId,</w:t>
      </w:r>
    </w:p>
    <w:p w14:paraId="3CF02BD3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operadoPorId: $this-&gt;operadoPorId,</w:t>
      </w:r>
    </w:p>
    <w:p w14:paraId="1ED9128C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producto: $producto,</w:t>
      </w:r>
    </w:p>
    <w:p w14:paraId="5859D3D4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familia: $this-&gt;familia,</w:t>
      </w:r>
    </w:p>
    <w:p w14:paraId="110F5270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paquete: new PaqueteCuenta(</w:t>
      </w:r>
    </w:p>
    <w:p w14:paraId="0A16824D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    familia: $this-&gt;paquete-&gt;familia,</w:t>
      </w:r>
    </w:p>
    <w:p w14:paraId="18FCCBD4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    cuenta: $producto,</w:t>
      </w:r>
    </w:p>
    <w:p w14:paraId="68D694B3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    comision: clone $this-&gt;paquete-&gt;comision,</w:t>
      </w:r>
    </w:p>
    <w:p w14:paraId="785F1A5D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    sobregiro: clone $this-&gt;paquete-&gt;sobregiro,</w:t>
      </w:r>
    </w:p>
    <w:p w14:paraId="45AA3B8F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),</w:t>
      </w:r>
    </w:p>
    <w:p w14:paraId="44355397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cliente: $this-&gt;cliente === null ? null : clone $this-&gt;cliente,</w:t>
      </w:r>
    </w:p>
    <w:p w14:paraId="4825B7E2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);</w:t>
      </w:r>
    </w:p>
    <w:p w14:paraId="70D83B77">
      <w:pPr>
        <w:ind w:firstLine="244"/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>}</w:t>
      </w:r>
    </w:p>
    <w:p w14:paraId="77366A3B">
      <w:pPr>
        <w:ind w:firstLine="244"/>
        <w:jc w:val="both"/>
        <w:rPr>
          <w:rFonts w:hint="default" w:ascii="Arial" w:hAnsi="Arial" w:cs="Arial"/>
          <w:sz w:val="22"/>
          <w:szCs w:val="24"/>
          <w:lang w:val="es-CO"/>
        </w:rPr>
      </w:pPr>
    </w:p>
    <w:p w14:paraId="0B50389E">
      <w:pPr>
        <w:pStyle w:val="2"/>
        <w:bidi w:val="0"/>
        <w:rPr>
          <w:rFonts w:hint="default" w:ascii="Arial" w:hAnsi="Arial" w:cs="Arial"/>
          <w:b/>
          <w:bCs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>Conclusión</w:t>
      </w:r>
    </w:p>
    <w:p w14:paraId="7B9FDE71">
      <w:pPr>
        <w:jc w:val="left"/>
        <w:rPr>
          <w:rFonts w:hint="default" w:ascii="Arial" w:hAnsi="Arial" w:cs="Arial"/>
          <w:b/>
          <w:bCs/>
          <w:sz w:val="22"/>
          <w:szCs w:val="24"/>
          <w:lang w:val="es-CO"/>
        </w:rPr>
      </w:pPr>
      <w:bookmarkStart w:id="12" w:name="_GoBack"/>
      <w:bookmarkEnd w:id="12"/>
    </w:p>
    <w:p w14:paraId="024D245D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>La aplicación de los patrones Singleton, Factory Method, Abstract Factory, Builder y Prototype permitió fortalecer la arquitectura de Banco CORE mediante una mejor separación de responsabilidades, reducción del acoplamiento y mayor reutilización del código.</w:t>
      </w:r>
    </w:p>
    <w:p w14:paraId="756A798A">
      <w:pPr>
        <w:jc w:val="both"/>
        <w:rPr>
          <w:rFonts w:hint="default" w:ascii="Arial" w:hAnsi="Arial" w:cs="Arial"/>
          <w:sz w:val="22"/>
          <w:szCs w:val="24"/>
          <w:lang w:val="es-CO"/>
        </w:rPr>
      </w:pPr>
    </w:p>
    <w:p w14:paraId="22057845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>Cada patrón responde a una necesidad específica: Singleton centraliza recursos compartidos; Factory Method encapsula la creación de productos; Abstract Factory garantiza la creación de familias de objetos compatibles; Builder facilita la construcción controlada de cuentas complejas; y Prototype permite generar nuevas cuentas a partir de configuraciones existentes sin compartir estados mutables.</w:t>
      </w:r>
    </w:p>
    <w:p w14:paraId="00C9A01D">
      <w:pPr>
        <w:jc w:val="both"/>
        <w:rPr>
          <w:rFonts w:hint="default" w:ascii="Arial" w:hAnsi="Arial" w:cs="Arial"/>
          <w:sz w:val="22"/>
          <w:szCs w:val="24"/>
          <w:lang w:val="es-CO"/>
        </w:rPr>
      </w:pPr>
    </w:p>
    <w:p w14:paraId="2014EBCA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>En conjunto, estos patrones no funcionan como soluciones aisladas, sino como una arquitectura complementaria que mejora la mantenibilidad, extensibilidad, claridad y capacidad de evolución del sistema. Además, su implementación preserva las reglas del dominio y facilita la incorporación futura de nuevos tipos de cuentas, familias de productos y configuraciones sin modificar excesivamente el código existente.</w:t>
      </w:r>
    </w:p>
    <w:sectPr>
      <w:pgSz w:w="11906" w:h="16838"/>
      <w:pgMar w:top="1138" w:right="1138" w:bottom="1138" w:left="1138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D30776"/>
    <w:multiLevelType w:val="singleLevel"/>
    <w:tmpl w:val="88D3077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0FC1905"/>
    <w:multiLevelType w:val="singleLevel"/>
    <w:tmpl w:val="90FC19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0436AA"/>
    <w:rsid w:val="1F04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75B5"/>
      <w:sz w:val="26"/>
      <w:szCs w:val="26"/>
    </w:rPr>
  </w:style>
  <w:style w:type="paragraph" w:styleId="4">
    <w:name w:val="heading 3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6"/>
      <w:szCs w:val="26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2026-09-11T01:50:00Z</dcterms:created>
  <dc:creator>fredual guevara</dc:creator>
  <cp:lastModifiedBy>fredual guevara</cp:lastModifiedBy>
  <dcterms:modified xsi:type="dcterms:W3CDTF">2026-09-11T02:36:35Z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2058-12.1.0.28485</vt:lpwstr>
  </property>
  <property fmtid="{D5CDD505-2E9C-101B-9397-08002B2CF9AE}" pid="3" name="ICV">
    <vt:lpwstr>54FA6286444E4981BF134523F52377BE_11</vt:lpwstr>
  </property>
  <property fmtid="{D5CDD505-2E9C-101B-9397-08002B2CF9AE}" pid="4" name="KSOTemplateDocerSaveRecord">
    <vt:lpwstr>eyJoZGlkIjoiNmNjZTM1MDFjMzExNDU2NzczODQ3N2YzYWY2MmYxMWEiLCJ1c2VySWQiOiIyMTk5MDI0NTI1NDM3In0=</vt:lpwstr>
  </property>
</Properties>
</file>