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CBF25D">
      <w:pPr>
        <w:jc w:val="center"/>
        <w:rPr>
          <w:rFonts w:ascii="Arial" w:hAnsi="Arial" w:cs="Arial"/>
          <w:sz w:val="24"/>
          <w:szCs w:val="24"/>
          <w:lang w:val="es-CO"/>
        </w:rPr>
      </w:pPr>
    </w:p>
    <w:p w14:paraId="46BF77E6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30D837FF">
      <w:pPr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6A8E8853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 xml:space="preserve">Proyecto </w:t>
      </w:r>
    </w:p>
    <w:p w14:paraId="10D75DEA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>Sistema Bancario CORE</w:t>
      </w:r>
    </w:p>
    <w:p w14:paraId="7910BCEE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5E033757">
      <w:pPr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5F7CBDA4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66C32733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1DA12767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108A659D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5C6A8EE6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06430AAB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1D13B7CC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52801713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3C6EE32A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>Fredual Alexander Guevara Gonzalez</w:t>
      </w: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ab/>
      </w:r>
    </w:p>
    <w:p w14:paraId="050DA4F1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>Disneyyna Jenniredd Tarazona Flórez</w:t>
      </w:r>
    </w:p>
    <w:p w14:paraId="21DE609A">
      <w:pPr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6B2CC816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3004F385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78BD50BD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5AA09A96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2EF1526F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27353BB5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051C5AA4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03E4BC98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4787E4A8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48FF1526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>Docente</w:t>
      </w:r>
    </w:p>
    <w:p w14:paraId="7CDB38DB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>Eliecer Montero Ojeda</w:t>
      </w:r>
    </w:p>
    <w:p w14:paraId="0121128A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7DBDB1A5">
      <w:pPr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1633C689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54BC21DA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055AE4E0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22EEF3BF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>Patrones de Software A194</w:t>
      </w:r>
    </w:p>
    <w:p w14:paraId="4409BAFB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44570BCC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42132865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630BEA20">
      <w:pPr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26C97088">
      <w:pPr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1BCD1AB9">
      <w:pPr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1748A63A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</w:p>
    <w:p w14:paraId="097B5E8B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>Universitaria Tecnológica de Santander</w:t>
      </w:r>
    </w:p>
    <w:p w14:paraId="5CE6B038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 xml:space="preserve">Facultad Ciencias Naturales e Ingenierías </w:t>
      </w:r>
    </w:p>
    <w:p w14:paraId="19033740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 xml:space="preserve">Ingeniería de Sistemas </w:t>
      </w:r>
    </w:p>
    <w:p w14:paraId="2B6B6319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>Bucaramanga</w:t>
      </w:r>
    </w:p>
    <w:p w14:paraId="51C58F8C">
      <w:pPr>
        <w:jc w:val="center"/>
        <w:rPr>
          <w:rFonts w:ascii="Arial" w:hAnsi="Arial" w:cs="Arial"/>
          <w:b/>
          <w:color w:val="000000" w:themeColor="text1"/>
          <w:sz w:val="24"/>
          <w:szCs w:val="24"/>
          <w:lang w:val="es-CO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es-CO"/>
        </w:rPr>
        <w:t>2026</w:t>
      </w:r>
    </w:p>
    <w:p w14:paraId="7D025106">
      <w:pPr>
        <w:rPr>
          <w:rFonts w:ascii="Arial" w:hAnsi="Arial" w:cs="Arial"/>
          <w:sz w:val="24"/>
          <w:szCs w:val="24"/>
          <w:lang w:val="es-CO"/>
        </w:rPr>
      </w:pPr>
      <w:r>
        <w:rPr>
          <w:rFonts w:ascii="Arial" w:hAnsi="Arial" w:cs="Arial"/>
          <w:sz w:val="24"/>
          <w:szCs w:val="24"/>
          <w:lang w:val="es-CO"/>
        </w:rPr>
        <w:br w:type="page"/>
      </w:r>
    </w:p>
    <w:p w14:paraId="7D025107">
      <w:pPr>
        <w:pStyle w:val="2"/>
        <w:rPr>
          <w:rFonts w:hint="default" w:ascii="Arial" w:hAnsi="Arial" w:cs="Arial"/>
          <w:sz w:val="24"/>
          <w:szCs w:val="24"/>
          <w:lang w:val="es-CO"/>
        </w:rPr>
      </w:pPr>
      <w:r>
        <w:rPr>
          <w:rFonts w:hint="default" w:ascii="Arial" w:hAnsi="Arial" w:cs="Arial"/>
          <w:sz w:val="24"/>
          <w:szCs w:val="24"/>
          <w:lang w:val="es-CO"/>
        </w:rPr>
        <w:t>1. Sistema Bancario Core</w:t>
      </w:r>
    </w:p>
    <w:p w14:paraId="7D025108">
      <w:pPr>
        <w:pStyle w:val="5"/>
        <w:ind w:left="720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¿Qué es?:</w:t>
      </w:r>
      <w:r>
        <w:rPr>
          <w:rFonts w:ascii="Arial" w:hAnsi="Arial" w:cs="Arial"/>
          <w:lang w:val="es-CO"/>
        </w:rPr>
        <w:t xml:space="preserve"> Es el sistema informático central que procesa y registra todas las operaciones financieras fundamentales de un banco. El término </w:t>
      </w:r>
      <w:r>
        <w:rPr>
          <w:rFonts w:ascii="Arial" w:hAnsi="Arial" w:cs="Arial"/>
          <w:i/>
          <w:iCs/>
          <w:lang w:val="es-CO"/>
        </w:rPr>
        <w:t>CORE</w:t>
      </w:r>
      <w:r>
        <w:rPr>
          <w:rFonts w:ascii="Arial" w:hAnsi="Arial" w:cs="Arial"/>
          <w:lang w:val="es-CO"/>
        </w:rPr>
        <w:t xml:space="preserve"> significa </w:t>
      </w:r>
      <w:r>
        <w:rPr>
          <w:rFonts w:ascii="Arial" w:hAnsi="Arial" w:cs="Arial"/>
          <w:i/>
          <w:iCs/>
          <w:lang w:val="es-CO"/>
        </w:rPr>
        <w:t>Central Online Real-time Exchange</w:t>
      </w:r>
      <w:r>
        <w:rPr>
          <w:rFonts w:ascii="Arial" w:hAnsi="Arial" w:cs="Arial"/>
          <w:lang w:val="es-CO"/>
        </w:rPr>
        <w:t xml:space="preserve"> (Intercambio Centralizado en Línea y en Tiempo Real).</w:t>
      </w:r>
    </w:p>
    <w:p w14:paraId="7D025109">
      <w:pPr>
        <w:pStyle w:val="5"/>
        <w:ind w:left="720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Enfoque en desarrollo:</w:t>
      </w:r>
      <w:r>
        <w:rPr>
          <w:rFonts w:ascii="Arial" w:hAnsi="Arial" w:cs="Arial"/>
          <w:lang w:val="es-CO"/>
        </w:rPr>
        <w:t xml:space="preserve"> Funciona como la "única fuente de verdad" (</w:t>
      </w:r>
      <w:r>
        <w:rPr>
          <w:rFonts w:ascii="Arial" w:hAnsi="Arial" w:cs="Arial"/>
          <w:i/>
          <w:iCs/>
          <w:lang w:val="es-CO"/>
        </w:rPr>
        <w:t>Single Source of Truth</w:t>
      </w:r>
      <w:r>
        <w:rPr>
          <w:rFonts w:ascii="Arial" w:hAnsi="Arial" w:cs="Arial"/>
          <w:lang w:val="es-CO"/>
        </w:rPr>
        <w:t>). Cualquier saldo, movimiento o registro oficial vive aquí. Si este sistema se cae o falla en una transacción, el banco completo deja de funcionar adecuadamente.</w:t>
      </w:r>
    </w:p>
    <w:p w14:paraId="7D02510A">
      <w:pPr>
        <w:pStyle w:val="2"/>
        <w:rPr>
          <w:rFonts w:hint="default" w:ascii="Arial" w:hAnsi="Arial" w:cs="Arial"/>
          <w:sz w:val="24"/>
          <w:szCs w:val="24"/>
          <w:lang w:val="es-CO"/>
        </w:rPr>
      </w:pPr>
      <w:r>
        <w:rPr>
          <w:rFonts w:hint="default" w:ascii="Arial" w:hAnsi="Arial" w:cs="Arial"/>
          <w:sz w:val="24"/>
          <w:szCs w:val="24"/>
          <w:lang w:val="es-CO"/>
        </w:rPr>
        <w:t>2. Gestión de cuentas, transacciones, préstamos e inversiones</w:t>
      </w:r>
    </w:p>
    <w:p w14:paraId="7D02510B">
      <w:pPr>
        <w:pStyle w:val="5"/>
        <w:ind w:left="720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¿Qué es?:</w:t>
      </w:r>
      <w:r>
        <w:rPr>
          <w:rFonts w:ascii="Arial" w:hAnsi="Arial" w:cs="Arial"/>
          <w:lang w:val="es-CO"/>
        </w:rPr>
        <w:t xml:space="preserve"> La lógica central del negocio financiero.</w:t>
      </w:r>
    </w:p>
    <w:p w14:paraId="7D02510C">
      <w:pPr>
        <w:pStyle w:val="5"/>
        <w:ind w:left="1440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Cuentas y Transacciones:</w:t>
      </w:r>
      <w:r>
        <w:rPr>
          <w:rFonts w:ascii="Arial" w:hAnsi="Arial" w:cs="Arial"/>
          <w:lang w:val="es-CO"/>
        </w:rPr>
        <w:t xml:space="preserve"> Manejo de saldos, débitos, créditos, transferencias entre cuentas propias y de terceros.</w:t>
      </w:r>
    </w:p>
    <w:p w14:paraId="7D02510D">
      <w:pPr>
        <w:pStyle w:val="5"/>
        <w:ind w:left="1440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Préstamos:</w:t>
      </w:r>
      <w:r>
        <w:rPr>
          <w:rFonts w:ascii="Arial" w:hAnsi="Arial" w:cs="Arial"/>
          <w:lang w:val="es-CO"/>
        </w:rPr>
        <w:t xml:space="preserve"> Cálculo de amortizaciones, tasas de interés (fijas/variables), cronogramas de pago y gestión de mora</w:t>
      </w:r>
    </w:p>
    <w:p w14:paraId="7D02510E">
      <w:pPr>
        <w:pStyle w:val="5"/>
        <w:ind w:left="1440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Inversiones:</w:t>
      </w:r>
      <w:r>
        <w:rPr>
          <w:rFonts w:ascii="Arial" w:hAnsi="Arial" w:cs="Arial"/>
          <w:lang w:val="es-CO"/>
        </w:rPr>
        <w:t xml:space="preserve"> Plazos fijos, compra de activos o fondos mutuos con rendimiento a lo largo del tiempo.</w:t>
      </w:r>
    </w:p>
    <w:p w14:paraId="7D025112">
      <w:pPr>
        <w:pStyle w:val="2"/>
        <w:rPr>
          <w:rFonts w:hint="default" w:ascii="Arial" w:hAnsi="Arial" w:cs="Arial"/>
          <w:sz w:val="24"/>
          <w:szCs w:val="24"/>
          <w:lang w:val="es-CO"/>
        </w:rPr>
      </w:pPr>
      <w:r>
        <w:rPr>
          <w:rFonts w:hint="default" w:ascii="Arial" w:hAnsi="Arial" w:cs="Arial"/>
          <w:sz w:val="24"/>
          <w:szCs w:val="24"/>
          <w:lang w:val="es-CO"/>
        </w:rPr>
        <w:t>3. Múltiples canales (</w:t>
      </w:r>
      <w:r>
        <w:rPr>
          <w:rFonts w:hint="default" w:ascii="Arial" w:hAnsi="Arial" w:cs="Arial"/>
          <w:i/>
          <w:iCs/>
          <w:sz w:val="24"/>
          <w:szCs w:val="24"/>
          <w:lang w:val="es-CO"/>
        </w:rPr>
        <w:t>Omnicanalidad</w:t>
      </w:r>
      <w:r>
        <w:rPr>
          <w:rFonts w:hint="default" w:ascii="Arial" w:hAnsi="Arial" w:cs="Arial"/>
          <w:sz w:val="24"/>
          <w:szCs w:val="24"/>
          <w:lang w:val="es-CO"/>
        </w:rPr>
        <w:t>)</w:t>
      </w:r>
    </w:p>
    <w:p w14:paraId="7D025113">
      <w:pPr>
        <w:pStyle w:val="5"/>
        <w:ind w:left="720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¿Qué es?:</w:t>
      </w:r>
      <w:r>
        <w:rPr>
          <w:rFonts w:ascii="Arial" w:hAnsi="Arial" w:cs="Arial"/>
          <w:lang w:val="es-CO"/>
        </w:rPr>
        <w:t xml:space="preserve"> Permitir que los clientes y el personal interno interactúen con el banco desde diferentes medios: aplicación móvil, portal web, cajeros automáticos (ATM), terminales en sucursales físicas, o integraciones con terceros (Open Banking / APIs).</w:t>
      </w:r>
    </w:p>
    <w:p w14:paraId="7D025118">
      <w:pPr>
        <w:rPr>
          <w:rFonts w:ascii="Arial" w:hAnsi="Arial" w:cs="Arial"/>
          <w:b/>
          <w:bCs/>
          <w:sz w:val="24"/>
          <w:szCs w:val="24"/>
          <w:lang w:val="es-CO"/>
        </w:rPr>
      </w:pPr>
      <w:r>
        <w:rPr>
          <w:rFonts w:ascii="Arial" w:hAnsi="Arial" w:cs="Arial"/>
          <w:b/>
          <w:bCs/>
          <w:sz w:val="24"/>
          <w:szCs w:val="24"/>
          <w:lang w:val="es-CO"/>
        </w:rPr>
        <w:t>4. Detección de fraude en tiempo real</w:t>
      </w:r>
    </w:p>
    <w:p w14:paraId="7D025119">
      <w:pPr>
        <w:pStyle w:val="5"/>
        <w:ind w:left="720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¿Qué es?:</w:t>
      </w:r>
      <w:r>
        <w:rPr>
          <w:rFonts w:ascii="Arial" w:hAnsi="Arial" w:cs="Arial"/>
          <w:lang w:val="es-CO"/>
        </w:rPr>
        <w:t xml:space="preserve"> El análisis automático de transacciones al instante para bloquear o alertar sobre operaciones sospechosas antes de que el dinero salga de la cuenta. Por ejemplo: una compra en internet en un país lejano un minuto después de haber usado la tarjeta físicamente en una tienda local.</w:t>
      </w:r>
    </w:p>
    <w:p w14:paraId="7D02511F">
      <w:pPr>
        <w:pStyle w:val="2"/>
        <w:rPr>
          <w:rFonts w:hint="default" w:ascii="Arial" w:hAnsi="Arial" w:cs="Arial"/>
          <w:sz w:val="24"/>
          <w:szCs w:val="24"/>
          <w:lang w:val="es-CO"/>
        </w:rPr>
      </w:pPr>
      <w:r>
        <w:rPr>
          <w:rFonts w:hint="default" w:ascii="Arial" w:hAnsi="Arial" w:cs="Arial"/>
          <w:sz w:val="24"/>
          <w:szCs w:val="24"/>
          <w:lang w:val="es-CO"/>
        </w:rPr>
        <w:t>5. Cumplimiento regulatorio (KYC, AML)</w:t>
      </w:r>
    </w:p>
    <w:p w14:paraId="7D025120">
      <w:pPr>
        <w:pStyle w:val="5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Son marcos normativos legales exigidos por los entes reguladores financieros de cada país para prevenir delitos.</w:t>
      </w:r>
    </w:p>
    <w:p w14:paraId="7D025121">
      <w:pPr>
        <w:pStyle w:val="5"/>
        <w:ind w:left="720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KYC (</w:t>
      </w:r>
      <w:r>
        <w:rPr>
          <w:rFonts w:ascii="Arial" w:hAnsi="Arial" w:cs="Arial"/>
          <w:b/>
          <w:bCs/>
          <w:i/>
          <w:iCs/>
          <w:lang w:val="es-CO"/>
        </w:rPr>
        <w:t>Know Your Customer</w:t>
      </w:r>
      <w:r>
        <w:rPr>
          <w:rFonts w:ascii="Arial" w:hAnsi="Arial" w:cs="Arial"/>
          <w:b/>
          <w:bCs/>
          <w:lang w:val="es-CO"/>
        </w:rPr>
        <w:t>):</w:t>
      </w:r>
    </w:p>
    <w:p w14:paraId="7D025122">
      <w:pPr>
        <w:pStyle w:val="5"/>
        <w:ind w:left="1440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¿Qué es?:</w:t>
      </w:r>
      <w:r>
        <w:rPr>
          <w:rFonts w:ascii="Arial" w:hAnsi="Arial" w:cs="Arial"/>
          <w:lang w:val="es-CO"/>
        </w:rPr>
        <w:t xml:space="preserve"> Proceso para verificar la identidad real de una persona antes o durante el momento en que abre una cuenta bancaria.</w:t>
      </w:r>
    </w:p>
    <w:p w14:paraId="7D025123">
      <w:pPr>
        <w:pStyle w:val="5"/>
        <w:ind w:left="1440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Enfoque en desarrollo:</w:t>
      </w:r>
      <w:r>
        <w:rPr>
          <w:rFonts w:ascii="Arial" w:hAnsi="Arial" w:cs="Arial"/>
          <w:lang w:val="es-CO"/>
        </w:rPr>
        <w:t xml:space="preserve"> Integración de APIs de reconocimiento facial (biometría), escaneo y lectura OCR de documentos de identidad oficiales (pasaportes, cédulas) y validación contra bases de datos gubernamentales.</w:t>
      </w:r>
    </w:p>
    <w:p w14:paraId="7D025124">
      <w:pPr>
        <w:pStyle w:val="5"/>
        <w:ind w:left="720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AML (</w:t>
      </w:r>
      <w:r>
        <w:rPr>
          <w:rFonts w:ascii="Arial" w:hAnsi="Arial" w:cs="Arial"/>
          <w:b/>
          <w:bCs/>
          <w:i/>
          <w:iCs/>
          <w:lang w:val="es-CO"/>
        </w:rPr>
        <w:t>Anti-Money Laundering</w:t>
      </w:r>
      <w:r>
        <w:rPr>
          <w:rFonts w:ascii="Arial" w:hAnsi="Arial" w:cs="Arial"/>
          <w:b/>
          <w:bCs/>
          <w:lang w:val="es-CO"/>
        </w:rPr>
        <w:t xml:space="preserve"> ):</w:t>
      </w:r>
    </w:p>
    <w:p w14:paraId="7D025125">
      <w:pPr>
        <w:pStyle w:val="5"/>
        <w:ind w:left="1440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¿Qué es?:</w:t>
      </w:r>
      <w:r>
        <w:rPr>
          <w:rFonts w:ascii="Arial" w:hAnsi="Arial" w:cs="Arial"/>
          <w:lang w:val="es-CO"/>
        </w:rPr>
        <w:t xml:space="preserve"> Conjunto de procedimientos para evitar que dinero de procedencia ilícita ingrese al sistema financiero legal.</w:t>
      </w:r>
    </w:p>
    <w:p w14:paraId="7D025126">
      <w:pPr>
        <w:pStyle w:val="5"/>
        <w:ind w:left="1440"/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Enfoque en desarrollo:</w:t>
      </w:r>
    </w:p>
    <w:p w14:paraId="7D025127">
      <w:pPr>
        <w:pStyle w:val="5"/>
        <w:ind w:left="2160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Algoritmos de monitoreo continuo que identifican fraccionamiento de depósitos (intentos de evadir límites de declaración), depósitos masivos inusuales o transferencias hacia/desde países de alto riesgo.</w:t>
      </w:r>
    </w:p>
    <w:p w14:paraId="7D025128">
      <w:pPr>
        <w:pStyle w:val="5"/>
        <w:ind w:left="2160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Cotejo de clientes nuevos y existentes contra Listas Restringidas internacionales (listas de personas sancionadas, terroristas o PEP - </w:t>
      </w:r>
      <w:r>
        <w:rPr>
          <w:rFonts w:ascii="Arial" w:hAnsi="Arial" w:cs="Arial"/>
          <w:i/>
          <w:iCs/>
          <w:lang w:val="es-CO"/>
        </w:rPr>
        <w:t>Personas Expuestas Políticamente</w:t>
      </w:r>
      <w:r>
        <w:rPr>
          <w:rFonts w:ascii="Arial" w:hAnsi="Arial" w:cs="Arial"/>
          <w:lang w:val="es-CO"/>
        </w:rPr>
        <w:t>).</w:t>
      </w:r>
    </w:p>
    <w:p w14:paraId="1A0FB87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Objetivo general</w:t>
      </w:r>
    </w:p>
    <w:p w14:paraId="4E2538AD">
      <w:pPr>
        <w:pStyle w:val="5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Desarrollar un Sistema Bancario CORE que permita gestionar de forma segura y consistente las operaciones financieras de cuentas, transacciones, préstamos e inversiones, integrando múltiples canales de acceso, mecanismos de detección de fraude en tiempo real y procesos de cumplimiento regulatorio KYC y AML.</w:t>
      </w:r>
    </w:p>
    <w:p w14:paraId="4052DB85">
      <w:pPr>
        <w:pStyle w:val="5"/>
        <w:jc w:val="both"/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Objetivos específicos</w:t>
      </w:r>
    </w:p>
    <w:p w14:paraId="29CB8CE5">
      <w:pPr>
        <w:pStyle w:val="5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Implementar la gestión integral de cuentas, transacciones, préstamos e inversiones, garantizando la consistencia, integridad y trazabilidad de las operaciones financieras. </w:t>
      </w:r>
    </w:p>
    <w:p w14:paraId="4042A7AA">
      <w:pPr>
        <w:pStyle w:val="5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Integrar múltiples canales de acceso, como web, dispositivos móviles, cajeros automáticos y sucursales, mediante una plataforma centralizada que permita gestionar de forma segura las operaciones de los usuarios. </w:t>
      </w:r>
    </w:p>
    <w:p w14:paraId="5826EA11">
      <w:pPr>
        <w:pStyle w:val="5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Implementar mecanismos de detección de fraude en tiempo real, capaces de analizar las transacciones e identificar operaciones potencialmente sospechosas para generar alertas o acciones preventivas. </w:t>
      </w:r>
    </w:p>
    <w:p w14:paraId="72F3D6A6">
      <w:pPr>
        <w:pStyle w:val="5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lang w:val="es-CO"/>
        </w:rPr>
        <w:t>Incorporar procesos de cumplimiento regulatorio KYC y AML, orientados a la validación de la identidad de los clientes y al monitoreo de operaciones que puedan representar riesgos financieros o actividades ilícitas.</w:t>
      </w:r>
    </w:p>
    <w:p w14:paraId="17D439A0">
      <w:pPr>
        <w:pStyle w:val="5"/>
        <w:numPr>
          <w:ilvl w:val="0"/>
          <w:numId w:val="0"/>
        </w:numPr>
        <w:ind w:left="360" w:leftChars="0"/>
        <w:jc w:val="center"/>
        <w:rPr>
          <w:rFonts w:hint="default" w:ascii="Arial" w:hAnsi="Arial" w:cs="Arial"/>
          <w:sz w:val="22"/>
          <w:szCs w:val="22"/>
        </w:rPr>
      </w:pPr>
      <w:r>
        <w:rPr>
          <w:rFonts w:ascii="Arial" w:hAnsi="Arial" w:cs="Arial"/>
          <w:lang w:val="es-CO"/>
        </w:rPr>
        <w:br w:type="page"/>
      </w:r>
      <w:r>
        <w:rPr>
          <w:rFonts w:hint="default" w:ascii="Arial" w:hAnsi="Arial" w:cs="Arial"/>
          <w:sz w:val="22"/>
          <w:szCs w:val="22"/>
        </w:rPr>
        <w:t>Evidencia del patrón Singleton — Catálogo de tipos de cuenta</w:t>
      </w:r>
    </w:p>
    <w:p w14:paraId="394A3B74">
      <w:pPr>
        <w:rPr>
          <w:rFonts w:hint="default" w:ascii="Arial" w:hAnsi="Arial" w:cs="Arial"/>
          <w:sz w:val="22"/>
          <w:szCs w:val="22"/>
        </w:rPr>
      </w:pPr>
    </w:p>
    <w:p w14:paraId="0DE80616">
      <w:pPr>
        <w:numPr>
          <w:ilvl w:val="0"/>
          <w:numId w:val="2"/>
        </w:numPr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</w:rPr>
        <w:t>Resultado ejecutivo</w:t>
      </w:r>
    </w:p>
    <w:p w14:paraId="0DC6E16C">
      <w:pPr>
        <w:numPr>
          <w:ilvl w:val="0"/>
          <w:numId w:val="0"/>
        </w:numPr>
        <w:rPr>
          <w:rFonts w:hint="default" w:ascii="Arial" w:hAnsi="Arial" w:cs="Arial"/>
          <w:b/>
          <w:bCs/>
          <w:sz w:val="22"/>
          <w:szCs w:val="22"/>
        </w:rPr>
      </w:pPr>
    </w:p>
    <w:p w14:paraId="07859DC2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Este documento es la evidencia verificada del patrón Singleton aplicado al catálogo de tipos de cuenta del Sistema Bancario CORE. Los identificadores propios del código, las vistas y las pruebas usan ahora vocabulario español canónico; los contratos de Laravel, autenticación, permisos, rutas y datos estables (savings, checking, COP, USD, allowed, not_allowed) permanecen intactos.</w:t>
      </w:r>
    </w:p>
    <w:p w14:paraId="51C94F7A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El ciclo de vida del Singleton lo gestiona el contenedor de Laravel mediante el enlace nativo $this-&gt;app-&gt;singleton(...) en AppServiceProvider::register(): no existe un constructor privado ni una variable global estática. Dos resoluciones del contrato a través del contenedor devuelven exactamente la misma instancia, verificado con assertSame en pruebas reales.</w:t>
      </w:r>
    </w:p>
    <w:p w14:paraId="195ECDF3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Estado final de verificación: 34 pruebas, 157 aserciones, 0 fallos, 0 errores (2026-08-30).</w:t>
      </w:r>
    </w:p>
    <w:p w14:paraId="51A158EE">
      <w:pPr>
        <w:numPr>
          <w:ilvl w:val="0"/>
          <w:numId w:val="0"/>
        </w:numPr>
        <w:ind w:leftChars="0"/>
        <w:rPr>
          <w:rFonts w:hint="default" w:ascii="Arial" w:hAnsi="Arial" w:cs="Arial"/>
          <w:sz w:val="22"/>
          <w:szCs w:val="22"/>
        </w:rPr>
      </w:pPr>
    </w:p>
    <w:p w14:paraId="48010952">
      <w:pPr>
        <w:numPr>
          <w:ilvl w:val="0"/>
          <w:numId w:val="2"/>
        </w:numPr>
        <w:ind w:left="0" w:leftChars="0" w:firstLine="0" w:firstLineChars="0"/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</w:rPr>
        <w:t>Código canónico actual (extractos con rutas y líneas)</w:t>
      </w:r>
    </w:p>
    <w:p w14:paraId="0B8EB45A">
      <w:pPr>
        <w:numPr>
          <w:ilvl w:val="0"/>
          <w:numId w:val="0"/>
        </w:numPr>
        <w:ind w:leftChars="0"/>
        <w:rPr>
          <w:rFonts w:hint="default" w:ascii="Arial" w:hAnsi="Arial" w:cs="Arial"/>
          <w:sz w:val="22"/>
          <w:szCs w:val="22"/>
        </w:rPr>
      </w:pPr>
    </w:p>
    <w:p w14:paraId="642CBB3A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Los extractos reproducen exactamente el árbol verificado del 2026-08-30. Las referencias de línea corresponden a los archivos actuales.</w:t>
      </w:r>
    </w:p>
    <w:p w14:paraId="3DC0DDD2">
      <w:pPr>
        <w:rPr>
          <w:rFonts w:hint="default" w:ascii="Arial" w:hAnsi="Arial" w:cs="Arial"/>
          <w:sz w:val="22"/>
          <w:szCs w:val="22"/>
        </w:rPr>
      </w:pPr>
    </w:p>
    <w:p w14:paraId="5FE9B48A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app/Domain/Account/CatalogoTiposCuenta.php (líneas 1–13)</w:t>
      </w:r>
    </w:p>
    <w:p w14:paraId="06B1970A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&lt;?php</w:t>
      </w:r>
    </w:p>
    <w:p w14:paraId="3B4697A5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281FA05C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namespace App\Domain\Account;</w:t>
      </w:r>
    </w:p>
    <w:p w14:paraId="1F85314A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3AB91DF1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interface CatalogoTiposCuenta</w:t>
      </w:r>
    </w:p>
    <w:p w14:paraId="47DC69DA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{</w:t>
      </w:r>
    </w:p>
    <w:p w14:paraId="08293FD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/**</w:t>
      </w:r>
    </w:p>
    <w:p w14:paraId="19BFE18D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 @return list&lt;DefinicionTipoCuenta&gt;</w:t>
      </w:r>
    </w:p>
    <w:p w14:paraId="54BB786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*/</w:t>
      </w:r>
    </w:p>
    <w:p w14:paraId="4814CC2F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listar(): array;</w:t>
      </w:r>
    </w:p>
    <w:p w14:paraId="735E12B6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645D7312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buscar(string $identificador): ?DefinicionTipoCuenta;</w:t>
      </w:r>
    </w:p>
    <w:p w14:paraId="7A5AA0E6">
      <w:pPr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}</w:t>
      </w:r>
    </w:p>
    <w:p w14:paraId="1F547453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app/Domain/Account/CatalogoTiposCuentaEstatico.php (líneas 5–42)</w:t>
      </w:r>
    </w:p>
    <w:p w14:paraId="4534E04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final class CatalogoTiposCuentaEstatico implements CatalogoTiposCuenta</w:t>
      </w:r>
    </w:p>
    <w:p w14:paraId="02E4ABC6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{</w:t>
      </w:r>
    </w:p>
    <w:p w14:paraId="5993ED61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/**</w:t>
      </w:r>
    </w:p>
    <w:p w14:paraId="077797FF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 @var array&lt;string, DefinicionTipoCuenta&gt;</w:t>
      </w:r>
    </w:p>
    <w:p w14:paraId="4228711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*/</w:t>
      </w:r>
    </w:p>
    <w:p w14:paraId="176ADB73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private array $definitions;</w:t>
      </w:r>
    </w:p>
    <w:p w14:paraId="3BEE7818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236B2A3F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__construct()</w:t>
      </w:r>
    </w:p>
    <w:p w14:paraId="4592981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{</w:t>
      </w:r>
    </w:p>
    <w:p w14:paraId="6B7BBCFD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$this-&gt;definitions = [</w:t>
      </w:r>
    </w:p>
    <w:p w14:paraId="1A1410C9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'savings' =&gt; new DefinicionTipoCuenta(</w:t>
      </w:r>
    </w:p>
    <w:p w14:paraId="7D09361D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identificador: 'savings',</w:t>
      </w:r>
    </w:p>
    <w:p w14:paraId="0E86F72C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nombreVisible: 'Savings Account',</w:t>
      </w:r>
    </w:p>
    <w:p w14:paraId="1413E236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monedasElegibles: ['COP', 'USD'],</w:t>
      </w:r>
    </w:p>
    <w:p w14:paraId="106DFF3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politicaSobregiro: 'not_allowed',</w:t>
      </w:r>
    </w:p>
    <w:p w14:paraId="484C4D52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),</w:t>
      </w:r>
    </w:p>
    <w:p w14:paraId="49914E9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'checking' =&gt; new DefinicionTipoCuenta(</w:t>
      </w:r>
    </w:p>
    <w:p w14:paraId="58DAFA07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identificador: 'checking',</w:t>
      </w:r>
    </w:p>
    <w:p w14:paraId="441110B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nombreVisible: 'Checking Account',</w:t>
      </w:r>
    </w:p>
    <w:p w14:paraId="145495E2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monedasElegibles: ['COP', 'USD'],</w:t>
      </w:r>
    </w:p>
    <w:p w14:paraId="36199BB0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politicaSobregiro: 'allowed',</w:t>
      </w:r>
    </w:p>
    <w:p w14:paraId="1CF23CCA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),</w:t>
      </w:r>
    </w:p>
    <w:p w14:paraId="471AA39A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];</w:t>
      </w:r>
    </w:p>
    <w:p w14:paraId="013ACF99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}</w:t>
      </w:r>
    </w:p>
    <w:p w14:paraId="53A74A94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46581B54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/**</w:t>
      </w:r>
    </w:p>
    <w:p w14:paraId="67DE62E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 @return list&lt;DefinicionTipoCuenta&gt;</w:t>
      </w:r>
    </w:p>
    <w:p w14:paraId="09AE775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*/</w:t>
      </w:r>
    </w:p>
    <w:p w14:paraId="7B33FD90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listar(): array</w:t>
      </w:r>
    </w:p>
    <w:p w14:paraId="58FD155A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{</w:t>
      </w:r>
    </w:p>
    <w:p w14:paraId="58663B66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return array_values($this-&gt;definitions);</w:t>
      </w:r>
    </w:p>
    <w:p w14:paraId="4104639D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}</w:t>
      </w:r>
    </w:p>
    <w:p w14:paraId="3434C0A0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06927E20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buscar(string $identificador): ?DefinicionTipoCuenta</w:t>
      </w:r>
    </w:p>
    <w:p w14:paraId="2EB4DF3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{</w:t>
      </w:r>
    </w:p>
    <w:p w14:paraId="4E7C455A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return $this-&gt;definitions[$identificador] ?? null;</w:t>
      </w:r>
    </w:p>
    <w:p w14:paraId="7DAD50F0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}</w:t>
      </w:r>
    </w:p>
    <w:p w14:paraId="56FA1330">
      <w:pPr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}</w:t>
      </w:r>
    </w:p>
    <w:p w14:paraId="743026B7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app/Domain/Account/DefinicionTipoCuenta.php (líneas 5–16)</w:t>
      </w:r>
    </w:p>
    <w:p w14:paraId="7298A33C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final readonly class DefinicionTipoCuenta</w:t>
      </w:r>
    </w:p>
    <w:p w14:paraId="27B8420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{</w:t>
      </w:r>
    </w:p>
    <w:p w14:paraId="0470721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/**</w:t>
      </w:r>
    </w:p>
    <w:p w14:paraId="2FF2A1ED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 @param  list&lt;string&gt;  $monedasElegibles</w:t>
      </w:r>
    </w:p>
    <w:p w14:paraId="24132FB2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*/</w:t>
      </w:r>
    </w:p>
    <w:p w14:paraId="78015121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__construct(</w:t>
      </w:r>
    </w:p>
    <w:p w14:paraId="51734A40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public string $identificador,</w:t>
      </w:r>
    </w:p>
    <w:p w14:paraId="6AA9D21C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public string $nombreVisible,</w:t>
      </w:r>
    </w:p>
    <w:p w14:paraId="6C695550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public array $monedasElegibles,</w:t>
      </w:r>
    </w:p>
    <w:p w14:paraId="75645287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public string $politicaSobregiro,</w:t>
      </w:r>
    </w:p>
    <w:p w14:paraId="06C7F7E1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) {}</w:t>
      </w:r>
    </w:p>
    <w:p w14:paraId="3E4DEBD2">
      <w:pPr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}</w:t>
      </w:r>
    </w:p>
    <w:p w14:paraId="72F5AF5C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app/Providers/AppServiceProvider.php (líneas 11–29; enlace en la línea 18)</w:t>
      </w:r>
    </w:p>
    <w:p w14:paraId="47368D19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class AppServiceProvider extends ServiceProvider</w:t>
      </w:r>
    </w:p>
    <w:p w14:paraId="67879A49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{</w:t>
      </w:r>
    </w:p>
    <w:p w14:paraId="3451F5A2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/**</w:t>
      </w:r>
    </w:p>
    <w:p w14:paraId="6D83914A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 Register any application services.</w:t>
      </w:r>
    </w:p>
    <w:p w14:paraId="42F5B13D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*/</w:t>
      </w:r>
    </w:p>
    <w:p w14:paraId="70E0DD74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register(): void</w:t>
      </w:r>
    </w:p>
    <w:p w14:paraId="0F557213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{</w:t>
      </w:r>
    </w:p>
    <w:p w14:paraId="4F5826A0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$this-&gt;app-&gt;singleton(CatalogoTiposCuenta::class, CatalogoTiposCuentaEstatico::class);</w:t>
      </w:r>
    </w:p>
    <w:p w14:paraId="491CEB34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}</w:t>
      </w:r>
    </w:p>
    <w:p w14:paraId="512522DE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7DE7F43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/**</w:t>
      </w:r>
    </w:p>
    <w:p w14:paraId="7CA07E77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 Bootstrap any application services.</w:t>
      </w:r>
    </w:p>
    <w:p w14:paraId="79A92787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*/</w:t>
      </w:r>
    </w:p>
    <w:p w14:paraId="58F56DC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boot(): void</w:t>
      </w:r>
    </w:p>
    <w:p w14:paraId="2576C867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{</w:t>
      </w:r>
    </w:p>
    <w:p w14:paraId="10A1440A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Gate::define('manage-users', fn (User $user): bool =&gt; $user-&gt;hasPermission('manage-users'));</w:t>
      </w:r>
    </w:p>
    <w:p w14:paraId="2C4566AC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Gate::define('view-accounts', fn (User $user): bool =&gt; $user-&gt;hasPermission('view-accounts'));</w:t>
      </w:r>
    </w:p>
    <w:p w14:paraId="539C89E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}</w:t>
      </w:r>
    </w:p>
    <w:p w14:paraId="6EF8ECD7">
      <w:pPr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}</w:t>
      </w:r>
    </w:p>
    <w:p w14:paraId="62A2F76B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app/Http/Controllers/ControladorCuentas.php (líneas 12–43; resoluciones en 16–17)</w:t>
      </w:r>
    </w:p>
    <w:p w14:paraId="2C1D8D6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index(CatalogoTiposCuenta $catalogo): View</w:t>
      </w:r>
    </w:p>
    <w:p w14:paraId="3FE080CC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{</w:t>
      </w:r>
    </w:p>
    <w:p w14:paraId="6C528587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/** @var User $usuario */</w:t>
      </w:r>
    </w:p>
    <w:p w14:paraId="332D9D9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$usuario = auth()-&gt;user();</w:t>
      </w:r>
    </w:p>
    <w:p w14:paraId="618680E6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$primeraResolucion = app(CatalogoTiposCuenta::class);</w:t>
      </w:r>
    </w:p>
    <w:p w14:paraId="3A6F47A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$segundaResolucion = app(CatalogoTiposCuenta::class);</w:t>
      </w:r>
    </w:p>
    <w:p w14:paraId="7B0CC507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3E4CB8F9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/** @var list&lt;array{identificador: string, etiqueta: string, monedasElegibles: list&lt;string&gt;, politicaSobregiro: string}&gt; $tiposCuenta */</w:t>
      </w:r>
    </w:p>
    <w:p w14:paraId="5F6FEB5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$tiposCuenta = array_map(</w:t>
      </w:r>
    </w:p>
    <w:p w14:paraId="7934F441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fn (DefinicionTipoCuenta $definicion): array =&gt; [</w:t>
      </w:r>
    </w:p>
    <w:p w14:paraId="1F436561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'identificador' =&gt; $definicion-&gt;identificador,</w:t>
      </w:r>
    </w:p>
    <w:p w14:paraId="48AD5C8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'etiqueta' =&gt; match ($definicion-&gt;identificador) {</w:t>
      </w:r>
    </w:p>
    <w:p w14:paraId="22EF299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    'savings' =&gt; 'Cuenta de ahorros',</w:t>
      </w:r>
    </w:p>
    <w:p w14:paraId="2DADF85D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    'checking' =&gt; 'Cuenta corriente',</w:t>
      </w:r>
    </w:p>
    <w:p w14:paraId="460DD4AE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    default =&gt; $definicion-&gt;nombreVisible,</w:t>
      </w:r>
    </w:p>
    <w:p w14:paraId="1576F8A2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},</w:t>
      </w:r>
    </w:p>
    <w:p w14:paraId="69FBF40F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'monedasElegibles' =&gt; $definicion-&gt;monedasElegibles,</w:t>
      </w:r>
    </w:p>
    <w:p w14:paraId="4BDC3373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'politicaSobregiro' =&gt; match ($definicion-&gt;politicaSobregiro) {</w:t>
      </w:r>
    </w:p>
    <w:p w14:paraId="3C5CAD03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    'not_allowed' =&gt; 'Sobregiro no permitido',</w:t>
      </w:r>
    </w:p>
    <w:p w14:paraId="1A331BD9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    'allowed' =&gt; 'Sobregiro permitido',</w:t>
      </w:r>
    </w:p>
    <w:p w14:paraId="392012BA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    default =&gt; $definicion-&gt;politicaSobregiro,</w:t>
      </w:r>
    </w:p>
    <w:p w14:paraId="544561D4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    },</w:t>
      </w:r>
    </w:p>
    <w:p w14:paraId="3E599023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],</w:t>
      </w:r>
    </w:p>
    <w:p w14:paraId="1A4DF68C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$catalogo-&gt;listar(),</w:t>
      </w:r>
    </w:p>
    <w:p w14:paraId="2284132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);</w:t>
      </w:r>
    </w:p>
    <w:p w14:paraId="584C9FFE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1CD23D36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/** @var array{contrato: string, implementacion: string, mismaInstancia: bool} $evidenciaSingleton */</w:t>
      </w:r>
    </w:p>
    <w:p w14:paraId="1732377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$evidenciaSingleton = [</w:t>
      </w:r>
    </w:p>
    <w:p w14:paraId="62B74E24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'contrato' =&gt; CatalogoTiposCuenta::class,</w:t>
      </w:r>
    </w:p>
    <w:p w14:paraId="50B1235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'implementacion' =&gt; $primeraResolucion::class,</w:t>
      </w:r>
    </w:p>
    <w:p w14:paraId="6D470284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'mismaInstancia' =&gt; $primeraResolucion === $segundaResolucion,</w:t>
      </w:r>
    </w:p>
    <w:p w14:paraId="227DA400">
      <w:pPr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];</w:t>
      </w:r>
    </w:p>
    <w:p w14:paraId="448A1774">
      <w:pPr>
        <w:rPr>
          <w:rFonts w:hint="default" w:ascii="Arial" w:hAnsi="Arial" w:cs="Arial"/>
          <w:sz w:val="22"/>
          <w:szCs w:val="22"/>
          <w:lang w:val="es-CO"/>
        </w:rPr>
      </w:pPr>
      <w:r>
        <w:rPr>
          <w:rFonts w:hint="default" w:ascii="Arial" w:hAnsi="Arial" w:cs="Arial"/>
          <w:sz w:val="22"/>
          <w:szCs w:val="22"/>
          <w:lang w:val="es-CO"/>
        </w:rPr>
        <w:t>4</w:t>
      </w:r>
      <w:r>
        <w:rPr>
          <w:rFonts w:hint="default" w:ascii="Arial" w:hAnsi="Arial" w:cs="Arial"/>
          <w:sz w:val="22"/>
          <w:szCs w:val="22"/>
        </w:rPr>
        <w:t>. Dos resoluciones reales del contenedor con assertSame</w:t>
      </w:r>
      <w:r>
        <w:rPr>
          <w:rFonts w:hint="default" w:ascii="Arial" w:hAnsi="Arial" w:cs="Arial"/>
          <w:sz w:val="22"/>
          <w:szCs w:val="22"/>
          <w:lang w:val="es-CO"/>
        </w:rPr>
        <w:t xml:space="preserve"> (Verifica que dos valores sean identicos)</w:t>
      </w:r>
    </w:p>
    <w:p w14:paraId="1C9818B4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  <w:lang w:val="es-CO"/>
        </w:rPr>
        <w:t>4</w:t>
      </w:r>
      <w:r>
        <w:rPr>
          <w:rFonts w:hint="default" w:ascii="Arial" w:hAnsi="Arial" w:cs="Arial"/>
          <w:sz w:val="22"/>
          <w:szCs w:val="22"/>
        </w:rPr>
        <w:t>.1 tests/Feature/CatalogoTiposCuentaContenedorTest.php (líneas 12–23)</w:t>
      </w:r>
    </w:p>
    <w:p w14:paraId="6267BD49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test_the_catalog_contract_resolves_as_a_singleton(): void</w:t>
      </w:r>
    </w:p>
    <w:p w14:paraId="5FE0F9A1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{</w:t>
      </w:r>
    </w:p>
    <w:p w14:paraId="6A22AA6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$primeraResolucion = $this-&gt;app-&gt;make(CatalogoTiposCuenta::class);</w:t>
      </w:r>
    </w:p>
    <w:p w14:paraId="3DDF70DF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$segundaResolucion = $this-&gt;app-&gt;make(CatalogoTiposCuenta::class);</w:t>
      </w:r>
    </w:p>
    <w:p w14:paraId="4D102A7B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3B701652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$this-&gt;assertSame($primeraResolucion, $segundaResolucion);</w:t>
      </w:r>
    </w:p>
    <w:p w14:paraId="6106F2C7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$this-&gt;assertSame(</w:t>
      </w:r>
    </w:p>
    <w:p w14:paraId="6C284847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['savings', 'checking'],</w:t>
      </w:r>
    </w:p>
    <w:p w14:paraId="6410B73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array_map(fn ($definicion): string =&gt; $definicion-&gt;identificador, $primeraResolucion-&gt;listar()),</w:t>
      </w:r>
    </w:p>
    <w:p w14:paraId="08ED82A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);</w:t>
      </w:r>
    </w:p>
    <w:p w14:paraId="4212D756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$this-&gt;assertSame($primeraResolucion-&gt;buscar('checking'), $segundaResolucion-&gt;buscar('checking'));</w:t>
      </w:r>
    </w:p>
    <w:p w14:paraId="4417FD07">
      <w:pPr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}</w:t>
      </w:r>
    </w:p>
    <w:p w14:paraId="29843E26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Resultado real: la prueba PASÓ dentro de la suite (34/157); el XML JUnit de la ejecución registra failures=0 y errors=0.</w:t>
      </w:r>
    </w:p>
    <w:p w14:paraId="0031D574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  <w:lang w:val="es-CO"/>
        </w:rPr>
        <w:t>4</w:t>
      </w:r>
      <w:r>
        <w:rPr>
          <w:rFonts w:hint="default" w:ascii="Arial" w:hAnsi="Arial" w:cs="Arial"/>
          <w:sz w:val="22"/>
          <w:szCs w:val="22"/>
        </w:rPr>
        <w:t>.2 tests/Feature/VistaCuentasTest.php (líneas 72–85) — evidencia renderizada</w:t>
      </w:r>
    </w:p>
    <w:p w14:paraId="738B5C54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public function test_la_evidencia_del_singleton_muestra_la_identidad_real_del_contenedor(): void</w:t>
      </w:r>
    </w:p>
    <w:p w14:paraId="21BBF9E0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{</w:t>
      </w:r>
    </w:p>
    <w:p w14:paraId="44D8021C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$usuario = $this-&gt;usuarioConPermiso('view-accounts');</w:t>
      </w:r>
    </w:p>
    <w:p w14:paraId="05F795DF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$primeraEsperada = $this-&gt;app-&gt;make(CatalogoTiposCuenta::class);</w:t>
      </w:r>
    </w:p>
    <w:p w14:paraId="63EDCBD4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$segundaEsperada = $this-&gt;app-&gt;make(CatalogoTiposCuenta::class);</w:t>
      </w:r>
    </w:p>
    <w:p w14:paraId="07D758CF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71E93BB0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$response = $this-&gt;actingAs($usuario)-&gt;get(route('accounts.index'));</w:t>
      </w:r>
    </w:p>
    <w:p w14:paraId="58BDBA07">
      <w:pPr>
        <w:keepNext/>
        <w:keepLines/>
        <w:rPr>
          <w:rFonts w:hint="default" w:ascii="Arial" w:hAnsi="Arial" w:cs="Arial"/>
          <w:sz w:val="22"/>
          <w:szCs w:val="22"/>
        </w:rPr>
      </w:pPr>
    </w:p>
    <w:p w14:paraId="4B54A98B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$response-&gt;assertSee(CatalogoTiposCuenta::class)</w:t>
      </w:r>
    </w:p>
    <w:p w14:paraId="705B0155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-&gt;assertSee(CatalogoTiposCuentaEstatico::class)</w:t>
      </w:r>
    </w:p>
    <w:p w14:paraId="4F27193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-&gt;assertSee($primeraEsperada === $segundaEsperada ? 'Sí, es la misma instancia.' : 'No, son instancias diferentes.')</w:t>
      </w:r>
    </w:p>
    <w:p w14:paraId="357BBCCC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-&gt;assertSee('metadatos de referencia inmutables')</w:t>
      </w:r>
    </w:p>
    <w:p w14:paraId="01F8D8B8">
      <w:pPr>
        <w:keepNext/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        -&gt;assertSee('no contiene cuentas, saldos ni estado de la solicitud');</w:t>
      </w:r>
    </w:p>
    <w:p w14:paraId="6321A593">
      <w:pPr>
        <w:keepLines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    }</w:t>
      </w:r>
    </w:p>
    <w:p w14:paraId="0146AC54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Resultado real: la vista renderiza «Sí, es la misma instancia.» porque ambas resoluciones del contenedor son idénticas (===), y la prueba lo aserta contra el estado real del contenedor.</w:t>
      </w:r>
    </w:p>
    <w:p w14:paraId="44561D65">
      <w:pPr>
        <w:rPr>
          <w:rFonts w:hint="default" w:ascii="Arial" w:hAnsi="Arial" w:cs="Arial"/>
          <w:sz w:val="22"/>
          <w:szCs w:val="22"/>
        </w:rPr>
      </w:pPr>
    </w:p>
    <w:p w14:paraId="4832A1F1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  <w:lang w:val="es-CO"/>
        </w:rPr>
        <w:t>5</w:t>
      </w:r>
      <w:r>
        <w:rPr>
          <w:rFonts w:hint="default" w:ascii="Arial" w:hAnsi="Arial" w:cs="Arial"/>
          <w:b/>
          <w:bCs/>
          <w:sz w:val="22"/>
          <w:szCs w:val="22"/>
        </w:rPr>
        <w:t>. Diagrama UML (identificadores finales</w:t>
      </w:r>
      <w:r>
        <w:rPr>
          <w:rFonts w:hint="default" w:ascii="Arial" w:hAnsi="Arial" w:cs="Arial"/>
          <w:sz w:val="22"/>
          <w:szCs w:val="22"/>
        </w:rPr>
        <w:t>)</w:t>
      </w:r>
    </w:p>
    <w:p w14:paraId="279E926B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El diagrama usa exactamente los nombres finales del código: CatalogoTiposCuenta (interfaz), CatalogoTiposCuentaEstatico (implementación) y DefinicionTipoCuenta (objeto de valor inmutable), con el enlace singleton de AppServiceProvider.php:18.</w:t>
      </w:r>
    </w:p>
    <w:p w14:paraId="332C6646">
      <w:pPr>
        <w:jc w:val="center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drawing>
          <wp:inline distT="0" distB="0" distL="0" distR="0">
            <wp:extent cx="5791200" cy="3783965"/>
            <wp:effectExtent l="0" t="0" r="0" b="10795"/>
            <wp:docPr id="1" name="DiagramaUM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UML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7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F690">
      <w:pPr>
        <w:numPr>
          <w:ilvl w:val="0"/>
          <w:numId w:val="3"/>
        </w:numPr>
        <w:jc w:val="left"/>
        <w:rPr>
          <w:rFonts w:hint="default" w:ascii="Arial" w:hAnsi="Arial" w:cs="Arial"/>
          <w:sz w:val="22"/>
          <w:szCs w:val="22"/>
          <w:lang w:val="es-CO"/>
        </w:rPr>
      </w:pPr>
      <w:r>
        <w:rPr>
          <w:rFonts w:hint="default" w:ascii="Arial" w:hAnsi="Arial" w:cs="Arial"/>
          <w:sz w:val="22"/>
          <w:szCs w:val="22"/>
          <w:lang w:val="es-CO"/>
        </w:rPr>
        <w:t>Evidencia en el sistema</w:t>
      </w:r>
    </w:p>
    <w:p w14:paraId="6B8F143C">
      <w:pPr>
        <w:numPr>
          <w:numId w:val="0"/>
        </w:numPr>
        <w:jc w:val="left"/>
        <w:rPr>
          <w:rFonts w:hint="default" w:ascii="Arial" w:hAnsi="Arial" w:cs="Arial"/>
          <w:sz w:val="22"/>
          <w:szCs w:val="22"/>
          <w:lang w:val="es-CO"/>
        </w:rPr>
      </w:pPr>
    </w:p>
    <w:p w14:paraId="17B83F17">
      <w:pPr>
        <w:numPr>
          <w:numId w:val="0"/>
        </w:numPr>
        <w:jc w:val="left"/>
        <w:rPr>
          <w:rFonts w:hint="default" w:ascii="Arial" w:hAnsi="Arial" w:cs="Arial"/>
          <w:sz w:val="22"/>
          <w:szCs w:val="22"/>
          <w:lang w:val="es-CO"/>
        </w:rPr>
      </w:pPr>
      <w:r>
        <w:rPr>
          <w:rFonts w:hint="default" w:ascii="Arial" w:hAnsi="Arial" w:cs="Arial"/>
          <w:sz w:val="22"/>
          <w:szCs w:val="22"/>
          <w:lang w:val="es-CO"/>
        </w:rPr>
        <w:t>Se establecieron dos tipos de cuentas en el catalogo, en el cual se instanciaron desde el controlador y se evidencia en el imagen que al compararlas coinciden en la misma instancia.</w:t>
      </w:r>
      <w:bookmarkStart w:id="0" w:name="_GoBack"/>
      <w:bookmarkEnd w:id="0"/>
    </w:p>
    <w:p w14:paraId="7436548B">
      <w:pPr>
        <w:numPr>
          <w:numId w:val="0"/>
        </w:numPr>
        <w:jc w:val="both"/>
        <w:rPr>
          <w:rFonts w:hint="default" w:ascii="Arial" w:hAnsi="Arial" w:cs="Arial"/>
          <w:sz w:val="22"/>
          <w:szCs w:val="22"/>
          <w:lang w:val="es-CO"/>
        </w:rPr>
      </w:pPr>
    </w:p>
    <w:p w14:paraId="23D87218">
      <w:pPr>
        <w:numPr>
          <w:numId w:val="0"/>
        </w:numPr>
        <w:jc w:val="both"/>
        <w:rPr>
          <w:rFonts w:hint="default" w:ascii="Arial" w:hAnsi="Arial" w:cs="Arial"/>
          <w:sz w:val="22"/>
          <w:szCs w:val="22"/>
          <w:lang w:val="es-CO"/>
        </w:rPr>
      </w:pPr>
      <w:r>
        <w:drawing>
          <wp:inline distT="0" distB="0" distL="114300" distR="114300">
            <wp:extent cx="6117590" cy="3138805"/>
            <wp:effectExtent l="0" t="0" r="8890" b="635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13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134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D30776"/>
    <w:multiLevelType w:val="singleLevel"/>
    <w:tmpl w:val="88D3077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484053C"/>
    <w:multiLevelType w:val="multilevel"/>
    <w:tmpl w:val="2484053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F5CAFD9"/>
    <w:multiLevelType w:val="singleLevel"/>
    <w:tmpl w:val="3F5CAFD9"/>
    <w:lvl w:ilvl="0" w:tentative="0">
      <w:start w:val="6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142A4610"/>
    <w:rsid w:val="3D014B47"/>
    <w:rsid w:val="54D84DC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semiHidden/>
    <w:unhideWhenUsed/>
    <w:qFormat/>
    <w:uiPriority w:val="0"/>
    <w:pPr>
      <w:spacing w:beforeAutospacing="1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Sistema Bancario CORE</Company>
  <Pages>8</Pages>
  <Words>1205</Words>
  <Characters>9291</Characters>
  <TotalTime>2</TotalTime>
  <ScaleCrop>false</ScaleCrop>
  <LinksUpToDate>false</LinksUpToDate>
  <CharactersWithSpaces>11305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2026-08-30T00:00:00Z</dcterms:created>
  <dc:creator>Sistema Bancario CORE</dc:creator>
  <cp:lastModifiedBy>fredual guevara</cp:lastModifiedBy>
  <dcterms:modified xsi:type="dcterms:W3CDTF">2026-08-30T16:21:21Z</dcterms:modified>
  <dc:title>Evidencia del patrón Singleton — Catálogo de tipos de cuenta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eyJoZGlkIjoiNmNjZTM1MDFjMzExNDU2NzczODQ3N2YzYWY2MmYxMWEiLCJ1c2VySWQiOiIyMTk5MDI0NTI1NDM3In0=</vt:lpwstr>
  </property>
  <property fmtid="{D5CDD505-2E9C-101B-9397-08002B2CF9AE}" pid="3" name="KSOProductBuildVer">
    <vt:lpwstr>2058-12.1.0.28032</vt:lpwstr>
  </property>
  <property fmtid="{D5CDD505-2E9C-101B-9397-08002B2CF9AE}" pid="4" name="ICV">
    <vt:lpwstr>359D1C9DFE5A4D53B0969D0AAE65D8A6_12</vt:lpwstr>
  </property>
</Properties>
</file>