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AD149" w14:textId="77777777" w:rsidR="00807B8E" w:rsidRPr="00B54E6E" w:rsidRDefault="00411067">
      <w:pPr>
        <w:pStyle w:val="Heading1"/>
        <w:rPr>
          <w:sz w:val="48"/>
          <w:szCs w:val="48"/>
        </w:rPr>
      </w:pPr>
      <w:bookmarkStart w:id="0" w:name="queries-overview"/>
      <w:r w:rsidRPr="00B54E6E">
        <w:rPr>
          <w:sz w:val="48"/>
          <w:szCs w:val="48"/>
        </w:rPr>
        <w:t>Queries overview</w:t>
      </w:r>
    </w:p>
    <w:p w14:paraId="71ABB795" w14:textId="77777777" w:rsidR="00807B8E" w:rsidRDefault="00411067">
      <w:pPr>
        <w:pStyle w:val="FirstParagraph"/>
      </w:pPr>
      <w:r>
        <w:t xml:space="preserve">Workplace Analytics has a few different query options, including: </w:t>
      </w:r>
      <w:r>
        <w:rPr>
          <w:b/>
          <w:bCs/>
        </w:rPr>
        <w:t>Person</w:t>
      </w:r>
      <w:r>
        <w:t xml:space="preserve">, </w:t>
      </w:r>
      <w:r>
        <w:rPr>
          <w:b/>
          <w:bCs/>
        </w:rPr>
        <w:t>Meeting</w:t>
      </w:r>
      <w:r>
        <w:t xml:space="preserve">, </w:t>
      </w:r>
      <w:r>
        <w:rPr>
          <w:b/>
          <w:bCs/>
        </w:rPr>
        <w:t>Group-to-group</w:t>
      </w:r>
      <w:r>
        <w:t xml:space="preserve">, </w:t>
      </w:r>
      <w:r>
        <w:rPr>
          <w:b/>
          <w:bCs/>
        </w:rPr>
        <w:t>Person-to-group</w:t>
      </w:r>
      <w:r>
        <w:t xml:space="preserve">, </w:t>
      </w:r>
      <w:r>
        <w:rPr>
          <w:b/>
          <w:bCs/>
        </w:rPr>
        <w:t>Peer comparison</w:t>
      </w:r>
      <w:r>
        <w:t xml:space="preserve">, and </w:t>
      </w:r>
      <w:r>
        <w:rPr>
          <w:b/>
          <w:bCs/>
        </w:rPr>
        <w:t>Network queries</w:t>
      </w:r>
      <w:r>
        <w:t>. Eac</w:t>
      </w:r>
      <w:r>
        <w:t>h query type can help answer specific questions that you want to investigate. The different query types give you flexibility to look at data from multiple perspectives and generate powerful insights. You can also use the query types together to gain even m</w:t>
      </w:r>
      <w:r>
        <w:t>ore in-depth insights.</w:t>
      </w:r>
    </w:p>
    <w:p w14:paraId="63AEB5B4" w14:textId="77777777" w:rsidR="00807B8E" w:rsidRDefault="00411067">
      <w:pPr>
        <w:pStyle w:val="CaptionedFigure"/>
      </w:pPr>
      <w:r>
        <w:rPr>
          <w:noProof/>
        </w:rPr>
        <w:drawing>
          <wp:inline distT="0" distB="0" distL="0" distR="0" wp14:anchorId="09E0A721" wp14:editId="0A784D3F">
            <wp:extent cx="5334000" cy="3064982"/>
            <wp:effectExtent l="0" t="0" r="0" b="0"/>
            <wp:docPr id="1" name="Picture" descr="Ways to query data"/>
            <wp:cNvGraphicFramePr/>
            <a:graphic xmlns:a="http://schemas.openxmlformats.org/drawingml/2006/main">
              <a:graphicData uri="http://schemas.openxmlformats.org/drawingml/2006/picture">
                <pic:pic xmlns:pic="http://schemas.openxmlformats.org/drawingml/2006/picture">
                  <pic:nvPicPr>
                    <pic:cNvPr id="0" name="Picture" descr="../Images/WpA/Use/ways-to-query-data.png"/>
                    <pic:cNvPicPr>
                      <a:picLocks noChangeAspect="1" noChangeArrowheads="1"/>
                    </pic:cNvPicPr>
                  </pic:nvPicPr>
                  <pic:blipFill>
                    <a:blip r:embed="rId7"/>
                    <a:stretch>
                      <a:fillRect/>
                    </a:stretch>
                  </pic:blipFill>
                  <pic:spPr bwMode="auto">
                    <a:xfrm>
                      <a:off x="0" y="0"/>
                      <a:ext cx="5334000" cy="3064982"/>
                    </a:xfrm>
                    <a:prstGeom prst="rect">
                      <a:avLst/>
                    </a:prstGeom>
                    <a:noFill/>
                    <a:ln w="9525">
                      <a:noFill/>
                      <a:headEnd/>
                      <a:tailEnd/>
                    </a:ln>
                  </pic:spPr>
                </pic:pic>
              </a:graphicData>
            </a:graphic>
          </wp:inline>
        </w:drawing>
      </w:r>
    </w:p>
    <w:p w14:paraId="308380E1" w14:textId="77777777" w:rsidR="00807B8E" w:rsidRDefault="00411067">
      <w:pPr>
        <w:pStyle w:val="BodyText"/>
      </w:pPr>
      <w:r>
        <w:t>With these queries, you can:</w:t>
      </w:r>
    </w:p>
    <w:p w14:paraId="3FF3F4CE" w14:textId="77777777" w:rsidR="00807B8E" w:rsidRDefault="00411067">
      <w:pPr>
        <w:pStyle w:val="Compact"/>
        <w:numPr>
          <w:ilvl w:val="0"/>
          <w:numId w:val="2"/>
        </w:numPr>
      </w:pPr>
      <w:r>
        <w:t>Select as many or as few metrics as you need, for any population or time range.</w:t>
      </w:r>
    </w:p>
    <w:p w14:paraId="0D035E1A" w14:textId="77777777" w:rsidR="00807B8E" w:rsidRDefault="00411067">
      <w:pPr>
        <w:pStyle w:val="Compact"/>
        <w:numPr>
          <w:ilvl w:val="0"/>
          <w:numId w:val="2"/>
        </w:numPr>
      </w:pPr>
      <w:r>
        <w:t>Customize metrics with a broad range of interaction details.</w:t>
      </w:r>
    </w:p>
    <w:p w14:paraId="553DC810" w14:textId="77777777" w:rsidR="00807B8E" w:rsidRDefault="00411067">
      <w:pPr>
        <w:pStyle w:val="Compact"/>
        <w:numPr>
          <w:ilvl w:val="0"/>
          <w:numId w:val="2"/>
        </w:numPr>
      </w:pPr>
      <w:r>
        <w:t>Get your data in a clean and easy-to-use f</w:t>
      </w:r>
      <w:r>
        <w:t>ormat that can take your analysis to the next level.</w:t>
      </w:r>
    </w:p>
    <w:p w14:paraId="3E30E5A1" w14:textId="77777777" w:rsidR="00807B8E" w:rsidRDefault="00411067">
      <w:pPr>
        <w:pStyle w:val="Heading2"/>
      </w:pPr>
      <w:bookmarkStart w:id="1" w:name="time-limit-for-querying-data"/>
      <w:r>
        <w:t>Time limit for querying data</w:t>
      </w:r>
    </w:p>
    <w:p w14:paraId="74E626D4" w14:textId="77777777" w:rsidR="00807B8E" w:rsidRDefault="00411067">
      <w:pPr>
        <w:pStyle w:val="FirstParagraph"/>
      </w:pPr>
      <w:r>
        <w:t xml:space="preserve">The historical data on which queries are run is time limited: You can run queries only on data that is no older than 27 months. This 27-month period is a </w:t>
      </w:r>
      <w:r>
        <w:rPr>
          <w:i/>
          <w:iCs/>
        </w:rPr>
        <w:t>rolling window</w:t>
      </w:r>
      <w:r>
        <w:t>. This</w:t>
      </w:r>
      <w:r>
        <w:t xml:space="preserve"> means that— after you have 27 months of data—as </w:t>
      </w:r>
      <w:hyperlink r:id="rId8">
        <w:r>
          <w:rPr>
            <w:rStyle w:val="Hyperlink"/>
          </w:rPr>
          <w:t>Microsoft 365 data</w:t>
        </w:r>
      </w:hyperlink>
      <w:r>
        <w:t xml:space="preserve"> is refreshed each week, the 27-month extent of data that you can query advances by one week to include the preceding 27 months.</w:t>
      </w:r>
    </w:p>
    <w:p w14:paraId="3C6C8EF3" w14:textId="77777777" w:rsidR="00807B8E" w:rsidRDefault="00411067">
      <w:pPr>
        <w:pStyle w:val="BodyText"/>
      </w:pPr>
      <w:r>
        <w:t xml:space="preserve">The results of </w:t>
      </w:r>
      <w:r>
        <w:t>any queries that you’ve already run remain available to you, even after the data that was queried to produce those results passes the 27-month limit.</w:t>
      </w:r>
    </w:p>
    <w:p w14:paraId="2BB4C48A" w14:textId="77777777" w:rsidR="00807B8E" w:rsidRDefault="00411067">
      <w:pPr>
        <w:pStyle w:val="Heading2"/>
      </w:pPr>
      <w:bookmarkStart w:id="2" w:name="billing-model-differences"/>
      <w:bookmarkEnd w:id="1"/>
      <w:r w:rsidRPr="00B54E6E">
        <w:rPr>
          <w:highlight w:val="yellow"/>
        </w:rPr>
        <w:lastRenderedPageBreak/>
        <w:t xml:space="preserve">Billing model </w:t>
      </w:r>
      <w:commentRangeStart w:id="3"/>
      <w:r w:rsidRPr="00B54E6E">
        <w:rPr>
          <w:highlight w:val="yellow"/>
        </w:rPr>
        <w:t>differences</w:t>
      </w:r>
      <w:commentRangeEnd w:id="3"/>
      <w:r w:rsidR="00B54E6E">
        <w:rPr>
          <w:rStyle w:val="CommentReference"/>
          <w:rFonts w:asciiTheme="minorHAnsi" w:eastAsiaTheme="minorHAnsi" w:hAnsiTheme="minorHAnsi" w:cstheme="minorBidi"/>
          <w:b w:val="0"/>
          <w:bCs w:val="0"/>
          <w:color w:val="auto"/>
        </w:rPr>
        <w:commentReference w:id="3"/>
      </w:r>
    </w:p>
    <w:p w14:paraId="50E4A7D1" w14:textId="77777777" w:rsidR="00807B8E" w:rsidRDefault="00411067">
      <w:pPr>
        <w:pStyle w:val="FirstParagraph"/>
      </w:pPr>
      <w:r>
        <w:t>Tenants subscribe to Workplace Analytics through one of the following billing mo</w:t>
      </w:r>
      <w:r>
        <w:t>dels:</w:t>
      </w:r>
    </w:p>
    <w:p w14:paraId="6F06D3EA" w14:textId="77777777" w:rsidR="00807B8E" w:rsidRDefault="00411067">
      <w:pPr>
        <w:pStyle w:val="Compact"/>
        <w:numPr>
          <w:ilvl w:val="0"/>
          <w:numId w:val="3"/>
        </w:numPr>
      </w:pPr>
      <w:r>
        <w:rPr>
          <w:b/>
          <w:bCs/>
        </w:rPr>
        <w:t>Consumption model</w:t>
      </w:r>
      <w:r>
        <w:t xml:space="preserve"> – The tenant pays Microsoft a fee that is based on the volume of query usage.</w:t>
      </w:r>
    </w:p>
    <w:p w14:paraId="73FCB3C9" w14:textId="77777777" w:rsidR="00807B8E" w:rsidRDefault="00411067">
      <w:pPr>
        <w:pStyle w:val="Compact"/>
        <w:numPr>
          <w:ilvl w:val="0"/>
          <w:numId w:val="3"/>
        </w:numPr>
      </w:pPr>
      <w:r>
        <w:rPr>
          <w:b/>
          <w:bCs/>
        </w:rPr>
        <w:t>Per-user-per-month (PUPM) model</w:t>
      </w:r>
      <w:r>
        <w:t xml:space="preserve"> – The tenant pays Microsoft a monthly fee that is based on the number of licensed users.</w:t>
      </w:r>
    </w:p>
    <w:p w14:paraId="408A28EB" w14:textId="77777777" w:rsidR="00807B8E" w:rsidRDefault="00411067">
      <w:pPr>
        <w:pStyle w:val="FirstParagraph"/>
      </w:pPr>
      <w:r>
        <w:t>Your tenant’s choice of billing m</w:t>
      </w:r>
      <w:r>
        <w:t xml:space="preserve">odel affects the page for creating </w:t>
      </w:r>
      <w:hyperlink r:id="rId13">
        <w:r>
          <w:rPr>
            <w:rStyle w:val="Hyperlink"/>
          </w:rPr>
          <w:t>person queries</w:t>
        </w:r>
      </w:hyperlink>
      <w:r>
        <w:t>. Analysts will see the following differences:</w:t>
      </w:r>
    </w:p>
    <w:p w14:paraId="0F50A5CD" w14:textId="77777777" w:rsidR="00807B8E" w:rsidRDefault="00411067">
      <w:pPr>
        <w:pStyle w:val="Heading3"/>
      </w:pPr>
      <w:bookmarkStart w:id="4" w:name="Xc52895be261cb77f14d75239e1c66431f016ad5"/>
      <w:r>
        <w:t>For analysts in consumption-model tenants</w:t>
      </w:r>
    </w:p>
    <w:p w14:paraId="23F56890" w14:textId="77777777" w:rsidR="00807B8E" w:rsidRDefault="00411067">
      <w:pPr>
        <w:pStyle w:val="FirstParagraph"/>
      </w:pPr>
      <w:r>
        <w:t xml:space="preserve">In this model, there is no minimum monthly licensing cost for your organization; </w:t>
      </w:r>
      <w:r>
        <w:t>rather, all fees are based on the running of queries. Each query that you run consumes a number of “units,” based on the following factors: the number of measured employees being analyzed, the number of weeks of data included in the query output for each m</w:t>
      </w:r>
      <w:r>
        <w:t xml:space="preserve">easured employee, the number of base metrics in the query, and which base metrics are used. (Metrics are arranged into “price tiers”; metrics in higher price tiers consume more units than metrics in lower price tiers. For more information, see </w:t>
      </w:r>
      <w:hyperlink w:anchor="consumption-model-details">
        <w:r>
          <w:rPr>
            <w:rStyle w:val="Hyperlink"/>
          </w:rPr>
          <w:t>Consumption model details</w:t>
        </w:r>
      </w:hyperlink>
      <w:r>
        <w:t>.)</w:t>
      </w:r>
    </w:p>
    <w:p w14:paraId="18B933E8" w14:textId="77777777" w:rsidR="00807B8E" w:rsidRDefault="00411067">
      <w:pPr>
        <w:pStyle w:val="BodyText"/>
      </w:pPr>
      <w:r>
        <w:t>As you design a query, Workplace Analytics uses these factors to calculate the cost of the query. Within the query editor, you can see the estimated number of units that the query – in its cur</w:t>
      </w:r>
      <w:r>
        <w:t>rent state – would consume. This number is updated as you edit the query:</w:t>
      </w:r>
    </w:p>
    <w:p w14:paraId="14090BB9" w14:textId="77777777" w:rsidR="00807B8E" w:rsidRDefault="00411067">
      <w:pPr>
        <w:pStyle w:val="CaptionedFigure"/>
      </w:pPr>
      <w:r>
        <w:rPr>
          <w:noProof/>
        </w:rPr>
        <w:drawing>
          <wp:inline distT="0" distB="0" distL="0" distR="0" wp14:anchorId="44381C77" wp14:editId="37A8CC02">
            <wp:extent cx="5334000" cy="989436"/>
            <wp:effectExtent l="0" t="0" r="0" b="0"/>
            <wp:docPr id="2" name="Picture" descr="units per query"/>
            <wp:cNvGraphicFramePr/>
            <a:graphic xmlns:a="http://schemas.openxmlformats.org/drawingml/2006/main">
              <a:graphicData uri="http://schemas.openxmlformats.org/drawingml/2006/picture">
                <pic:pic xmlns:pic="http://schemas.openxmlformats.org/drawingml/2006/picture">
                  <pic:nvPicPr>
                    <pic:cNvPr id="0" name="Picture" descr="../images/wpa/tutorials/conmod-credits-3.png"/>
                    <pic:cNvPicPr>
                      <a:picLocks noChangeAspect="1" noChangeArrowheads="1"/>
                    </pic:cNvPicPr>
                  </pic:nvPicPr>
                  <pic:blipFill>
                    <a:blip r:embed="rId14"/>
                    <a:stretch>
                      <a:fillRect/>
                    </a:stretch>
                  </pic:blipFill>
                  <pic:spPr bwMode="auto">
                    <a:xfrm>
                      <a:off x="0" y="0"/>
                      <a:ext cx="5334000" cy="989436"/>
                    </a:xfrm>
                    <a:prstGeom prst="rect">
                      <a:avLst/>
                    </a:prstGeom>
                    <a:noFill/>
                    <a:ln w="9525">
                      <a:noFill/>
                      <a:headEnd/>
                      <a:tailEnd/>
                    </a:ln>
                  </pic:spPr>
                </pic:pic>
              </a:graphicData>
            </a:graphic>
          </wp:inline>
        </w:drawing>
      </w:r>
    </w:p>
    <w:p w14:paraId="174D5C48" w14:textId="77777777" w:rsidR="00807B8E" w:rsidRDefault="00411067">
      <w:pPr>
        <w:pStyle w:val="Heading4"/>
      </w:pPr>
      <w:bookmarkStart w:id="5" w:name="consumption-model-details"/>
      <w:r>
        <w:t>Consumption model details</w:t>
      </w:r>
    </w:p>
    <w:p w14:paraId="0DD9F879" w14:textId="77777777" w:rsidR="00807B8E" w:rsidRDefault="00411067">
      <w:pPr>
        <w:pStyle w:val="FirstParagraph"/>
      </w:pPr>
      <w:r>
        <w:t>In a consumption-model tenant, queries consume “units” as they are run. Usage calculation is as follows:</w:t>
      </w:r>
    </w:p>
    <w:p w14:paraId="7E1DE3EA" w14:textId="77777777" w:rsidR="00807B8E" w:rsidRDefault="00411067">
      <w:pPr>
        <w:pStyle w:val="BodyText"/>
      </w:pPr>
      <w:r>
        <w:rPr>
          <w:b/>
          <w:bCs/>
        </w:rPr>
        <w:t>units consumed</w:t>
      </w:r>
      <w:r>
        <w:t xml:space="preserve"> = </w:t>
      </w:r>
      <w:r>
        <w:rPr>
          <w:b/>
          <w:bCs/>
        </w:rPr>
        <w:t>A</w:t>
      </w:r>
      <w:r>
        <w:t xml:space="preserve"> * </w:t>
      </w:r>
      <w:r>
        <w:rPr>
          <w:b/>
          <w:bCs/>
        </w:rPr>
        <w:t>B</w:t>
      </w:r>
      <w:r>
        <w:t xml:space="preserve"> * </w:t>
      </w:r>
      <w:r>
        <w:rPr>
          <w:b/>
          <w:bCs/>
        </w:rPr>
        <w:t>C</w:t>
      </w:r>
      <w:r>
        <w:t xml:space="preserve"> * </w:t>
      </w:r>
      <w:r>
        <w:rPr>
          <w:b/>
          <w:bCs/>
        </w:rPr>
        <w:t>D</w:t>
      </w:r>
    </w:p>
    <w:p w14:paraId="5BBD7D6B" w14:textId="77777777" w:rsidR="00807B8E" w:rsidRDefault="00411067">
      <w:pPr>
        <w:pStyle w:val="BodyText"/>
      </w:pPr>
      <w:r>
        <w:t>The terms in this formula are as follows:</w:t>
      </w:r>
    </w:p>
    <w:p w14:paraId="0F8163FD" w14:textId="77777777" w:rsidR="00807B8E" w:rsidRDefault="00411067">
      <w:pPr>
        <w:numPr>
          <w:ilvl w:val="0"/>
          <w:numId w:val="4"/>
        </w:numPr>
      </w:pPr>
      <w:r>
        <w:rPr>
          <w:b/>
          <w:bCs/>
        </w:rPr>
        <w:t>A = users</w:t>
      </w:r>
    </w:p>
    <w:p w14:paraId="71E5ACE2" w14:textId="77777777" w:rsidR="00807B8E" w:rsidRDefault="00411067">
      <w:pPr>
        <w:numPr>
          <w:ilvl w:val="0"/>
          <w:numId w:val="1"/>
        </w:numPr>
      </w:pPr>
      <w:r>
        <w:t>This is the number of users whom the query will analyze.</w:t>
      </w:r>
    </w:p>
    <w:p w14:paraId="1326615A" w14:textId="77777777" w:rsidR="00807B8E" w:rsidRDefault="00411067">
      <w:pPr>
        <w:numPr>
          <w:ilvl w:val="0"/>
          <w:numId w:val="4"/>
        </w:numPr>
      </w:pPr>
      <w:r>
        <w:rPr>
          <w:b/>
          <w:bCs/>
        </w:rPr>
        <w:t>B = metrics</w:t>
      </w:r>
    </w:p>
    <w:p w14:paraId="427167ED" w14:textId="77777777" w:rsidR="00807B8E" w:rsidRDefault="00411067">
      <w:pPr>
        <w:numPr>
          <w:ilvl w:val="0"/>
          <w:numId w:val="1"/>
        </w:numPr>
      </w:pPr>
      <w:r>
        <w:t>This is the number of unique base metrics that are used at each price tier in the query. If the query includes more than one customizat</w:t>
      </w:r>
      <w:r>
        <w:t>ion of one base metric, it counts as only a single use of that metric.</w:t>
      </w:r>
    </w:p>
    <w:p w14:paraId="13ACCBB6" w14:textId="77777777" w:rsidR="00807B8E" w:rsidRDefault="00411067">
      <w:pPr>
        <w:numPr>
          <w:ilvl w:val="0"/>
          <w:numId w:val="1"/>
        </w:numPr>
      </w:pPr>
      <w:r>
        <w:lastRenderedPageBreak/>
        <w:t>Example: If a query measures Meeting hours between 8:00 and 9:00 AM and Meeting hours between 9:00 and 10:00 AM, this counts as only a single metric, Meeting hours.</w:t>
      </w:r>
    </w:p>
    <w:p w14:paraId="670FCC12" w14:textId="77777777" w:rsidR="00807B8E" w:rsidRDefault="00411067">
      <w:pPr>
        <w:numPr>
          <w:ilvl w:val="0"/>
          <w:numId w:val="1"/>
        </w:numPr>
      </w:pPr>
      <w:r>
        <w:t>A “price tier” is as</w:t>
      </w:r>
      <w:r>
        <w:t>sociated with each metric, as described in the following item.</w:t>
      </w:r>
    </w:p>
    <w:p w14:paraId="6414CF44" w14:textId="77777777" w:rsidR="00807B8E" w:rsidRDefault="00411067">
      <w:pPr>
        <w:numPr>
          <w:ilvl w:val="0"/>
          <w:numId w:val="4"/>
        </w:numPr>
      </w:pPr>
      <w:r>
        <w:rPr>
          <w:b/>
          <w:bCs/>
        </w:rPr>
        <w:t>C = price-tier cost</w:t>
      </w:r>
    </w:p>
    <w:p w14:paraId="0D603FCB" w14:textId="77777777" w:rsidR="00807B8E" w:rsidRDefault="00411067">
      <w:pPr>
        <w:numPr>
          <w:ilvl w:val="0"/>
          <w:numId w:val="1"/>
        </w:numPr>
      </w:pPr>
      <w:r>
        <w:t>This is the cost of the price tier that is in use for a metric in the query. A query consumes units at this rate. The higher the tier, the more units are consumed:</w:t>
      </w:r>
    </w:p>
    <w:tbl>
      <w:tblPr>
        <w:tblStyle w:val="Table"/>
        <w:tblW w:w="4521" w:type="pct"/>
        <w:tblInd w:w="918" w:type="dxa"/>
        <w:tblLook w:val="0020" w:firstRow="1" w:lastRow="0" w:firstColumn="0" w:lastColumn="0" w:noHBand="0" w:noVBand="0"/>
      </w:tblPr>
      <w:tblGrid>
        <w:gridCol w:w="1602"/>
        <w:gridCol w:w="5340"/>
        <w:gridCol w:w="1717"/>
      </w:tblGrid>
      <w:tr w:rsidR="00807B8E" w14:paraId="0A62B767" w14:textId="77777777" w:rsidTr="00B54E6E">
        <w:trPr>
          <w:cnfStyle w:val="100000000000" w:firstRow="1" w:lastRow="0" w:firstColumn="0" w:lastColumn="0" w:oddVBand="0" w:evenVBand="0" w:oddHBand="0" w:evenHBand="0" w:firstRowFirstColumn="0" w:firstRowLastColumn="0" w:lastRowFirstColumn="0" w:lastRowLastColumn="0"/>
        </w:trPr>
        <w:tc>
          <w:tcPr>
            <w:tcW w:w="395" w:type="pct"/>
          </w:tcPr>
          <w:p w14:paraId="407C0B4A" w14:textId="77777777" w:rsidR="00807B8E" w:rsidRDefault="00411067">
            <w:pPr>
              <w:pStyle w:val="Compact"/>
              <w:numPr>
                <w:ilvl w:val="0"/>
                <w:numId w:val="1"/>
              </w:numPr>
            </w:pPr>
            <w:r>
              <w:t>Tier</w:t>
            </w:r>
          </w:p>
        </w:tc>
        <w:tc>
          <w:tcPr>
            <w:tcW w:w="0" w:type="auto"/>
          </w:tcPr>
          <w:p w14:paraId="71C9E6BA" w14:textId="77777777" w:rsidR="00807B8E" w:rsidRDefault="00411067">
            <w:pPr>
              <w:pStyle w:val="Compact"/>
              <w:numPr>
                <w:ilvl w:val="0"/>
                <w:numId w:val="1"/>
              </w:numPr>
            </w:pPr>
            <w:r>
              <w:t>Metr</w:t>
            </w:r>
            <w:r>
              <w:t>ic used in the query</w:t>
            </w:r>
          </w:p>
        </w:tc>
        <w:tc>
          <w:tcPr>
            <w:tcW w:w="0" w:type="auto"/>
          </w:tcPr>
          <w:p w14:paraId="69A56D65" w14:textId="77777777" w:rsidR="00807B8E" w:rsidRDefault="00411067">
            <w:pPr>
              <w:pStyle w:val="Compact"/>
              <w:numPr>
                <w:ilvl w:val="0"/>
                <w:numId w:val="1"/>
              </w:numPr>
            </w:pPr>
            <w:r>
              <w:t>Units</w:t>
            </w:r>
          </w:p>
        </w:tc>
      </w:tr>
      <w:tr w:rsidR="00807B8E" w14:paraId="2DF65D84" w14:textId="77777777" w:rsidTr="00B54E6E">
        <w:tc>
          <w:tcPr>
            <w:tcW w:w="395" w:type="pct"/>
          </w:tcPr>
          <w:p w14:paraId="082299A0" w14:textId="77777777" w:rsidR="00807B8E" w:rsidRDefault="00411067">
            <w:pPr>
              <w:pStyle w:val="Compact"/>
              <w:numPr>
                <w:ilvl w:val="0"/>
                <w:numId w:val="1"/>
              </w:numPr>
            </w:pPr>
            <w:r>
              <w:t> </w:t>
            </w:r>
            <w:r>
              <w:t>1 </w:t>
            </w:r>
          </w:p>
        </w:tc>
        <w:tc>
          <w:tcPr>
            <w:tcW w:w="0" w:type="auto"/>
          </w:tcPr>
          <w:p w14:paraId="326C533C" w14:textId="77777777" w:rsidR="00807B8E" w:rsidRDefault="00411067">
            <w:pPr>
              <w:pStyle w:val="Compact"/>
              <w:numPr>
                <w:ilvl w:val="0"/>
                <w:numId w:val="1"/>
              </w:numPr>
            </w:pPr>
            <w:r>
              <w:t>Most Workplace Analytics metrics – for example, collaboration hours, internal network size, low quality meeting hours, and 65 other basic metrics</w:t>
            </w:r>
          </w:p>
        </w:tc>
        <w:tc>
          <w:tcPr>
            <w:tcW w:w="0" w:type="auto"/>
          </w:tcPr>
          <w:p w14:paraId="00C202E9" w14:textId="77777777" w:rsidR="00807B8E" w:rsidRDefault="00411067">
            <w:pPr>
              <w:pStyle w:val="Compact"/>
              <w:numPr>
                <w:ilvl w:val="0"/>
                <w:numId w:val="1"/>
              </w:numPr>
            </w:pPr>
            <w:r>
              <w:t>1.25</w:t>
            </w:r>
          </w:p>
        </w:tc>
      </w:tr>
      <w:tr w:rsidR="00807B8E" w14:paraId="3BBD39BA" w14:textId="77777777" w:rsidTr="00B54E6E">
        <w:tc>
          <w:tcPr>
            <w:tcW w:w="395" w:type="pct"/>
          </w:tcPr>
          <w:p w14:paraId="5F6E659F" w14:textId="77777777" w:rsidR="00807B8E" w:rsidRDefault="00411067">
            <w:pPr>
              <w:pStyle w:val="Compact"/>
              <w:numPr>
                <w:ilvl w:val="0"/>
                <w:numId w:val="1"/>
              </w:numPr>
            </w:pPr>
            <w:r>
              <w:t>2 </w:t>
            </w:r>
          </w:p>
        </w:tc>
        <w:tc>
          <w:tcPr>
            <w:tcW w:w="0" w:type="auto"/>
          </w:tcPr>
          <w:p w14:paraId="293D73D8" w14:textId="77777777" w:rsidR="00807B8E" w:rsidRDefault="00411067">
            <w:pPr>
              <w:pStyle w:val="Compact"/>
              <w:numPr>
                <w:ilvl w:val="0"/>
                <w:numId w:val="1"/>
              </w:numPr>
            </w:pPr>
            <w:r>
              <w:t xml:space="preserve">Advanced Workplace Analytics metrics – specifically, the </w:t>
            </w:r>
            <w:hyperlink r:id="rId15" w:anchor="organizational-network-analysis-ona-metrics">
              <w:r>
                <w:rPr>
                  <w:rStyle w:val="Hyperlink"/>
                </w:rPr>
                <w:t>Network metrics</w:t>
              </w:r>
            </w:hyperlink>
            <w:r>
              <w:t xml:space="preserve"> of Workplace Analytics.</w:t>
            </w:r>
          </w:p>
        </w:tc>
        <w:tc>
          <w:tcPr>
            <w:tcW w:w="0" w:type="auto"/>
          </w:tcPr>
          <w:p w14:paraId="3591F6FE" w14:textId="77777777" w:rsidR="00807B8E" w:rsidRDefault="00411067">
            <w:pPr>
              <w:pStyle w:val="Compact"/>
              <w:numPr>
                <w:ilvl w:val="0"/>
                <w:numId w:val="1"/>
              </w:numPr>
            </w:pPr>
            <w:r>
              <w:t>2.25</w:t>
            </w:r>
          </w:p>
        </w:tc>
      </w:tr>
      <w:tr w:rsidR="00807B8E" w14:paraId="5F5E5286" w14:textId="77777777" w:rsidTr="00B54E6E">
        <w:tc>
          <w:tcPr>
            <w:tcW w:w="395" w:type="pct"/>
          </w:tcPr>
          <w:p w14:paraId="655C6B09" w14:textId="77777777" w:rsidR="00807B8E" w:rsidRDefault="00411067">
            <w:pPr>
              <w:pStyle w:val="Compact"/>
              <w:numPr>
                <w:ilvl w:val="0"/>
                <w:numId w:val="1"/>
              </w:numPr>
            </w:pPr>
            <w:r>
              <w:t>3 </w:t>
            </w:r>
          </w:p>
        </w:tc>
        <w:tc>
          <w:tcPr>
            <w:tcW w:w="0" w:type="auto"/>
          </w:tcPr>
          <w:p w14:paraId="258329A3" w14:textId="77777777" w:rsidR="00807B8E" w:rsidRDefault="00411067">
            <w:pPr>
              <w:pStyle w:val="Compact"/>
              <w:numPr>
                <w:ilvl w:val="0"/>
                <w:numId w:val="1"/>
              </w:numPr>
            </w:pPr>
            <w:r>
              <w:t xml:space="preserve">Workplace Analytics metrics with </w:t>
            </w:r>
            <w:hyperlink r:id="rId16">
              <w:r>
                <w:rPr>
                  <w:rStyle w:val="Hyperlink"/>
                </w:rPr>
                <w:t>CRM data</w:t>
              </w:r>
            </w:hyperlink>
            <w:r>
              <w:t> –</w:t>
            </w:r>
            <w:r>
              <w:t xml:space="preserve"> namely, external-facing metrics that calculate across CRM contacts. If you use CRM attributes to create filter customizations for a metric (for example, the Meeting hours metric where at least one attendee has </w:t>
            </w:r>
            <w:r>
              <w:rPr>
                <w:i/>
                <w:iCs/>
              </w:rPr>
              <w:t>AccountName</w:t>
            </w:r>
            <w:r>
              <w:t xml:space="preserve"> = </w:t>
            </w:r>
            <w:r>
              <w:rPr>
                <w:i/>
                <w:iCs/>
              </w:rPr>
              <w:t>Contoso</w:t>
            </w:r>
            <w:r>
              <w:t>), the metric is in ti</w:t>
            </w:r>
            <w:r>
              <w:t>er 3. If a single metric has more than one customization and at least one of them uses a CRM attribute, the metric is in tier 3.</w:t>
            </w:r>
          </w:p>
        </w:tc>
        <w:tc>
          <w:tcPr>
            <w:tcW w:w="0" w:type="auto"/>
          </w:tcPr>
          <w:p w14:paraId="33E1253D" w14:textId="77777777" w:rsidR="00807B8E" w:rsidRDefault="00411067">
            <w:pPr>
              <w:pStyle w:val="Compact"/>
              <w:numPr>
                <w:ilvl w:val="0"/>
                <w:numId w:val="1"/>
              </w:numPr>
            </w:pPr>
            <w:r>
              <w:t>6.00</w:t>
            </w:r>
          </w:p>
        </w:tc>
      </w:tr>
    </w:tbl>
    <w:p w14:paraId="4090D5D1" w14:textId="77777777" w:rsidR="00807B8E" w:rsidRDefault="00411067">
      <w:pPr>
        <w:pStyle w:val="BlockText"/>
        <w:numPr>
          <w:ilvl w:val="0"/>
          <w:numId w:val="1"/>
        </w:numPr>
      </w:pPr>
      <w:r>
        <w:t>[!Note] If you use metrics at multiple price tiers, a subtotal is calculated for each metric and then all subtotals are a</w:t>
      </w:r>
      <w:r>
        <w:t xml:space="preserve">dded together. For example, if your query uses one metric in each of two price tiers, the total number of units consumed is </w:t>
      </w:r>
      <w:r>
        <w:rPr>
          <w:b/>
          <w:bCs/>
        </w:rPr>
        <w:t>A</w:t>
      </w:r>
      <w:r>
        <w:t xml:space="preserve"> * </w:t>
      </w:r>
      <w:r>
        <w:rPr>
          <w:b/>
          <w:bCs/>
        </w:rPr>
        <w:t>B</w:t>
      </w:r>
      <w:r>
        <w:t xml:space="preserve"> * </w:t>
      </w:r>
      <w:r>
        <w:rPr>
          <w:b/>
          <w:bCs/>
        </w:rPr>
        <w:t>C</w:t>
      </w:r>
      <w:r>
        <w:t xml:space="preserve"> * </w:t>
      </w:r>
      <w:r>
        <w:rPr>
          <w:b/>
          <w:bCs/>
        </w:rPr>
        <w:t>D</w:t>
      </w:r>
      <w:r>
        <w:t xml:space="preserve"> (for the metric on price tier 1) + </w:t>
      </w:r>
      <w:r>
        <w:rPr>
          <w:b/>
          <w:bCs/>
        </w:rPr>
        <w:t>A</w:t>
      </w:r>
      <w:r>
        <w:t xml:space="preserve"> * </w:t>
      </w:r>
      <w:r>
        <w:rPr>
          <w:b/>
          <w:bCs/>
        </w:rPr>
        <w:t>B</w:t>
      </w:r>
      <w:r>
        <w:t xml:space="preserve"> * </w:t>
      </w:r>
      <w:r>
        <w:rPr>
          <w:b/>
          <w:bCs/>
        </w:rPr>
        <w:t>C</w:t>
      </w:r>
      <w:r>
        <w:t xml:space="preserve"> * </w:t>
      </w:r>
      <w:r>
        <w:rPr>
          <w:b/>
          <w:bCs/>
        </w:rPr>
        <w:t>D</w:t>
      </w:r>
      <w:r>
        <w:t xml:space="preserve"> (for the metric on price tier 2)</w:t>
      </w:r>
    </w:p>
    <w:p w14:paraId="0F67856D" w14:textId="77777777" w:rsidR="00807B8E" w:rsidRDefault="00411067">
      <w:pPr>
        <w:numPr>
          <w:ilvl w:val="0"/>
          <w:numId w:val="4"/>
        </w:numPr>
      </w:pPr>
      <w:r>
        <w:rPr>
          <w:b/>
          <w:bCs/>
        </w:rPr>
        <w:t>D = weeks</w:t>
      </w:r>
    </w:p>
    <w:p w14:paraId="1176598D" w14:textId="77777777" w:rsidR="00807B8E" w:rsidRDefault="00411067">
      <w:pPr>
        <w:numPr>
          <w:ilvl w:val="0"/>
          <w:numId w:val="1"/>
        </w:numPr>
      </w:pPr>
      <w:r>
        <w:t>This is the analysis perio</w:t>
      </w:r>
      <w:r>
        <w:t>d, in weeks.</w:t>
      </w:r>
    </w:p>
    <w:p w14:paraId="04563D7C" w14:textId="77777777" w:rsidR="00807B8E" w:rsidRDefault="00411067">
      <w:pPr>
        <w:pStyle w:val="Heading5"/>
      </w:pPr>
      <w:bookmarkStart w:id="6" w:name="see-the-usage-calculation-for-the-query"/>
      <w:r>
        <w:t>See the usage calculation for the query</w:t>
      </w:r>
    </w:p>
    <w:p w14:paraId="7B81678E" w14:textId="77777777" w:rsidR="00807B8E" w:rsidRDefault="00411067">
      <w:pPr>
        <w:pStyle w:val="FirstParagraph"/>
      </w:pPr>
      <w:r>
        <w:t>On the query page, you can see how units are calculated for the query that you are defining. To see this, select the tooltip:</w:t>
      </w:r>
    </w:p>
    <w:p w14:paraId="2E6EA48E" w14:textId="77777777" w:rsidR="00807B8E" w:rsidRDefault="00411067">
      <w:pPr>
        <w:pStyle w:val="CaptionedFigure"/>
      </w:pPr>
      <w:r>
        <w:rPr>
          <w:noProof/>
        </w:rPr>
        <w:lastRenderedPageBreak/>
        <w:drawing>
          <wp:inline distT="0" distB="0" distL="0" distR="0" wp14:anchorId="61A74D34" wp14:editId="6A49B3FB">
            <wp:extent cx="5334000" cy="424831"/>
            <wp:effectExtent l="0" t="0" r="0" b="0"/>
            <wp:docPr id="3" name="Picture" descr="query cost tooltip"/>
            <wp:cNvGraphicFramePr/>
            <a:graphic xmlns:a="http://schemas.openxmlformats.org/drawingml/2006/main">
              <a:graphicData uri="http://schemas.openxmlformats.org/drawingml/2006/picture">
                <pic:pic xmlns:pic="http://schemas.openxmlformats.org/drawingml/2006/picture">
                  <pic:nvPicPr>
                    <pic:cNvPr id="0" name="Picture" descr="../images/wpa/tutorials/estimated-query-cost-tooltip.png"/>
                    <pic:cNvPicPr>
                      <a:picLocks noChangeAspect="1" noChangeArrowheads="1"/>
                    </pic:cNvPicPr>
                  </pic:nvPicPr>
                  <pic:blipFill>
                    <a:blip r:embed="rId17"/>
                    <a:stretch>
                      <a:fillRect/>
                    </a:stretch>
                  </pic:blipFill>
                  <pic:spPr bwMode="auto">
                    <a:xfrm>
                      <a:off x="0" y="0"/>
                      <a:ext cx="5334000" cy="424831"/>
                    </a:xfrm>
                    <a:prstGeom prst="rect">
                      <a:avLst/>
                    </a:prstGeom>
                    <a:noFill/>
                    <a:ln w="9525">
                      <a:noFill/>
                      <a:headEnd/>
                      <a:tailEnd/>
                    </a:ln>
                  </pic:spPr>
                </pic:pic>
              </a:graphicData>
            </a:graphic>
          </wp:inline>
        </w:drawing>
      </w:r>
    </w:p>
    <w:p w14:paraId="65AB99B3" w14:textId="77777777" w:rsidR="00807B8E" w:rsidRDefault="00411067">
      <w:pPr>
        <w:pStyle w:val="ImageCaption"/>
      </w:pPr>
      <w:r>
        <w:t>query cost tooltip</w:t>
      </w:r>
    </w:p>
    <w:p w14:paraId="03345820" w14:textId="77777777" w:rsidR="00807B8E" w:rsidRDefault="00411067">
      <w:pPr>
        <w:pStyle w:val="BodyText"/>
      </w:pPr>
      <w:r>
        <w:t>This opens a panel that describes the current calculatio</w:t>
      </w:r>
      <w:r>
        <w:t>n:</w:t>
      </w:r>
    </w:p>
    <w:p w14:paraId="0A256CEA" w14:textId="77777777" w:rsidR="00807B8E" w:rsidRDefault="00411067">
      <w:pPr>
        <w:pStyle w:val="CaptionedFigure"/>
      </w:pPr>
      <w:r>
        <w:rPr>
          <w:noProof/>
        </w:rPr>
        <w:drawing>
          <wp:inline distT="0" distB="0" distL="0" distR="0" wp14:anchorId="288A9A33" wp14:editId="684A4D39">
            <wp:extent cx="5334000" cy="4452495"/>
            <wp:effectExtent l="0" t="0" r="0" b="0"/>
            <wp:docPr id="4" name="Picture" descr="query cost calculation"/>
            <wp:cNvGraphicFramePr/>
            <a:graphic xmlns:a="http://schemas.openxmlformats.org/drawingml/2006/main">
              <a:graphicData uri="http://schemas.openxmlformats.org/drawingml/2006/picture">
                <pic:pic xmlns:pic="http://schemas.openxmlformats.org/drawingml/2006/picture">
                  <pic:nvPicPr>
                    <pic:cNvPr id="0" name="Picture" descr="../images/wpa/tutorials/estimated-query-cost-expanded.png"/>
                    <pic:cNvPicPr>
                      <a:picLocks noChangeAspect="1" noChangeArrowheads="1"/>
                    </pic:cNvPicPr>
                  </pic:nvPicPr>
                  <pic:blipFill>
                    <a:blip r:embed="rId18"/>
                    <a:stretch>
                      <a:fillRect/>
                    </a:stretch>
                  </pic:blipFill>
                  <pic:spPr bwMode="auto">
                    <a:xfrm>
                      <a:off x="0" y="0"/>
                      <a:ext cx="5334000" cy="4452495"/>
                    </a:xfrm>
                    <a:prstGeom prst="rect">
                      <a:avLst/>
                    </a:prstGeom>
                    <a:noFill/>
                    <a:ln w="9525">
                      <a:noFill/>
                      <a:headEnd/>
                      <a:tailEnd/>
                    </a:ln>
                  </pic:spPr>
                </pic:pic>
              </a:graphicData>
            </a:graphic>
          </wp:inline>
        </w:drawing>
      </w:r>
    </w:p>
    <w:p w14:paraId="3F2B1827" w14:textId="77777777" w:rsidR="00807B8E" w:rsidRDefault="00411067">
      <w:pPr>
        <w:pStyle w:val="Heading5"/>
      </w:pPr>
      <w:bookmarkStart w:id="7" w:name="charges-for-recurring-queries"/>
      <w:bookmarkEnd w:id="6"/>
      <w:r>
        <w:t>Charges for recurring queries</w:t>
      </w:r>
    </w:p>
    <w:p w14:paraId="734A5FD0" w14:textId="77777777" w:rsidR="00807B8E" w:rsidRDefault="00411067">
      <w:pPr>
        <w:pStyle w:val="FirstParagraph"/>
      </w:pPr>
      <w:r>
        <w:t>Workplace Analytics uses this formula to calculate the units that are consumed whenever you run a query except for recurring (</w:t>
      </w:r>
      <w:hyperlink r:id="rId19">
        <w:r>
          <w:rPr>
            <w:rStyle w:val="Hyperlink"/>
          </w:rPr>
          <w:t>auto-refresh</w:t>
        </w:r>
      </w:hyperlink>
      <w:r>
        <w:t>) queries. The first time a recurring query runs, the formula uses the actual</w:t>
      </w:r>
      <w:r>
        <w:t xml:space="preserve"> number of user-weeks that the query definition specifies. In subsequent runs of the query, the formula automatically uses one week as the query duration. You are not charged for any historical data that has already been analyzed.</w:t>
      </w:r>
    </w:p>
    <w:p w14:paraId="074AB1FE" w14:textId="77777777" w:rsidR="00807B8E" w:rsidRDefault="00411067">
      <w:pPr>
        <w:pStyle w:val="BodyText"/>
      </w:pPr>
      <w:r>
        <w:t>However, the queried popu</w:t>
      </w:r>
      <w:r>
        <w:t>lation can change between query refresh runs. For example, there might be 1,000 licensed employees when you first set up a “last four weeks” auto-refresh query. Before the query runs again, another 2000 employee licenses are approved. Subsequently, the ref</w:t>
      </w:r>
      <w:r>
        <w:t>resh query will include:</w:t>
      </w:r>
    </w:p>
    <w:p w14:paraId="579B0176" w14:textId="77777777" w:rsidR="00807B8E" w:rsidRDefault="00411067">
      <w:pPr>
        <w:numPr>
          <w:ilvl w:val="0"/>
          <w:numId w:val="5"/>
        </w:numPr>
      </w:pPr>
      <w:r>
        <w:rPr>
          <w:b/>
          <w:bCs/>
        </w:rPr>
        <w:t>1:</w:t>
      </w:r>
      <w:r>
        <w:t xml:space="preserve"> weeks 2 to 4 for the original population</w:t>
      </w:r>
    </w:p>
    <w:p w14:paraId="709401CD" w14:textId="77777777" w:rsidR="00807B8E" w:rsidRDefault="00411067">
      <w:pPr>
        <w:numPr>
          <w:ilvl w:val="0"/>
          <w:numId w:val="5"/>
        </w:numPr>
      </w:pPr>
      <w:r>
        <w:rPr>
          <w:b/>
          <w:bCs/>
        </w:rPr>
        <w:lastRenderedPageBreak/>
        <w:t>2:</w:t>
      </w:r>
      <w:r>
        <w:t xml:space="preserve"> week 5 for the original population</w:t>
      </w:r>
    </w:p>
    <w:p w14:paraId="791611ED" w14:textId="77777777" w:rsidR="00807B8E" w:rsidRDefault="00411067">
      <w:pPr>
        <w:numPr>
          <w:ilvl w:val="0"/>
          <w:numId w:val="5"/>
        </w:numPr>
      </w:pPr>
      <w:r>
        <w:rPr>
          <w:b/>
          <w:bCs/>
        </w:rPr>
        <w:t>3:</w:t>
      </w:r>
      <w:r>
        <w:t xml:space="preserve"> weeks 2 to 5 for the newly licensed population</w:t>
      </w:r>
    </w:p>
    <w:p w14:paraId="5EBAA60F" w14:textId="77777777" w:rsidR="00807B8E" w:rsidRDefault="00411067">
      <w:pPr>
        <w:pStyle w:val="FirstParagraph"/>
      </w:pPr>
      <w:r>
        <w:t xml:space="preserve">Of these, the refresh query should charge for </w:t>
      </w:r>
      <w:r>
        <w:rPr>
          <w:b/>
          <w:bCs/>
        </w:rPr>
        <w:t>2</w:t>
      </w:r>
      <w:r>
        <w:t xml:space="preserve"> and </w:t>
      </w:r>
      <w:r>
        <w:rPr>
          <w:b/>
          <w:bCs/>
        </w:rPr>
        <w:t>3</w:t>
      </w:r>
      <w:r>
        <w:t xml:space="preserve"> because neither were included in the original</w:t>
      </w:r>
      <w:r>
        <w:t xml:space="preserve"> query run, but it should not charge for </w:t>
      </w:r>
      <w:r>
        <w:rPr>
          <w:b/>
          <w:bCs/>
        </w:rPr>
        <w:t>1</w:t>
      </w:r>
      <w:r>
        <w:t>, which duplicates the data that’s returned in the original query.</w:t>
      </w:r>
    </w:p>
    <w:p w14:paraId="39817C1E" w14:textId="77777777" w:rsidR="00807B8E" w:rsidRDefault="00411067">
      <w:pPr>
        <w:pStyle w:val="Heading5"/>
      </w:pPr>
      <w:bookmarkStart w:id="8" w:name="charges-for-re-running-a-completed-query"/>
      <w:bookmarkEnd w:id="7"/>
      <w:r>
        <w:t>Charges for re-running a completed query</w:t>
      </w:r>
    </w:p>
    <w:p w14:paraId="37836F9A" w14:textId="77777777" w:rsidR="00807B8E" w:rsidRDefault="00411067">
      <w:pPr>
        <w:pStyle w:val="FirstParagraph"/>
      </w:pPr>
      <w:r>
        <w:t xml:space="preserve">On the </w:t>
      </w:r>
      <w:r>
        <w:rPr>
          <w:b/>
          <w:bCs/>
        </w:rPr>
        <w:t>Query designer</w:t>
      </w:r>
      <w:r>
        <w:t xml:space="preserve"> &gt; </w:t>
      </w:r>
      <w:r>
        <w:rPr>
          <w:b/>
          <w:bCs/>
        </w:rPr>
        <w:t>Results</w:t>
      </w:r>
      <w:r>
        <w:t xml:space="preserve"> </w:t>
      </w:r>
      <w:r>
        <w:t>page, you can locate a query that has already run, open it, edit it, and run it. This incurs a new cost, as if you were running the query for the first time. The steps to do this are as follows:</w:t>
      </w:r>
    </w:p>
    <w:p w14:paraId="485D4594" w14:textId="77777777" w:rsidR="00807B8E" w:rsidRDefault="00411067">
      <w:pPr>
        <w:numPr>
          <w:ilvl w:val="0"/>
          <w:numId w:val="6"/>
        </w:numPr>
      </w:pPr>
      <w:r>
        <w:t xml:space="preserve">Open the </w:t>
      </w:r>
      <w:r>
        <w:rPr>
          <w:b/>
          <w:bCs/>
        </w:rPr>
        <w:t>Query designer</w:t>
      </w:r>
      <w:r>
        <w:t xml:space="preserve"> &gt; </w:t>
      </w:r>
      <w:r>
        <w:rPr>
          <w:b/>
          <w:bCs/>
        </w:rPr>
        <w:t>Results</w:t>
      </w:r>
      <w:r>
        <w:t xml:space="preserve"> page.</w:t>
      </w:r>
    </w:p>
    <w:p w14:paraId="3D43286A" w14:textId="77777777" w:rsidR="00807B8E" w:rsidRDefault="00411067">
      <w:pPr>
        <w:numPr>
          <w:ilvl w:val="0"/>
          <w:numId w:val="6"/>
        </w:numPr>
      </w:pPr>
      <w:r>
        <w:t>In the list of querie</w:t>
      </w:r>
      <w:r>
        <w:t>s, find a query whose status shows as completed, as indicated by a green check mark.</w:t>
      </w:r>
    </w:p>
    <w:p w14:paraId="547248B1" w14:textId="77777777" w:rsidR="00807B8E" w:rsidRDefault="00411067">
      <w:pPr>
        <w:numPr>
          <w:ilvl w:val="0"/>
          <w:numId w:val="6"/>
        </w:numPr>
      </w:pPr>
      <w:r>
        <w:t xml:space="preserve">In the row for that query, select </w:t>
      </w:r>
      <w:r>
        <w:rPr>
          <w:b/>
          <w:bCs/>
        </w:rPr>
        <w:t>More options</w:t>
      </w:r>
      <w:r>
        <w:t xml:space="preserve"> (the ellipsis) and then </w:t>
      </w:r>
      <w:r>
        <w:rPr>
          <w:b/>
          <w:bCs/>
        </w:rPr>
        <w:t>View query</w:t>
      </w:r>
      <w:r>
        <w:t>:</w:t>
      </w:r>
    </w:p>
    <w:p w14:paraId="3F5B9481" w14:textId="77777777" w:rsidR="00807B8E" w:rsidRDefault="00411067">
      <w:pPr>
        <w:pStyle w:val="CaptionedFigure"/>
        <w:numPr>
          <w:ilvl w:val="0"/>
          <w:numId w:val="1"/>
        </w:numPr>
      </w:pPr>
      <w:r>
        <w:rPr>
          <w:noProof/>
        </w:rPr>
        <w:drawing>
          <wp:inline distT="0" distB="0" distL="0" distR="0" wp14:anchorId="0581747A" wp14:editId="525E2DF5">
            <wp:extent cx="2209800" cy="1371600"/>
            <wp:effectExtent l="0" t="0" r="0" b="0"/>
            <wp:docPr id="5" name="Picture" descr="options view query"/>
            <wp:cNvGraphicFramePr/>
            <a:graphic xmlns:a="http://schemas.openxmlformats.org/drawingml/2006/main">
              <a:graphicData uri="http://schemas.openxmlformats.org/drawingml/2006/picture">
                <pic:pic xmlns:pic="http://schemas.openxmlformats.org/drawingml/2006/picture">
                  <pic:nvPicPr>
                    <pic:cNvPr id="0" name="Picture" descr="../images/wpa/tutorials/query-actions.png"/>
                    <pic:cNvPicPr>
                      <a:picLocks noChangeAspect="1" noChangeArrowheads="1"/>
                    </pic:cNvPicPr>
                  </pic:nvPicPr>
                  <pic:blipFill>
                    <a:blip r:embed="rId20"/>
                    <a:stretch>
                      <a:fillRect/>
                    </a:stretch>
                  </pic:blipFill>
                  <pic:spPr bwMode="auto">
                    <a:xfrm>
                      <a:off x="0" y="0"/>
                      <a:ext cx="2209800" cy="1371600"/>
                    </a:xfrm>
                    <a:prstGeom prst="rect">
                      <a:avLst/>
                    </a:prstGeom>
                    <a:noFill/>
                    <a:ln w="9525">
                      <a:noFill/>
                      <a:headEnd/>
                      <a:tailEnd/>
                    </a:ln>
                  </pic:spPr>
                </pic:pic>
              </a:graphicData>
            </a:graphic>
          </wp:inline>
        </w:drawing>
      </w:r>
    </w:p>
    <w:p w14:paraId="0273451A" w14:textId="77777777" w:rsidR="00807B8E" w:rsidRDefault="00411067">
      <w:pPr>
        <w:numPr>
          <w:ilvl w:val="0"/>
          <w:numId w:val="1"/>
        </w:numPr>
      </w:pPr>
      <w:r>
        <w:t>This opens the page for designing that query.</w:t>
      </w:r>
    </w:p>
    <w:p w14:paraId="1B2EB5C3" w14:textId="77777777" w:rsidR="00807B8E" w:rsidRDefault="00411067">
      <w:pPr>
        <w:numPr>
          <w:ilvl w:val="0"/>
          <w:numId w:val="6"/>
        </w:numPr>
      </w:pPr>
      <w:r>
        <w:t>In the query designer</w:t>
      </w:r>
      <w:r>
        <w:t xml:space="preserve">, change a detail about the query. For example, change </w:t>
      </w:r>
      <w:r>
        <w:rPr>
          <w:b/>
          <w:bCs/>
        </w:rPr>
        <w:t>Group by</w:t>
      </w:r>
      <w:r>
        <w:t xml:space="preserve"> from </w:t>
      </w:r>
      <w:r>
        <w:rPr>
          <w:b/>
          <w:bCs/>
        </w:rPr>
        <w:t>Week</w:t>
      </w:r>
      <w:r>
        <w:t xml:space="preserve"> to </w:t>
      </w:r>
      <w:r>
        <w:rPr>
          <w:b/>
          <w:bCs/>
        </w:rPr>
        <w:t>Month</w:t>
      </w:r>
      <w:r>
        <w:t xml:space="preserve">, and then select </w:t>
      </w:r>
      <w:r>
        <w:rPr>
          <w:b/>
          <w:bCs/>
        </w:rPr>
        <w:t>Run</w:t>
      </w:r>
      <w:r>
        <w:t>.</w:t>
      </w:r>
    </w:p>
    <w:p w14:paraId="69FFBFF9" w14:textId="77777777" w:rsidR="00807B8E" w:rsidRDefault="00411067">
      <w:pPr>
        <w:pStyle w:val="FirstParagraph"/>
      </w:pPr>
      <w:r>
        <w:t xml:space="preserve">The edited query runs again. As it does, it incurs a new cost, in units, calculated as described in </w:t>
      </w:r>
      <w:hyperlink w:anchor="consumption-model-details">
        <w:r>
          <w:rPr>
            <w:rStyle w:val="Hyperlink"/>
          </w:rPr>
          <w:t>Con</w:t>
        </w:r>
        <w:r>
          <w:rPr>
            <w:rStyle w:val="Hyperlink"/>
          </w:rPr>
          <w:t>sumption model details</w:t>
        </w:r>
      </w:hyperlink>
      <w:r>
        <w:t>.</w:t>
      </w:r>
    </w:p>
    <w:p w14:paraId="1374A4E7" w14:textId="77777777" w:rsidR="00807B8E" w:rsidRDefault="00411067">
      <w:pPr>
        <w:pStyle w:val="Heading5"/>
      </w:pPr>
      <w:bookmarkStart w:id="9" w:name="no-additional-charges"/>
      <w:bookmarkEnd w:id="8"/>
      <w:r>
        <w:t>No additional charges</w:t>
      </w:r>
    </w:p>
    <w:p w14:paraId="7CE6E58A" w14:textId="77777777" w:rsidR="00807B8E" w:rsidRDefault="00411067">
      <w:pPr>
        <w:pStyle w:val="FirstParagraph"/>
      </w:pPr>
      <w:r>
        <w:t>No additional units are charged for the following:</w:t>
      </w:r>
    </w:p>
    <w:p w14:paraId="4100E51B" w14:textId="40D0B185" w:rsidR="00807B8E" w:rsidRDefault="00411067">
      <w:pPr>
        <w:pStyle w:val="Compact"/>
        <w:numPr>
          <w:ilvl w:val="0"/>
          <w:numId w:val="7"/>
        </w:numPr>
      </w:pPr>
      <w:r>
        <w:t>Workplace Analytics licenses that are assigned. You are charged for query volume, which is independent of licensing.</w:t>
      </w:r>
    </w:p>
    <w:p w14:paraId="5A620DF4" w14:textId="77777777" w:rsidR="00807B8E" w:rsidRDefault="00411067">
      <w:pPr>
        <w:pStyle w:val="Compact"/>
        <w:numPr>
          <w:ilvl w:val="0"/>
          <w:numId w:val="7"/>
        </w:numPr>
      </w:pPr>
      <w:r>
        <w:t>Your use of the following Workplace Analy</w:t>
      </w:r>
      <w:r>
        <w:t xml:space="preserve">tics features: </w:t>
      </w:r>
      <w:hyperlink r:id="rId21">
        <w:r>
          <w:rPr>
            <w:rStyle w:val="Hyperlink"/>
          </w:rPr>
          <w:t>plans</w:t>
        </w:r>
      </w:hyperlink>
      <w:r>
        <w:t xml:space="preserve">, </w:t>
      </w:r>
      <w:hyperlink r:id="rId22">
        <w:r>
          <w:rPr>
            <w:rStyle w:val="Hyperlink"/>
          </w:rPr>
          <w:t>My Team in Viva Insights</w:t>
        </w:r>
      </w:hyperlink>
      <w:r>
        <w:t xml:space="preserve">, </w:t>
      </w:r>
      <w:hyperlink r:id="rId23">
        <w:r>
          <w:rPr>
            <w:rStyle w:val="Hyperlink"/>
          </w:rPr>
          <w:t>My organization in Viva Insights</w:t>
        </w:r>
      </w:hyperlink>
      <w:r>
        <w:t xml:space="preserve">, </w:t>
      </w:r>
      <w:hyperlink r:id="rId24">
        <w:r>
          <w:rPr>
            <w:rStyle w:val="Hyperlink"/>
          </w:rPr>
          <w:t>Opportunities scan</w:t>
        </w:r>
      </w:hyperlink>
      <w:r>
        <w:t xml:space="preserve">, </w:t>
      </w:r>
      <w:hyperlink r:id="rId25">
        <w:r>
          <w:rPr>
            <w:rStyle w:val="Hyperlink"/>
          </w:rPr>
          <w:t>Explore pages</w:t>
        </w:r>
      </w:hyperlink>
      <w:r>
        <w:t>.</w:t>
      </w:r>
    </w:p>
    <w:p w14:paraId="7EBE3EFA" w14:textId="77777777" w:rsidR="00807B8E" w:rsidRDefault="00411067">
      <w:pPr>
        <w:pStyle w:val="Compact"/>
        <w:numPr>
          <w:ilvl w:val="0"/>
          <w:numId w:val="7"/>
        </w:numPr>
      </w:pPr>
      <w:r>
        <w:t>Your choice of a query-results visualization method, such as Excel, PowerPoint, Power BI, or another visualization tool.</w:t>
      </w:r>
    </w:p>
    <w:p w14:paraId="6382E7E4" w14:textId="77777777" w:rsidR="00807B8E" w:rsidRDefault="00411067">
      <w:pPr>
        <w:pStyle w:val="Compact"/>
        <w:numPr>
          <w:ilvl w:val="0"/>
          <w:numId w:val="7"/>
        </w:numPr>
      </w:pPr>
      <w:r>
        <w:t>Your use of organi</w:t>
      </w:r>
      <w:r>
        <w:t>zational attributes in queries.</w:t>
      </w:r>
    </w:p>
    <w:p w14:paraId="30070566" w14:textId="77777777" w:rsidR="00807B8E" w:rsidRDefault="00411067">
      <w:pPr>
        <w:pStyle w:val="Compact"/>
        <w:numPr>
          <w:ilvl w:val="0"/>
          <w:numId w:val="7"/>
        </w:numPr>
      </w:pPr>
      <w:r>
        <w:t>The number of analysts who run queries in your organization.</w:t>
      </w:r>
    </w:p>
    <w:p w14:paraId="1866DF4B" w14:textId="77777777" w:rsidR="00807B8E" w:rsidRDefault="00411067">
      <w:pPr>
        <w:pStyle w:val="Heading3"/>
      </w:pPr>
      <w:bookmarkStart w:id="10" w:name="for-analysts-in-pupm-model-tenants"/>
      <w:bookmarkEnd w:id="4"/>
      <w:bookmarkEnd w:id="5"/>
      <w:bookmarkEnd w:id="9"/>
      <w:r>
        <w:lastRenderedPageBreak/>
        <w:t>For analysts in PUPM-model tenants</w:t>
      </w:r>
    </w:p>
    <w:p w14:paraId="3D90ED6E" w14:textId="77777777" w:rsidR="00807B8E" w:rsidRDefault="00411067">
      <w:pPr>
        <w:pStyle w:val="FirstParagraph"/>
      </w:pPr>
      <w:r>
        <w:t>The query-creation pages show analysts no information about query usage or tenant billing. This is because, in the PUPM model, t</w:t>
      </w:r>
      <w:r>
        <w:t xml:space="preserve">he design and use of queries has no effect on the amount that your organization is billed. Billing charges accrue behind the scenes, </w:t>
      </w:r>
      <w:commentRangeStart w:id="11"/>
      <w:r>
        <w:t>independently of query usage:</w:t>
      </w:r>
    </w:p>
    <w:p w14:paraId="7BF15CBD" w14:textId="77777777" w:rsidR="00807B8E" w:rsidRDefault="00411067">
      <w:pPr>
        <w:pStyle w:val="CaptionedFigure"/>
      </w:pPr>
      <w:r>
        <w:rPr>
          <w:noProof/>
        </w:rPr>
        <w:drawing>
          <wp:inline distT="0" distB="0" distL="0" distR="0" wp14:anchorId="0215EE58" wp14:editId="1E654D62">
            <wp:extent cx="5334000" cy="1009795"/>
            <wp:effectExtent l="0" t="0" r="0" b="0"/>
            <wp:docPr id="6" name="Picture" descr="PUPM: no units shown"/>
            <wp:cNvGraphicFramePr/>
            <a:graphic xmlns:a="http://schemas.openxmlformats.org/drawingml/2006/main">
              <a:graphicData uri="http://schemas.openxmlformats.org/drawingml/2006/picture">
                <pic:pic xmlns:pic="http://schemas.openxmlformats.org/drawingml/2006/picture">
                  <pic:nvPicPr>
                    <pic:cNvPr id="0" name="Picture" descr="../images/wpa/tutorials/pupm-no-credits-2.png"/>
                    <pic:cNvPicPr>
                      <a:picLocks noChangeAspect="1" noChangeArrowheads="1"/>
                    </pic:cNvPicPr>
                  </pic:nvPicPr>
                  <pic:blipFill>
                    <a:blip r:embed="rId26"/>
                    <a:stretch>
                      <a:fillRect/>
                    </a:stretch>
                  </pic:blipFill>
                  <pic:spPr bwMode="auto">
                    <a:xfrm>
                      <a:off x="0" y="0"/>
                      <a:ext cx="5334000" cy="1009795"/>
                    </a:xfrm>
                    <a:prstGeom prst="rect">
                      <a:avLst/>
                    </a:prstGeom>
                    <a:noFill/>
                    <a:ln w="9525">
                      <a:noFill/>
                      <a:headEnd/>
                      <a:tailEnd/>
                    </a:ln>
                  </pic:spPr>
                </pic:pic>
              </a:graphicData>
            </a:graphic>
          </wp:inline>
        </w:drawing>
      </w:r>
      <w:commentRangeEnd w:id="11"/>
      <w:r w:rsidR="00B54E6E">
        <w:rPr>
          <w:rStyle w:val="CommentReference"/>
        </w:rPr>
        <w:commentReference w:id="11"/>
      </w:r>
    </w:p>
    <w:p w14:paraId="40DB3542" w14:textId="77777777" w:rsidR="00807B8E" w:rsidRDefault="00411067">
      <w:pPr>
        <w:pStyle w:val="Heading2"/>
      </w:pPr>
      <w:bookmarkStart w:id="12" w:name="query-types"/>
      <w:bookmarkEnd w:id="2"/>
      <w:bookmarkEnd w:id="10"/>
      <w:r>
        <w:t>Query types</w:t>
      </w:r>
    </w:p>
    <w:p w14:paraId="3496ECAF" w14:textId="77777777" w:rsidR="00807B8E" w:rsidRDefault="00411067">
      <w:pPr>
        <w:pStyle w:val="FirstParagraph"/>
      </w:pPr>
      <w:r>
        <w:t xml:space="preserve">You can find these queries on the </w:t>
      </w:r>
      <w:r>
        <w:rPr>
          <w:b/>
          <w:bCs/>
        </w:rPr>
        <w:t>Analyze</w:t>
      </w:r>
      <w:r>
        <w:t xml:space="preserve"> &gt; </w:t>
      </w:r>
      <w:r>
        <w:rPr>
          <w:b/>
          <w:bCs/>
        </w:rPr>
        <w:t>Queries</w:t>
      </w:r>
      <w:r>
        <w:t xml:space="preserve"> page o</w:t>
      </w:r>
      <w:r>
        <w:t>f Workplace Analytics.</w:t>
      </w:r>
    </w:p>
    <w:p w14:paraId="1D02C8E6" w14:textId="77777777" w:rsidR="00807B8E" w:rsidRDefault="00411067">
      <w:pPr>
        <w:pStyle w:val="Heading3"/>
      </w:pPr>
      <w:bookmarkStart w:id="13" w:name="person-query"/>
      <w:r>
        <w:t>Person query</w:t>
      </w:r>
    </w:p>
    <w:p w14:paraId="0EE1D26F" w14:textId="77777777" w:rsidR="00807B8E" w:rsidRDefault="00411067">
      <w:pPr>
        <w:pStyle w:val="FirstParagraph"/>
      </w:pPr>
      <w:r>
        <w:t>Use a person query when you want to find broad trends in the organization by looking at aggregated metrics for a group of people.</w:t>
      </w:r>
    </w:p>
    <w:p w14:paraId="0852AC9E" w14:textId="77777777" w:rsidR="00807B8E" w:rsidRDefault="00411067">
      <w:pPr>
        <w:pStyle w:val="BodyText"/>
      </w:pPr>
      <w:r>
        <w:t>Person query results show a de-identified list of the productivity metrics (such as time in meetings and email) of each measured employee. Each row of data represents one person and you can select to aggregate the results by day, week, or month.</w:t>
      </w:r>
    </w:p>
    <w:p w14:paraId="66B4D707" w14:textId="77777777" w:rsidR="00807B8E" w:rsidRDefault="00411067">
      <w:pPr>
        <w:pStyle w:val="BodyText"/>
      </w:pPr>
      <w:r>
        <w:t>With a per</w:t>
      </w:r>
      <w:r>
        <w:t>son query you can compare across individual activities and attributes, such as:</w:t>
      </w:r>
    </w:p>
    <w:p w14:paraId="42AA1922" w14:textId="77777777" w:rsidR="00807B8E" w:rsidRDefault="00411067">
      <w:pPr>
        <w:pStyle w:val="Compact"/>
        <w:numPr>
          <w:ilvl w:val="0"/>
          <w:numId w:val="8"/>
        </w:numPr>
      </w:pPr>
      <w:r>
        <w:t>Time-use metrics</w:t>
      </w:r>
    </w:p>
    <w:p w14:paraId="12931548" w14:textId="77777777" w:rsidR="00807B8E" w:rsidRDefault="00411067">
      <w:pPr>
        <w:pStyle w:val="Compact"/>
        <w:numPr>
          <w:ilvl w:val="0"/>
          <w:numId w:val="8"/>
        </w:numPr>
      </w:pPr>
      <w:r>
        <w:t>Organizational attributes</w:t>
      </w:r>
    </w:p>
    <w:p w14:paraId="2FA41C29" w14:textId="77777777" w:rsidR="00807B8E" w:rsidRDefault="00411067">
      <w:pPr>
        <w:pStyle w:val="FirstParagraph"/>
      </w:pPr>
      <w:r>
        <w:t xml:space="preserve">See </w:t>
      </w:r>
      <w:hyperlink r:id="rId27">
        <w:r>
          <w:rPr>
            <w:rStyle w:val="Hyperlink"/>
          </w:rPr>
          <w:t>Person queries</w:t>
        </w:r>
      </w:hyperlink>
      <w:r>
        <w:t xml:space="preserve"> to learn more.</w:t>
      </w:r>
    </w:p>
    <w:p w14:paraId="45D922CB" w14:textId="77777777" w:rsidR="00807B8E" w:rsidRDefault="00411067">
      <w:pPr>
        <w:pStyle w:val="Heading3"/>
      </w:pPr>
      <w:bookmarkStart w:id="14" w:name="meeting-query"/>
      <w:bookmarkEnd w:id="13"/>
      <w:r>
        <w:t>Meeting query</w:t>
      </w:r>
    </w:p>
    <w:p w14:paraId="36188DAE" w14:textId="77777777" w:rsidR="00807B8E" w:rsidRDefault="00411067">
      <w:pPr>
        <w:pStyle w:val="FirstParagraph"/>
      </w:pPr>
      <w:r>
        <w:t>Use a meeting query when you want t</w:t>
      </w:r>
      <w:r>
        <w:t>o understand the relationship between different meeting attributes.</w:t>
      </w:r>
    </w:p>
    <w:p w14:paraId="67000E12" w14:textId="77777777" w:rsidR="00807B8E" w:rsidRDefault="00411067">
      <w:pPr>
        <w:pStyle w:val="BodyText"/>
      </w:pPr>
      <w:r>
        <w:t>With a meeting query you can compare across meeting attributes, such as:</w:t>
      </w:r>
    </w:p>
    <w:p w14:paraId="0828BBC8" w14:textId="77777777" w:rsidR="00807B8E" w:rsidRDefault="00411067">
      <w:pPr>
        <w:pStyle w:val="Compact"/>
        <w:numPr>
          <w:ilvl w:val="0"/>
          <w:numId w:val="9"/>
        </w:numPr>
      </w:pPr>
      <w:r>
        <w:t>Size or duration</w:t>
      </w:r>
    </w:p>
    <w:p w14:paraId="1DB8A912" w14:textId="77777777" w:rsidR="00807B8E" w:rsidRDefault="00411067">
      <w:pPr>
        <w:pStyle w:val="Compact"/>
        <w:numPr>
          <w:ilvl w:val="0"/>
          <w:numId w:val="9"/>
        </w:numPr>
      </w:pPr>
      <w:r>
        <w:t>Subject line keywords</w:t>
      </w:r>
    </w:p>
    <w:p w14:paraId="503AE0F8" w14:textId="77777777" w:rsidR="00807B8E" w:rsidRDefault="00411067">
      <w:pPr>
        <w:pStyle w:val="Compact"/>
        <w:numPr>
          <w:ilvl w:val="0"/>
          <w:numId w:val="9"/>
        </w:numPr>
      </w:pPr>
      <w:r>
        <w:t>Double-booked or multitasking rates</w:t>
      </w:r>
    </w:p>
    <w:p w14:paraId="7DD5643B" w14:textId="77777777" w:rsidR="00807B8E" w:rsidRDefault="00411067">
      <w:pPr>
        <w:pStyle w:val="Compact"/>
        <w:numPr>
          <w:ilvl w:val="0"/>
          <w:numId w:val="9"/>
        </w:numPr>
      </w:pPr>
      <w:r>
        <w:t>Meeting organizer attributes</w:t>
      </w:r>
    </w:p>
    <w:p w14:paraId="7E7318FA" w14:textId="77777777" w:rsidR="00807B8E" w:rsidRDefault="00411067">
      <w:pPr>
        <w:pStyle w:val="FirstParagraph"/>
      </w:pPr>
      <w:r>
        <w:t xml:space="preserve">See </w:t>
      </w:r>
      <w:hyperlink r:id="rId28">
        <w:r>
          <w:rPr>
            <w:rStyle w:val="Hyperlink"/>
          </w:rPr>
          <w:t>Meeting queries</w:t>
        </w:r>
      </w:hyperlink>
      <w:r>
        <w:t xml:space="preserve"> to learn more.</w:t>
      </w:r>
    </w:p>
    <w:p w14:paraId="20921E3E" w14:textId="77777777" w:rsidR="00807B8E" w:rsidRDefault="00411067">
      <w:pPr>
        <w:pStyle w:val="Heading3"/>
      </w:pPr>
      <w:bookmarkStart w:id="15" w:name="group-to-group-query"/>
      <w:bookmarkEnd w:id="14"/>
      <w:r>
        <w:lastRenderedPageBreak/>
        <w:t>Group-to-group query</w:t>
      </w:r>
    </w:p>
    <w:p w14:paraId="209EE7E6" w14:textId="77777777" w:rsidR="00807B8E" w:rsidRDefault="00411067">
      <w:pPr>
        <w:pStyle w:val="FirstParagraph"/>
      </w:pPr>
      <w:r>
        <w:t>Use a group-to-group query when you want to understand how one team invested their collaboration time with other teams within and outside of the organization.</w:t>
      </w:r>
    </w:p>
    <w:p w14:paraId="0B331EF3" w14:textId="77777777" w:rsidR="00807B8E" w:rsidRDefault="00411067">
      <w:pPr>
        <w:pStyle w:val="BodyText"/>
      </w:pPr>
      <w:r>
        <w:t>F</w:t>
      </w:r>
      <w:r>
        <w:t>or this query type, you can define a team in a variety of ways, with any organizational attribute or email domain. This enables you to answer questions such as:</w:t>
      </w:r>
    </w:p>
    <w:p w14:paraId="43371330" w14:textId="77777777" w:rsidR="00807B8E" w:rsidRDefault="00411067">
      <w:pPr>
        <w:pStyle w:val="Compact"/>
        <w:numPr>
          <w:ilvl w:val="0"/>
          <w:numId w:val="10"/>
        </w:numPr>
      </w:pPr>
      <w:r>
        <w:t xml:space="preserve">How did </w:t>
      </w:r>
      <w:r>
        <w:rPr>
          <w:i/>
          <w:iCs/>
        </w:rPr>
        <w:t>Sales managers</w:t>
      </w:r>
      <w:r>
        <w:t xml:space="preserve"> </w:t>
      </w:r>
      <w:r>
        <w:t xml:space="preserve">allocate their time between all external </w:t>
      </w:r>
      <w:r>
        <w:rPr>
          <w:i/>
          <w:iCs/>
        </w:rPr>
        <w:t>customer domains</w:t>
      </w:r>
      <w:r>
        <w:t xml:space="preserve"> (companies)?</w:t>
      </w:r>
    </w:p>
    <w:p w14:paraId="32E7FA25" w14:textId="77777777" w:rsidR="00807B8E" w:rsidRDefault="00411067">
      <w:pPr>
        <w:pStyle w:val="Compact"/>
        <w:numPr>
          <w:ilvl w:val="0"/>
          <w:numId w:val="10"/>
        </w:numPr>
      </w:pPr>
      <w:r>
        <w:t xml:space="preserve">How much time did </w:t>
      </w:r>
      <w:r>
        <w:rPr>
          <w:i/>
          <w:iCs/>
        </w:rPr>
        <w:t>Benefits analysts</w:t>
      </w:r>
      <w:r>
        <w:t xml:space="preserve"> spend with </w:t>
      </w:r>
      <w:r>
        <w:rPr>
          <w:i/>
          <w:iCs/>
        </w:rPr>
        <w:t>individual contributors</w:t>
      </w:r>
      <w:r>
        <w:t xml:space="preserve"> in each </w:t>
      </w:r>
      <w:r>
        <w:rPr>
          <w:i/>
          <w:iCs/>
        </w:rPr>
        <w:t>region</w:t>
      </w:r>
      <w:r>
        <w:t>?</w:t>
      </w:r>
    </w:p>
    <w:p w14:paraId="087431E4" w14:textId="77777777" w:rsidR="00807B8E" w:rsidRDefault="00411067">
      <w:pPr>
        <w:pStyle w:val="Compact"/>
        <w:numPr>
          <w:ilvl w:val="0"/>
          <w:numId w:val="10"/>
        </w:numPr>
      </w:pPr>
      <w:r>
        <w:t xml:space="preserve">How did </w:t>
      </w:r>
      <w:r>
        <w:rPr>
          <w:i/>
          <w:iCs/>
        </w:rPr>
        <w:t>Corporate VPs</w:t>
      </w:r>
      <w:r>
        <w:t xml:space="preserve"> allocate their time to </w:t>
      </w:r>
      <w:r>
        <w:rPr>
          <w:i/>
          <w:iCs/>
        </w:rPr>
        <w:t>managers</w:t>
      </w:r>
      <w:r>
        <w:t xml:space="preserve"> by </w:t>
      </w:r>
      <w:r>
        <w:rPr>
          <w:i/>
          <w:iCs/>
        </w:rPr>
        <w:t>business unit</w:t>
      </w:r>
      <w:r>
        <w:t>?</w:t>
      </w:r>
    </w:p>
    <w:p w14:paraId="6CAAA023" w14:textId="77777777" w:rsidR="00807B8E" w:rsidRDefault="00411067">
      <w:pPr>
        <w:pStyle w:val="FirstParagraph"/>
      </w:pPr>
      <w:r>
        <w:t>Group-to-group queries als</w:t>
      </w:r>
      <w:r>
        <w:t>o offer alternative perspectives on collaboration. Rather than allocating collaboration hours across other teams, you can analyze the number of interactions between the teams, or analyze only those collaboration activities initiated by the “time giver” tea</w:t>
      </w:r>
      <w:r>
        <w:t>m.</w:t>
      </w:r>
    </w:p>
    <w:p w14:paraId="68CE5446" w14:textId="77777777" w:rsidR="00807B8E" w:rsidRDefault="00411067">
      <w:pPr>
        <w:pStyle w:val="BodyText"/>
      </w:pPr>
      <w:r>
        <w:t xml:space="preserve">See </w:t>
      </w:r>
      <w:hyperlink r:id="rId29">
        <w:r>
          <w:rPr>
            <w:rStyle w:val="Hyperlink"/>
          </w:rPr>
          <w:t>Group-to-group queries</w:t>
        </w:r>
      </w:hyperlink>
      <w:r>
        <w:t xml:space="preserve"> to learn more.</w:t>
      </w:r>
    </w:p>
    <w:p w14:paraId="4E84017B" w14:textId="77777777" w:rsidR="00807B8E" w:rsidRDefault="00411067">
      <w:pPr>
        <w:pStyle w:val="Heading3"/>
      </w:pPr>
      <w:bookmarkStart w:id="16" w:name="person-to-group-query"/>
      <w:bookmarkEnd w:id="15"/>
      <w:r>
        <w:t>Person-to-group query</w:t>
      </w:r>
    </w:p>
    <w:p w14:paraId="3939B5C8" w14:textId="77777777" w:rsidR="00807B8E" w:rsidRDefault="00411067">
      <w:pPr>
        <w:pStyle w:val="FirstParagraph"/>
      </w:pPr>
      <w:r>
        <w:t>Use a person-to-group query to help you understand how individuals invested their time with one or more collaborator teams within a</w:t>
      </w:r>
      <w:r>
        <w:t>nd outside of the organization.</w:t>
      </w:r>
    </w:p>
    <w:p w14:paraId="75FF9B49" w14:textId="77777777" w:rsidR="00807B8E" w:rsidRDefault="00411067">
      <w:pPr>
        <w:pStyle w:val="BodyText"/>
      </w:pPr>
      <w:r>
        <w:t>As with a group-to-group query, you can define the person (or time investor) and that person’s collaborator team or teams in a variety of ways, with any organizational attribute or email domain.</w:t>
      </w:r>
    </w:p>
    <w:p w14:paraId="69F5335B" w14:textId="77777777" w:rsidR="00807B8E" w:rsidRDefault="00411067">
      <w:pPr>
        <w:pStyle w:val="BodyText"/>
      </w:pPr>
      <w:r>
        <w:t>You can choose to analyze the</w:t>
      </w:r>
      <w:r>
        <w:t xml:space="preserve"> number of interactions between a time investor and the defined collaboration team, or to analyze only those collaboration activities initiated by the specified time investor.</w:t>
      </w:r>
    </w:p>
    <w:p w14:paraId="7EC0235D" w14:textId="77777777" w:rsidR="00807B8E" w:rsidRDefault="00411067">
      <w:pPr>
        <w:pStyle w:val="BodyText"/>
      </w:pPr>
      <w:r>
        <w:t xml:space="preserve">See </w:t>
      </w:r>
      <w:hyperlink r:id="rId30">
        <w:r>
          <w:rPr>
            <w:rStyle w:val="Hyperlink"/>
          </w:rPr>
          <w:t>Person-to-group q</w:t>
        </w:r>
        <w:r>
          <w:rPr>
            <w:rStyle w:val="Hyperlink"/>
          </w:rPr>
          <w:t>ueries</w:t>
        </w:r>
      </w:hyperlink>
      <w:r>
        <w:t xml:space="preserve"> to learn more.</w:t>
      </w:r>
    </w:p>
    <w:p w14:paraId="2C19A9E9" w14:textId="77777777" w:rsidR="00807B8E" w:rsidRDefault="00411067">
      <w:pPr>
        <w:pStyle w:val="Heading3"/>
      </w:pPr>
      <w:bookmarkStart w:id="17" w:name="peer-comparison-query"/>
      <w:bookmarkEnd w:id="16"/>
      <w:r>
        <w:t>Peer comparison query</w:t>
      </w:r>
    </w:p>
    <w:p w14:paraId="6F9824B0" w14:textId="77777777" w:rsidR="00807B8E" w:rsidRDefault="00411067">
      <w:pPr>
        <w:pStyle w:val="FirstParagraph"/>
      </w:pPr>
      <w:r>
        <w:t>The peer comparison query helps you identify people whose collaboration patterns differ as compared to their peers. The query includes the measured employees, their specified metrics, and their peer group’s averages for those metrics.</w:t>
      </w:r>
    </w:p>
    <w:p w14:paraId="3AC453FF" w14:textId="77777777" w:rsidR="00807B8E" w:rsidRDefault="00411067">
      <w:pPr>
        <w:pStyle w:val="BodyText"/>
      </w:pPr>
      <w:r>
        <w:t>You can compare indiv</w:t>
      </w:r>
      <w:r>
        <w:t>iduals with others who share the same manager, with their direct reports, or even with a custom peer group as defined with organizational attributes.</w:t>
      </w:r>
    </w:p>
    <w:p w14:paraId="18D73262" w14:textId="77777777" w:rsidR="00807B8E" w:rsidRDefault="00411067">
      <w:pPr>
        <w:pStyle w:val="BodyText"/>
      </w:pPr>
      <w:r>
        <w:t xml:space="preserve">See </w:t>
      </w:r>
      <w:hyperlink r:id="rId31">
        <w:r>
          <w:rPr>
            <w:rStyle w:val="Hyperlink"/>
          </w:rPr>
          <w:t>Peer comparison queries</w:t>
        </w:r>
      </w:hyperlink>
      <w:r>
        <w:t xml:space="preserve"> to learn more.</w:t>
      </w:r>
    </w:p>
    <w:p w14:paraId="12B49DCA" w14:textId="77777777" w:rsidR="00807B8E" w:rsidRDefault="00411067">
      <w:pPr>
        <w:pStyle w:val="Heading3"/>
      </w:pPr>
      <w:bookmarkStart w:id="18" w:name="network-queries"/>
      <w:bookmarkEnd w:id="17"/>
      <w:r>
        <w:t>Network que</w:t>
      </w:r>
      <w:r>
        <w:t>ries</w:t>
      </w:r>
    </w:p>
    <w:p w14:paraId="36160D19" w14:textId="77777777" w:rsidR="00807B8E" w:rsidRDefault="00411067">
      <w:pPr>
        <w:pStyle w:val="FirstParagraph"/>
      </w:pPr>
      <w:r>
        <w:t xml:space="preserve">You can use the Organizational network analysis (ONA) queries in Workplace Analytics to find out who are the best-connected people in your company, division, or group based on </w:t>
      </w:r>
      <w:r>
        <w:lastRenderedPageBreak/>
        <w:t>collaboration data. After you learn who your influencers are, you can act o</w:t>
      </w:r>
      <w:r>
        <w:t>n the likelihood that these people can effectively connect within or across groups and become efficient drivers of change.</w:t>
      </w:r>
    </w:p>
    <w:p w14:paraId="07015333" w14:textId="77777777" w:rsidR="00807B8E" w:rsidRDefault="00411067">
      <w:pPr>
        <w:pStyle w:val="BodyText"/>
      </w:pPr>
      <w:r>
        <w:t xml:space="preserve">See </w:t>
      </w:r>
      <w:hyperlink r:id="rId32">
        <w:r>
          <w:rPr>
            <w:rStyle w:val="Hyperlink"/>
          </w:rPr>
          <w:t>ONA person queries</w:t>
        </w:r>
      </w:hyperlink>
      <w:r>
        <w:t xml:space="preserve"> and </w:t>
      </w:r>
      <w:hyperlink r:id="rId33">
        <w:r>
          <w:rPr>
            <w:rStyle w:val="Hyperlink"/>
          </w:rPr>
          <w:t>ONA person-to-pers</w:t>
        </w:r>
        <w:r>
          <w:rPr>
            <w:rStyle w:val="Hyperlink"/>
          </w:rPr>
          <w:t>on queries</w:t>
        </w:r>
      </w:hyperlink>
      <w:r>
        <w:t xml:space="preserve"> for more details.</w:t>
      </w:r>
    </w:p>
    <w:p w14:paraId="58E17A35" w14:textId="77777777" w:rsidR="00807B8E" w:rsidRDefault="00411067">
      <w:pPr>
        <w:pStyle w:val="Heading2"/>
      </w:pPr>
      <w:bookmarkStart w:id="19" w:name="meeting-exclusions"/>
      <w:bookmarkEnd w:id="12"/>
      <w:bookmarkEnd w:id="18"/>
      <w:r>
        <w:t>Meeting exclusions</w:t>
      </w:r>
    </w:p>
    <w:p w14:paraId="5D1A234F" w14:textId="77777777" w:rsidR="00807B8E" w:rsidRDefault="00411067">
      <w:pPr>
        <w:pStyle w:val="FirstParagraph"/>
      </w:pPr>
      <w:r>
        <w:t>You can use meeting exclusions to exclude meetings that fall outside relevant norms from the queries. You can select between the default meeting exclusion rules or create custom rules that match your company’</w:t>
      </w:r>
      <w:r>
        <w:t>s meeting conventions.</w:t>
      </w:r>
    </w:p>
    <w:p w14:paraId="4EC988A8" w14:textId="77777777" w:rsidR="00807B8E" w:rsidRDefault="00411067">
      <w:pPr>
        <w:pStyle w:val="BodyText"/>
      </w:pPr>
      <w:r>
        <w:t xml:space="preserve">See </w:t>
      </w:r>
      <w:hyperlink r:id="rId34">
        <w:r>
          <w:rPr>
            <w:rStyle w:val="Hyperlink"/>
          </w:rPr>
          <w:t>Meeting exclusions</w:t>
        </w:r>
      </w:hyperlink>
      <w:r>
        <w:t xml:space="preserve"> to learn more.</w:t>
      </w:r>
    </w:p>
    <w:p w14:paraId="248C71A5" w14:textId="77777777" w:rsidR="00807B8E" w:rsidRDefault="00411067">
      <w:pPr>
        <w:pStyle w:val="Heading2"/>
      </w:pPr>
      <w:bookmarkStart w:id="20" w:name="business-scenario"/>
      <w:bookmarkEnd w:id="19"/>
      <w:r>
        <w:t>Business scenario</w:t>
      </w:r>
    </w:p>
    <w:p w14:paraId="3AF08DE6" w14:textId="77777777" w:rsidR="00807B8E" w:rsidRDefault="00411067">
      <w:pPr>
        <w:pStyle w:val="FirstParagraph"/>
      </w:pPr>
      <w:r>
        <w:t xml:space="preserve">An analyst might start by looking at a person query to see trends of employees across the company related to meeting </w:t>
      </w:r>
      <w:r>
        <w:t>collaboration.</w:t>
      </w:r>
    </w:p>
    <w:p w14:paraId="39808AEB" w14:textId="77777777" w:rsidR="00807B8E" w:rsidRDefault="00411067">
      <w:pPr>
        <w:pStyle w:val="BodyText"/>
      </w:pPr>
      <w:r>
        <w:t>If the metrics show indications of poor meeting behavior, such as too many long meetings, the analyst could create a meeting query to investigate specific meetings in depth to uncover causes of the poor meeting behavior.</w:t>
      </w:r>
    </w:p>
    <w:p w14:paraId="135E3576" w14:textId="77777777" w:rsidR="00807B8E" w:rsidRDefault="00411067">
      <w:pPr>
        <w:pStyle w:val="BodyText"/>
      </w:pPr>
      <w:r>
        <w:t>Additionally, the an</w:t>
      </w:r>
      <w:r>
        <w:t xml:space="preserve">alyst could create a group query to identify the groups involved in those meetings and further investigate potential causes that could be addressed. Finally, to address the problem, the analyst could work with a program to set up an improvement plan. See </w:t>
      </w:r>
      <w:hyperlink r:id="rId35">
        <w:r>
          <w:rPr>
            <w:rStyle w:val="Hyperlink"/>
          </w:rPr>
          <w:t>Plans: walkthrough</w:t>
        </w:r>
      </w:hyperlink>
      <w:r>
        <w:t xml:space="preserve"> to learn more.</w:t>
      </w:r>
    </w:p>
    <w:p w14:paraId="2035AC69" w14:textId="77777777" w:rsidR="00807B8E" w:rsidRDefault="00411067">
      <w:pPr>
        <w:pStyle w:val="BodyText"/>
      </w:pPr>
      <w:r>
        <w:t>You can create queries in the following ways:</w:t>
      </w:r>
    </w:p>
    <w:p w14:paraId="462408FE" w14:textId="77777777" w:rsidR="00807B8E" w:rsidRDefault="00411067">
      <w:pPr>
        <w:pStyle w:val="Compact"/>
        <w:numPr>
          <w:ilvl w:val="0"/>
          <w:numId w:val="11"/>
        </w:numPr>
      </w:pPr>
      <w:r>
        <w:t xml:space="preserve">Edit and use a </w:t>
      </w:r>
      <w:hyperlink w:anchor="predefined-query-templates">
        <w:r>
          <w:rPr>
            <w:rStyle w:val="Hyperlink"/>
          </w:rPr>
          <w:t>predefined query template</w:t>
        </w:r>
      </w:hyperlink>
      <w:r>
        <w:t>.</w:t>
      </w:r>
    </w:p>
    <w:p w14:paraId="6F79D1BC" w14:textId="77777777" w:rsidR="00807B8E" w:rsidRDefault="00411067">
      <w:pPr>
        <w:pStyle w:val="Compact"/>
        <w:numPr>
          <w:ilvl w:val="0"/>
          <w:numId w:val="11"/>
        </w:numPr>
      </w:pPr>
      <w:r>
        <w:t>Create your own custom query.</w:t>
      </w:r>
    </w:p>
    <w:p w14:paraId="2F7014DB" w14:textId="77777777" w:rsidR="00807B8E" w:rsidRDefault="00411067">
      <w:pPr>
        <w:pStyle w:val="Compact"/>
        <w:numPr>
          <w:ilvl w:val="0"/>
          <w:numId w:val="11"/>
        </w:numPr>
      </w:pPr>
      <w:r>
        <w:t>Open and edit a previously run query.</w:t>
      </w:r>
    </w:p>
    <w:p w14:paraId="79DCDD43" w14:textId="77777777" w:rsidR="00807B8E" w:rsidRDefault="00411067">
      <w:pPr>
        <w:pStyle w:val="FirstParagraph"/>
      </w:pPr>
      <w:r>
        <w:t>When you create a new query or edit an existing query, you can select the metrics to include and customize. You can also use filters to narrow the results and focus in on specific data.</w:t>
      </w:r>
    </w:p>
    <w:p w14:paraId="29214D06" w14:textId="77777777" w:rsidR="00807B8E" w:rsidRDefault="00411067">
      <w:pPr>
        <w:pStyle w:val="CaptionedFigure"/>
      </w:pPr>
      <w:r>
        <w:rPr>
          <w:noProof/>
        </w:rPr>
        <w:lastRenderedPageBreak/>
        <w:drawing>
          <wp:inline distT="0" distB="0" distL="0" distR="0" wp14:anchorId="2F5670E9" wp14:editId="22366FFD">
            <wp:extent cx="5334000" cy="2294245"/>
            <wp:effectExtent l="0" t="0" r="0" b="0"/>
            <wp:docPr id="7" name="Picture" descr="Customize metrics"/>
            <wp:cNvGraphicFramePr/>
            <a:graphic xmlns:a="http://schemas.openxmlformats.org/drawingml/2006/main">
              <a:graphicData uri="http://schemas.openxmlformats.org/drawingml/2006/picture">
                <pic:pic xmlns:pic="http://schemas.openxmlformats.org/drawingml/2006/picture">
                  <pic:nvPicPr>
                    <pic:cNvPr id="0" name="Picture" descr="../Images/WpA/Use/Customize-attributes-and-metrics.png"/>
                    <pic:cNvPicPr>
                      <a:picLocks noChangeAspect="1" noChangeArrowheads="1"/>
                    </pic:cNvPicPr>
                  </pic:nvPicPr>
                  <pic:blipFill>
                    <a:blip r:embed="rId36"/>
                    <a:stretch>
                      <a:fillRect/>
                    </a:stretch>
                  </pic:blipFill>
                  <pic:spPr bwMode="auto">
                    <a:xfrm>
                      <a:off x="0" y="0"/>
                      <a:ext cx="5334000" cy="2294245"/>
                    </a:xfrm>
                    <a:prstGeom prst="rect">
                      <a:avLst/>
                    </a:prstGeom>
                    <a:noFill/>
                    <a:ln w="9525">
                      <a:noFill/>
                      <a:headEnd/>
                      <a:tailEnd/>
                    </a:ln>
                  </pic:spPr>
                </pic:pic>
              </a:graphicData>
            </a:graphic>
          </wp:inline>
        </w:drawing>
      </w:r>
    </w:p>
    <w:p w14:paraId="4D73C786" w14:textId="77777777" w:rsidR="00807B8E" w:rsidRDefault="00411067">
      <w:pPr>
        <w:pStyle w:val="Heading2"/>
      </w:pPr>
      <w:bookmarkStart w:id="21" w:name="predefined-query-templates"/>
      <w:bookmarkEnd w:id="20"/>
      <w:r>
        <w:t>Predefined query templates</w:t>
      </w:r>
    </w:p>
    <w:p w14:paraId="6DBA33D2" w14:textId="77777777" w:rsidR="00807B8E" w:rsidRDefault="00411067">
      <w:pPr>
        <w:pStyle w:val="FirstParagraph"/>
      </w:pPr>
      <w:r>
        <w:t xml:space="preserve">Workplace Analytics includes the following predefined query templates to help you get started with queries. In addition to these, a number of Power BI templates are also available. For details, see </w:t>
      </w:r>
      <w:hyperlink r:id="rId37">
        <w:r>
          <w:rPr>
            <w:rStyle w:val="Hyperlink"/>
          </w:rPr>
          <w:t>Power BI templates</w:t>
        </w:r>
      </w:hyperlink>
      <w:r>
        <w:t>.</w:t>
      </w:r>
    </w:p>
    <w:p w14:paraId="1B62FED2" w14:textId="77777777" w:rsidR="00807B8E" w:rsidRDefault="00411067">
      <w:pPr>
        <w:pStyle w:val="Compact"/>
        <w:numPr>
          <w:ilvl w:val="0"/>
          <w:numId w:val="12"/>
        </w:numPr>
      </w:pPr>
      <w:r>
        <w:rPr>
          <w:b/>
          <w:bCs/>
        </w:rPr>
        <w:t>Domain collaboration</w:t>
      </w:r>
      <w:r>
        <w:t xml:space="preserve"> analyzes collaboration patterns with external domains.</w:t>
      </w:r>
    </w:p>
    <w:p w14:paraId="3FD677C2" w14:textId="77777777" w:rsidR="00807B8E" w:rsidRDefault="00411067">
      <w:pPr>
        <w:pStyle w:val="Compact"/>
        <w:numPr>
          <w:ilvl w:val="0"/>
          <w:numId w:val="12"/>
        </w:numPr>
      </w:pPr>
      <w:r>
        <w:rPr>
          <w:b/>
          <w:bCs/>
        </w:rPr>
        <w:t>Standard meeting query</w:t>
      </w:r>
      <w:r>
        <w:t xml:space="preserve"> analyzes meetings by using the available base meeting query metrics.</w:t>
      </w:r>
    </w:p>
    <w:p w14:paraId="21BD3388" w14:textId="77777777" w:rsidR="00807B8E" w:rsidRDefault="00411067">
      <w:pPr>
        <w:pStyle w:val="Compact"/>
        <w:numPr>
          <w:ilvl w:val="0"/>
          <w:numId w:val="12"/>
        </w:numPr>
      </w:pPr>
      <w:r>
        <w:rPr>
          <w:b/>
          <w:bCs/>
        </w:rPr>
        <w:t>Standard person query</w:t>
      </w:r>
      <w:r>
        <w:t xml:space="preserve"> analyzes collaboration</w:t>
      </w:r>
      <w:r>
        <w:t xml:space="preserve"> patterns by using the available base person query metrics.</w:t>
      </w:r>
    </w:p>
    <w:p w14:paraId="726EAB04" w14:textId="77777777" w:rsidR="00807B8E" w:rsidRDefault="00411067">
      <w:pPr>
        <w:pStyle w:val="Compact"/>
        <w:numPr>
          <w:ilvl w:val="0"/>
          <w:numId w:val="12"/>
        </w:numPr>
      </w:pPr>
      <w:r>
        <w:rPr>
          <w:b/>
          <w:bCs/>
        </w:rPr>
        <w:t>Hourly collaboration</w:t>
      </w:r>
      <w:r>
        <w:t xml:space="preserve"> analyzes meeting, email, instant-message, and call activity by hour of the day.</w:t>
      </w:r>
    </w:p>
    <w:p w14:paraId="1AA3A4A7" w14:textId="77777777" w:rsidR="00807B8E" w:rsidRDefault="00411067">
      <w:pPr>
        <w:pStyle w:val="Heading2"/>
      </w:pPr>
      <w:bookmarkStart w:id="22" w:name="videos"/>
      <w:bookmarkEnd w:id="21"/>
      <w:r>
        <w:t>Videos</w:t>
      </w:r>
    </w:p>
    <w:p w14:paraId="12F0593C" w14:textId="77777777" w:rsidR="00807B8E" w:rsidRDefault="00411067">
      <w:pPr>
        <w:pStyle w:val="FirstParagraph"/>
      </w:pPr>
      <w:r>
        <w:t>The videos in this section were used in a bootcamp for training analysts in how to run queries in Workplace Analytics.</w:t>
      </w:r>
    </w:p>
    <w:p w14:paraId="299C1FFA" w14:textId="77777777" w:rsidR="00807B8E" w:rsidRDefault="00411067">
      <w:pPr>
        <w:pStyle w:val="Heading3"/>
      </w:pPr>
      <w:bookmarkStart w:id="23" w:name="a-week-in-the-life"/>
      <w:r>
        <w:t>A week in the life</w:t>
      </w:r>
    </w:p>
    <w:p w14:paraId="658370BE" w14:textId="77777777" w:rsidR="00807B8E" w:rsidRDefault="00411067">
      <w:pPr>
        <w:pStyle w:val="FirstParagraph"/>
      </w:pPr>
      <w:r>
        <w:t xml:space="preserve">The </w:t>
      </w:r>
      <w:r>
        <w:rPr>
          <w:i/>
          <w:iCs/>
        </w:rPr>
        <w:t>A week in the life</w:t>
      </w:r>
      <w:r>
        <w:t xml:space="preserve"> video demonstrates how to work with a </w:t>
      </w:r>
      <w:hyperlink r:id="rId38">
        <w:r>
          <w:rPr>
            <w:rStyle w:val="Hyperlink"/>
          </w:rPr>
          <w:t>person query</w:t>
        </w:r>
      </w:hyperlink>
      <w:r>
        <w:t>.</w:t>
      </w:r>
    </w:p>
    <w:p w14:paraId="7E890854" w14:textId="77777777" w:rsidR="00807B8E" w:rsidRDefault="00411067">
      <w:pPr>
        <w:pStyle w:val="Heading3"/>
      </w:pPr>
      <w:bookmarkStart w:id="24" w:name="expensive-meetings"/>
      <w:bookmarkEnd w:id="23"/>
      <w:r>
        <w:t>Expens</w:t>
      </w:r>
      <w:r>
        <w:t>ive meetings</w:t>
      </w:r>
    </w:p>
    <w:p w14:paraId="6A118084" w14:textId="77777777" w:rsidR="00807B8E" w:rsidRDefault="00411067">
      <w:pPr>
        <w:pStyle w:val="FirstParagraph"/>
      </w:pPr>
      <w:r>
        <w:t xml:space="preserve">The </w:t>
      </w:r>
      <w:r>
        <w:rPr>
          <w:i/>
          <w:iCs/>
        </w:rPr>
        <w:t>Expensive meetings</w:t>
      </w:r>
      <w:r>
        <w:t xml:space="preserve"> video demonstrates how to work with a </w:t>
      </w:r>
      <w:hyperlink r:id="rId39">
        <w:r>
          <w:rPr>
            <w:rStyle w:val="Hyperlink"/>
          </w:rPr>
          <w:t>meeting query</w:t>
        </w:r>
      </w:hyperlink>
      <w:r>
        <w:t>.</w:t>
      </w:r>
    </w:p>
    <w:p w14:paraId="3C7C277D" w14:textId="77777777" w:rsidR="00807B8E" w:rsidRDefault="00411067">
      <w:pPr>
        <w:pStyle w:val="Heading2"/>
      </w:pPr>
      <w:bookmarkStart w:id="25" w:name="related-topics"/>
      <w:bookmarkEnd w:id="22"/>
      <w:bookmarkEnd w:id="24"/>
      <w:r>
        <w:t>Related topics</w:t>
      </w:r>
    </w:p>
    <w:p w14:paraId="0203B098" w14:textId="77777777" w:rsidR="00807B8E" w:rsidRDefault="00411067">
      <w:pPr>
        <w:pStyle w:val="Compact"/>
        <w:numPr>
          <w:ilvl w:val="0"/>
          <w:numId w:val="13"/>
        </w:numPr>
      </w:pPr>
      <w:hyperlink r:id="rId40">
        <w:r>
          <w:rPr>
            <w:rStyle w:val="Hyperlink"/>
          </w:rPr>
          <w:t>Power BI templates</w:t>
        </w:r>
      </w:hyperlink>
    </w:p>
    <w:p w14:paraId="629A63F3" w14:textId="77777777" w:rsidR="00807B8E" w:rsidRDefault="00411067">
      <w:pPr>
        <w:pStyle w:val="Compact"/>
        <w:numPr>
          <w:ilvl w:val="0"/>
          <w:numId w:val="13"/>
        </w:numPr>
      </w:pPr>
      <w:hyperlink r:id="rId41">
        <w:r>
          <w:rPr>
            <w:rStyle w:val="Hyperlink"/>
          </w:rPr>
          <w:t>Wor</w:t>
        </w:r>
        <w:r>
          <w:rPr>
            <w:rStyle w:val="Hyperlink"/>
          </w:rPr>
          <w:t>kplace Analytics glossary</w:t>
        </w:r>
      </w:hyperlink>
    </w:p>
    <w:p w14:paraId="57F94BFA" w14:textId="77777777" w:rsidR="00807B8E" w:rsidRDefault="00411067">
      <w:pPr>
        <w:pStyle w:val="Compact"/>
        <w:numPr>
          <w:ilvl w:val="0"/>
          <w:numId w:val="13"/>
        </w:numPr>
      </w:pPr>
      <w:hyperlink r:id="rId42">
        <w:r>
          <w:rPr>
            <w:rStyle w:val="Hyperlink"/>
          </w:rPr>
          <w:t>Metric descriptions</w:t>
        </w:r>
      </w:hyperlink>
      <w:bookmarkEnd w:id="0"/>
      <w:bookmarkEnd w:id="25"/>
    </w:p>
    <w:sectPr w:rsidR="00807B8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Paul Schafer (Steyer Associates Inc)" w:date="2021-08-19T23:40:00Z" w:initials="PS(AI">
    <w:p w14:paraId="1608929B" w14:textId="77777777" w:rsidR="00B54E6E" w:rsidRDefault="00B54E6E" w:rsidP="003D66C5">
      <w:pPr>
        <w:pStyle w:val="CommentText"/>
      </w:pPr>
      <w:r>
        <w:rPr>
          <w:rStyle w:val="CommentReference"/>
        </w:rPr>
        <w:annotationRef/>
      </w:r>
      <w:r>
        <w:t>New content starts here</w:t>
      </w:r>
    </w:p>
  </w:comment>
  <w:comment w:id="11" w:author="Paul Schafer (Steyer Associates Inc)" w:date="2021-08-19T23:40:00Z" w:initials="PS(AI">
    <w:p w14:paraId="05CC9C59" w14:textId="77777777" w:rsidR="00B54E6E" w:rsidRDefault="00B54E6E" w:rsidP="00BD1B2F">
      <w:pPr>
        <w:pStyle w:val="CommentText"/>
      </w:pPr>
      <w:r>
        <w:rPr>
          <w:rStyle w:val="CommentReference"/>
        </w:rPr>
        <w:annotationRef/>
      </w:r>
      <w:r>
        <w:t>New content ends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08929B" w15:done="0"/>
  <w15:commentEx w15:paraId="05CC9C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96A6C" w16cex:dateUtc="2021-08-20T06:40:00Z"/>
  <w16cex:commentExtensible w16cex:durableId="24C96A86" w16cex:dateUtc="2021-08-20T06: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08929B" w16cid:durableId="24C96A6C"/>
  <w16cid:commentId w16cid:paraId="05CC9C59" w16cid:durableId="24C96A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A1906" w14:textId="77777777" w:rsidR="00411067" w:rsidRDefault="00411067">
      <w:pPr>
        <w:spacing w:after="0"/>
      </w:pPr>
      <w:r>
        <w:separator/>
      </w:r>
    </w:p>
  </w:endnote>
  <w:endnote w:type="continuationSeparator" w:id="0">
    <w:p w14:paraId="2C0C8EFF" w14:textId="77777777" w:rsidR="00411067" w:rsidRDefault="004110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2AE28" w14:textId="77777777" w:rsidR="00411067" w:rsidRDefault="00411067">
      <w:r>
        <w:separator/>
      </w:r>
    </w:p>
  </w:footnote>
  <w:footnote w:type="continuationSeparator" w:id="0">
    <w:p w14:paraId="6FCAE715" w14:textId="77777777" w:rsidR="00411067" w:rsidRDefault="004110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4189E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69802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C226F1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Schafer (Steyer Associates Inc)">
    <w15:presenceInfo w15:providerId="AD" w15:userId="S::v-pausch@microsoft.com::d7f8c48e-4608-4204-b63e-3aa4f75958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11067"/>
    <w:rsid w:val="004E29B3"/>
    <w:rsid w:val="00590D07"/>
    <w:rsid w:val="00784D58"/>
    <w:rsid w:val="00807B8E"/>
    <w:rsid w:val="008D6863"/>
    <w:rsid w:val="00B54E6E"/>
    <w:rsid w:val="00B86B75"/>
    <w:rsid w:val="00BC48D5"/>
    <w:rsid w:val="00C36279"/>
    <w:rsid w:val="00CA71B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7821"/>
  <w15:docId w15:val="{1EC15829-07C3-44EF-BF5C-10D0366C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B54E6E"/>
    <w:rPr>
      <w:sz w:val="16"/>
      <w:szCs w:val="16"/>
    </w:rPr>
  </w:style>
  <w:style w:type="paragraph" w:styleId="CommentText">
    <w:name w:val="annotation text"/>
    <w:basedOn w:val="Normal"/>
    <w:link w:val="CommentTextChar"/>
    <w:unhideWhenUsed/>
    <w:rsid w:val="00B54E6E"/>
    <w:rPr>
      <w:sz w:val="20"/>
      <w:szCs w:val="20"/>
    </w:rPr>
  </w:style>
  <w:style w:type="character" w:customStyle="1" w:styleId="CommentTextChar">
    <w:name w:val="Comment Text Char"/>
    <w:basedOn w:val="DefaultParagraphFont"/>
    <w:link w:val="CommentText"/>
    <w:rsid w:val="00B54E6E"/>
    <w:rPr>
      <w:sz w:val="20"/>
      <w:szCs w:val="20"/>
    </w:rPr>
  </w:style>
  <w:style w:type="paragraph" w:styleId="CommentSubject">
    <w:name w:val="annotation subject"/>
    <w:basedOn w:val="CommentText"/>
    <w:next w:val="CommentText"/>
    <w:link w:val="CommentSubjectChar"/>
    <w:semiHidden/>
    <w:unhideWhenUsed/>
    <w:rsid w:val="00B54E6E"/>
    <w:rPr>
      <w:b/>
      <w:bCs/>
    </w:rPr>
  </w:style>
  <w:style w:type="character" w:customStyle="1" w:styleId="CommentSubjectChar">
    <w:name w:val="Comment Subject Char"/>
    <w:basedOn w:val="CommentTextChar"/>
    <w:link w:val="CommentSubject"/>
    <w:semiHidden/>
    <w:rsid w:val="00B54E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person-queries.md" TargetMode="External"/><Relationship Id="rId18" Type="http://schemas.openxmlformats.org/officeDocument/2006/relationships/image" Target="media/image4.png"/><Relationship Id="rId26" Type="http://schemas.openxmlformats.org/officeDocument/2006/relationships/image" Target="media/image6.png"/><Relationship Id="rId39" Type="http://schemas.openxmlformats.org/officeDocument/2006/relationships/hyperlink" Target="meeting-queries.md" TargetMode="External"/><Relationship Id="rId21" Type="http://schemas.openxmlformats.org/officeDocument/2006/relationships/hyperlink" Target="solutionsv2-intro.md" TargetMode="External"/><Relationship Id="rId34" Type="http://schemas.openxmlformats.org/officeDocument/2006/relationships/hyperlink" Target="../Tutorials/meeting-exclusions-intro.md" TargetMode="External"/><Relationship Id="rId42" Type="http://schemas.openxmlformats.org/officeDocument/2006/relationships/hyperlink" Target="../Use/Metric-definitions.md"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crm-queries.md" TargetMode="External"/><Relationship Id="rId29" Type="http://schemas.openxmlformats.org/officeDocument/2006/relationships/hyperlink" Target="../Tutorials/group-to-group-queries.md"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yperlink" Target="use/solutions-scan.md" TargetMode="External"/><Relationship Id="rId32" Type="http://schemas.openxmlformats.org/officeDocument/2006/relationships/hyperlink" Target="ona-person-query.md" TargetMode="External"/><Relationship Id="rId37" Type="http://schemas.openxmlformats.org/officeDocument/2006/relationships/hyperlink" Target="power-bi-intro.md" TargetMode="External"/><Relationship Id="rId40" Type="http://schemas.openxmlformats.org/officeDocument/2006/relationships/hyperlink" Target="../Tutorials/Power-bi-templates.md"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use/metric-definitions.md" TargetMode="External"/><Relationship Id="rId23" Type="http://schemas.openxmlformats.org/officeDocument/2006/relationships/hyperlink" Target="../use/viva-insights-my-org.md" TargetMode="External"/><Relationship Id="rId28" Type="http://schemas.openxmlformats.org/officeDocument/2006/relationships/hyperlink" Target="../Tutorials/meeting-queries.md" TargetMode="External"/><Relationship Id="rId36" Type="http://schemas.openxmlformats.org/officeDocument/2006/relationships/image" Target="media/image7.png"/><Relationship Id="rId10" Type="http://schemas.microsoft.com/office/2011/relationships/commentsExtended" Target="commentsExtended.xml"/><Relationship Id="rId19" Type="http://schemas.openxmlformats.org/officeDocument/2006/relationships/hyperlink" Target="query-auto-refresh.md" TargetMode="External"/><Relationship Id="rId31" Type="http://schemas.openxmlformats.org/officeDocument/2006/relationships/hyperlink" Target="../Tutorials/comparison-query.md" TargetMode="External"/><Relationship Id="rId44"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use/viva-insights-my-team.md" TargetMode="External"/><Relationship Id="rId27" Type="http://schemas.openxmlformats.org/officeDocument/2006/relationships/hyperlink" Target="../Tutorials/person-queries.md" TargetMode="External"/><Relationship Id="rId30" Type="http://schemas.openxmlformats.org/officeDocument/2006/relationships/hyperlink" Target="../Tutorials/person-to-group-queries.md" TargetMode="External"/><Relationship Id="rId35" Type="http://schemas.openxmlformats.org/officeDocument/2006/relationships/hyperlink" Target="../Tutorials/solutionsv2-intro.md" TargetMode="External"/><Relationship Id="rId43" Type="http://schemas.openxmlformats.org/officeDocument/2006/relationships/fontTable" Target="fontTable.xml"/><Relationship Id="rId8" Type="http://schemas.openxmlformats.org/officeDocument/2006/relationships/hyperlink" Target="../use/office-365-data.md" TargetMode="External"/><Relationship Id="rId3"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image" Target="media/image3.png"/><Relationship Id="rId25" Type="http://schemas.openxmlformats.org/officeDocument/2006/relationships/hyperlink" Target="../use/explore-intro.md" TargetMode="External"/><Relationship Id="rId33" Type="http://schemas.openxmlformats.org/officeDocument/2006/relationships/hyperlink" Target="ona-person-to-person-query.md" TargetMode="External"/><Relationship Id="rId38" Type="http://schemas.openxmlformats.org/officeDocument/2006/relationships/hyperlink" Target="person-queries.md" TargetMode="External"/><Relationship Id="rId20" Type="http://schemas.openxmlformats.org/officeDocument/2006/relationships/image" Target="media/image5.png"/><Relationship Id="rId41" Type="http://schemas.openxmlformats.org/officeDocument/2006/relationships/hyperlink" Target="../Use/Glossary.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2227</Words>
  <Characters>12695</Characters>
  <Application>Microsoft Office Word</Application>
  <DocSecurity>0</DocSecurity>
  <Lines>105</Lines>
  <Paragraphs>29</Paragraphs>
  <ScaleCrop>false</ScaleCrop>
  <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Paul Schafer (Steyer Associates Inc)</cp:lastModifiedBy>
  <cp:revision>3</cp:revision>
  <dcterms:created xsi:type="dcterms:W3CDTF">2021-08-20T06:39:00Z</dcterms:created>
  <dcterms:modified xsi:type="dcterms:W3CDTF">2021-08-20T06:41:00Z</dcterms:modified>
</cp:coreProperties>
</file>