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317B2" w14:textId="0ABB56B9" w:rsidR="00CE2AB7" w:rsidRDefault="001C57DD" w:rsidP="001C57DD">
      <w:pPr>
        <w:pStyle w:val="1"/>
      </w:pPr>
      <w:r>
        <w:fldChar w:fldCharType="begin"/>
      </w:r>
      <w:r>
        <w:instrText>FluidMarker SwitchCase ItCR0LDQvdC60YDQvtGC0YHRgtCy0L4i</w:instrText>
      </w:r>
      <w:r>
        <w:fldChar w:fldCharType="separate"/>
      </w:r>
      <w:r>
        <w:rPr>
          <w:shd w:val="solid" w:color="B3E7FB" w:fill="auto"/>
        </w:rPr>
        <w:t>{вариант("Банкротство")}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CE2AB7"/>
    <w:rsid w:val="00FD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2026-02-09T21:27:00Z</dcterms:modified>
</cp:coreProperties>
</file>