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EDDE" w14:textId="4FFAAAC2" w:rsidR="00CE2AB7" w:rsidRDefault="001C57DD" w:rsidP="001C57DD">
      <w:pPr>
        <w:pStyle w:val="1"/>
      </w:pPr>
      <w:r>
        <w:fldChar w:fldCharType="begin"/>
      </w:r>
      <w:r>
        <w:instrText>FluidMarker SwitchCase ItCS0LfQvdC+0YHRiyDQvdCwINC60LDQv9C40YLQsNC70YzQvdGL0Lkg0YDQtdC80L7QvdGCIg==</w:instrText>
      </w:r>
      <w:r>
        <w:fldChar w:fldCharType="separate"/>
      </w:r>
      <w:r>
        <w:rPr>
          <w:shd w:val="solid" w:color="B3E7FB" w:fill="auto"/>
        </w:rPr>
        <w:t>{вариант("Взносы на капитальный ремонт")}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7A15AA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2026-02-09T21:27:00Z</dcterms:modified>
</cp:coreProperties>
</file>