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B982" w14:textId="41FBA37D" w:rsidR="00CE2AB7" w:rsidRDefault="001C57DD" w:rsidP="001C57DD">
      <w:pPr>
        <w:pStyle w:val="1"/>
      </w:pPr>
      <w:r>
        <w:fldChar w:fldCharType="begin"/>
      </w:r>
      <w:r>
        <w:instrText>FluidMarker SwitchCase ItCU0L7Qs9C+0LLQvtGAINC30LDQudC80LAgKNGA0LDRgdC/0LjRgdC60LApIg==</w:instrText>
      </w:r>
      <w:r>
        <w:fldChar w:fldCharType="separate"/>
      </w:r>
      <w:r>
        <w:rPr>
          <w:shd w:val="solid" w:color="B3E7FB" w:fill="auto"/>
        </w:rPr>
        <w:t>{вариант("Договор займа (расписка)")}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E2AB7"/>
    <w:rsid w:val="00F9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2026-02-09T21:27:00Z</dcterms:modified>
</cp:coreProperties>
</file>