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65652" w14:textId="5AE7AA48" w:rsidR="00CE2AB7" w:rsidRDefault="001C57DD" w:rsidP="001C57DD">
      <w:pPr>
        <w:pStyle w:val="1"/>
      </w:pPr>
      <w:r>
        <w:fldChar w:fldCharType="begin"/>
      </w:r>
      <w:r>
        <w:instrText>FluidMarker SwitchCase ItCW0JrQpSI=</w:instrText>
      </w:r>
      <w:r>
        <w:fldChar w:fldCharType="separate"/>
      </w:r>
      <w:r>
        <w:rPr>
          <w:shd w:val="solid" w:color="B3E7FB" w:fill="auto"/>
        </w:rPr>
        <w:t>{вариант("ЖКХ")}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0579E9"/>
    <w:rsid w:val="001C57DD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2026-02-09T21:28:00Z</dcterms:modified>
</cp:coreProperties>
</file>