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B486" w14:textId="14FCD4D1" w:rsidR="00CE2AB7" w:rsidRDefault="001C57DD" w:rsidP="001C57DD">
      <w:pPr>
        <w:pStyle w:val="1"/>
      </w:pPr>
      <w:r>
        <w:fldChar w:fldCharType="begin"/>
      </w:r>
      <w:r>
        <w:instrText>FluidMarker SwitchCase ItCf0YDQuNC90YPQtNC40YLQtdC70YzQvdCw0Y8g0LDRgNC10L3QtNCwIg==</w:instrText>
      </w:r>
      <w:r>
        <w:fldChar w:fldCharType="separate"/>
      </w:r>
      <w:r>
        <w:rPr>
          <w:shd w:val="solid" w:color="B3E7FB" w:fill="auto"/>
        </w:rPr>
        <w:t>{вариант("Принудительная аренда")}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BF1FC2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2026-02-09T21:29:00Z</dcterms:modified>
</cp:coreProperties>
</file>