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4D95D" w14:textId="55B599DC" w:rsidR="00CE2AB7" w:rsidRDefault="001C57DD" w:rsidP="001C57DD">
      <w:pPr>
        <w:pStyle w:val="1"/>
      </w:pPr>
      <w:r>
        <w:fldChar w:fldCharType="begin"/>
      </w:r>
      <w:r>
        <w:instrText>FluidMarker SwitchCase ItCf0YDQvtGG0LXQvdGC0Ysg0LfQsCDQvdC10LjRgdC/0L7Qu9C90LXQvdC40LUg0YDQtdGI0LXQvdC40Y8g0YHRg9C00LAi</w:instrText>
      </w:r>
      <w:r>
        <w:fldChar w:fldCharType="separate"/>
      </w:r>
      <w:r>
        <w:rPr>
          <w:shd w:val="solid" w:color="B3E7FB" w:fill="auto"/>
        </w:rPr>
        <w:t>{вариант("Проценты за неисполнение решения суда")}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A300E9"/>
    <w:rsid w:val="00C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2026-02-09T21:29:00Z</dcterms:modified>
</cp:coreProperties>
</file>