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E577B" w14:textId="1A7124FD" w:rsidR="00CE2AB7" w:rsidRDefault="001C57DD" w:rsidP="001C57DD">
      <w:pPr>
        <w:pStyle w:val="1"/>
      </w:pPr>
      <w:r>
        <w:fldChar w:fldCharType="begin"/>
      </w:r>
      <w:r>
        <w:instrText>FluidMarker SwitchCase ItCf0YDQvtGG0LXQvdGC0Ysg0L/QviDQtNC+0LPQvtCy0L7RgNGDINC30LDQudC80LAgKNGA0LDRgdC/0LjRgdC60LUpIg==</w:instrText>
      </w:r>
      <w:r>
        <w:fldChar w:fldCharType="separate"/>
      </w:r>
      <w:r>
        <w:rPr>
          <w:shd w:val="solid" w:color="B3E7FB" w:fill="auto"/>
        </w:rPr>
        <w:t>{вариант("Проценты по договору займа (расписке)")}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47829"/>
    <w:rsid w:val="001C57DD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2026-02-09T21:30:00Z</dcterms:modified>
</cp:coreProperties>
</file>