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5A765" w14:textId="05D3C157" w:rsidR="00CE2AB7" w:rsidRDefault="001C57DD" w:rsidP="001C57DD">
      <w:pPr>
        <w:pStyle w:val="1"/>
      </w:pPr>
      <w:r>
        <w:fldChar w:fldCharType="begin"/>
      </w:r>
      <w:r>
        <w:instrText>FluidMarker SwitchCase ItCh0L7QstC80LXRgdGC0L3QviDQvdCw0LbQuNGC0L7QtSDQuNC80YPRidC10YHRgtCy0L4i</w:instrText>
      </w:r>
      <w:r>
        <w:fldChar w:fldCharType="separate"/>
      </w:r>
      <w:r>
        <w:rPr>
          <w:shd w:val="solid" w:color="B3E7FB" w:fill="auto"/>
        </w:rPr>
        <w:t>{вариант("Совместно нажитое имущество")}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3368F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2026-02-09T21:31:00Z</dcterms:modified>
</cp:coreProperties>
</file>