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45709" w14:textId="2912CC65" w:rsidR="00CE2AB7" w:rsidRDefault="001C57DD" w:rsidP="001C57DD">
      <w:pPr>
        <w:pStyle w:val="1"/>
      </w:pPr>
      <w:r>
        <w:fldChar w:fldCharType="begin"/>
      </w:r>
      <w:r>
        <w:instrText>FluidMarker SwitchCase ItCh0YPQtNC10LHQvdGL0LUg0LjQt9C00LXRgNC20LrQuCI=</w:instrText>
      </w:r>
      <w:r>
        <w:fldChar w:fldCharType="separate"/>
      </w:r>
      <w:r>
        <w:rPr>
          <w:shd w:val="solid" w:color="B3E7FB" w:fill="auto"/>
        </w:rPr>
        <w:t>{вариант("Судебные издержки")}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3E78CC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2026-02-09T21:32:00Z</dcterms:modified>
</cp:coreProperties>
</file>