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3A5C"/>
          <w:sz w:val="44"/>
          <w:szCs w:val="44"/>
        </w:rPr>
        <w:t xml:space="preserve">PULSE WAR ROOM</w:t>
      </w:r>
    </w:p>
    <w:p>
      <w:pPr>
        <w:spacing w:after="40"/>
        <w:jc w:val="center"/>
      </w:pPr>
      <w:r>
        <w:rPr>
          <w:rFonts w:ascii="Arial" w:cs="Arial" w:eastAsia="Arial" w:hAnsi="Arial"/>
          <w:color w:val="475569"/>
          <w:sz w:val="24"/>
          <w:szCs w:val="24"/>
        </w:rPr>
        <w:t xml:space="preserve">Profit Pool Unified Landscape Simulation Engine</w:t>
      </w:r>
    </w:p>
    <w:p>
      <w:pPr>
        <w:spacing w:after="600"/>
        <w:jc w:val="center"/>
      </w:pPr>
      <w:r>
        <w:rPr>
          <w:rFonts w:ascii="Arial" w:cs="Arial" w:eastAsia="Arial" w:hAnsi="Arial"/>
          <w:color w:val="CBD5E1"/>
          <w:sz w:val="18"/>
          <w:szCs w:val="18"/>
        </w:rPr>
        <w:t xml:space="preserve">────────────────────────────────────────</w:t>
      </w:r>
    </w:p>
    <w:p>
      <w:pPr>
        <w:spacing w:after="120"/>
        <w:jc w:val="center"/>
      </w:pPr>
      <w:r>
        <w:rPr>
          <w:rFonts w:ascii="Arial" w:cs="Arial" w:eastAsia="Arial" w:hAnsi="Arial"/>
          <w:b/>
          <w:bCs/>
          <w:color w:val="2E75B6"/>
          <w:sz w:val="28"/>
          <w:szCs w:val="28"/>
        </w:rPr>
        <w:t xml:space="preserve">Senior Partner Audit &amp; Readiness Assessment</w:t>
      </w:r>
    </w:p>
    <w:p>
      <w:pPr>
        <w:spacing w:after="80"/>
        <w:jc w:val="center"/>
      </w:pPr>
      <w:r>
        <w:rPr>
          <w:rFonts w:ascii="Arial" w:cs="Arial" w:eastAsia="Arial" w:hAnsi="Arial"/>
          <w:color w:val="64748B"/>
          <w:sz w:val="21"/>
          <w:szCs w:val="21"/>
        </w:rPr>
        <w:t xml:space="preserve">UI/UX, Design, Strategic Utility &amp; CEO-Readiness Review</w:t>
      </w:r>
    </w:p>
    <w:p>
      <w:pPr>
        <w:spacing w:after="600"/>
        <w:jc w:val="center"/>
      </w:pPr>
      <w:r>
        <w:rPr>
          <w:rFonts w:ascii="Arial" w:cs="Arial" w:eastAsia="Arial" w:hAnsi="Arial"/>
          <w:color w:val="64748B"/>
          <w:sz w:val="20"/>
          <w:szCs w:val="20"/>
        </w:rPr>
        <w:t xml:space="preserve">March 27, 2026</w:t>
      </w:r>
    </w:p>
    <w:p>
      <w:pPr>
        <w:spacing w:after="40"/>
        <w:jc w:val="center"/>
      </w:pPr>
      <w:r>
        <w:rPr>
          <w:rFonts w:ascii="Arial" w:cs="Arial" w:eastAsia="Arial" w:hAnsi="Arial"/>
          <w:color w:val="475569"/>
          <w:sz w:val="19"/>
          <w:szCs w:val="19"/>
        </w:rPr>
        <w:t xml:space="preserve">Prepared for: Henkel Consumer Brands — Strategy VP</w:t>
      </w:r>
    </w:p>
    <w:p>
      <w:pPr>
        <w:spacing w:after="40"/>
        <w:jc w:val="center"/>
      </w:pPr>
      <w:r>
        <w:rPr>
          <w:rFonts w:ascii="Arial" w:cs="Arial" w:eastAsia="Arial" w:hAnsi="Arial"/>
          <w:b/>
          <w:bCs/>
          <w:color w:val="991B1B"/>
          <w:sz w:val="19"/>
          <w:szCs w:val="19"/>
        </w:rPr>
        <w:t xml:space="preserve">Classification: CONFIDENTIAL</w:t>
      </w:r>
    </w:p>
    <w:p>
      <w:r>
        <w:br w:type="page"/>
      </w:r>
    </w:p>
    <w:p>
      <w:pPr>
        <w:pStyle w:val="Heading1"/>
        <w:spacing w:after="120" w:before="360"/>
      </w:pPr>
      <w:r>
        <w:rPr>
          <w:rFonts w:ascii="Arial" w:cs="Arial" w:eastAsia="Arial" w:hAnsi="Arial"/>
          <w:b/>
          <w:bCs/>
          <w:color w:val="1B3A5C"/>
          <w:sz w:val="32"/>
          <w:szCs w:val="32"/>
        </w:rPr>
        <w:t xml:space="preserve">1. Executive Summary</w:t>
      </w:r>
    </w:p>
    <w:p>
      <w:pPr>
        <w:spacing w:after="140" w:line="276"/>
      </w:pPr>
      <w:r>
        <w:rPr>
          <w:rFonts w:ascii="Arial" w:cs="Arial" w:eastAsia="Arial" w:hAnsi="Arial"/>
          <w:color w:val="1A202C"/>
          <w:sz w:val="21"/>
          <w:szCs w:val="21"/>
        </w:rPr>
        <w:t xml:space="preserve">This document presents a rigorous audit of the PULSE War Room dashboard, evaluated through the lens of a Bain Senior Partner preparing to present this capability to a DAX-40 CEO Strategy Board. The assessment spans six dimensions: information architecture, visual design, interactive UX, strategic utility, data integrity, and CEO-readiness.</w:t>
      </w:r>
    </w:p>
    <w:p>
      <w:pPr>
        <w:pStyle w:val="Heading2"/>
        <w:spacing w:after="120" w:before="240"/>
      </w:pPr>
      <w:r>
        <w:rPr>
          <w:rFonts w:ascii="Arial" w:cs="Arial" w:eastAsia="Arial" w:hAnsi="Arial"/>
          <w:b/>
          <w:bCs/>
          <w:color w:val="1B3A5C"/>
          <w:sz w:val="26"/>
          <w:szCs w:val="26"/>
        </w:rPr>
        <w:t xml:space="preserve">Overall Verdict</w:t>
      </w:r>
    </w:p>
    <w:p>
      <w:pPr>
        <w:spacing w:after="140" w:line="276"/>
      </w:pPr>
      <w:r>
        <w:rPr>
          <w:rFonts w:ascii="Arial" w:cs="Arial" w:eastAsia="Arial" w:hAnsi="Arial"/>
          <w:color w:val="1A202C"/>
          <w:sz w:val="21"/>
          <w:szCs w:val="21"/>
        </w:rPr>
        <w:t xml:space="preserve">PULSE is an impressive and architecturally ambitious platform. The codebase demonstrates genuine understanding of probabilistic modeling, causal inference, and FMCG category dynamics. The visual design achieves Apple-grade quality in many areas. However, in its current state, several critical gaps would prevent a Senior Partner from presenting this with full confidence to a CEO-level audience. These gaps are fixable — and the recommendations below are ordered by impact.</w:t>
      </w:r>
    </w:p>
    <w:p>
      <w:pPr>
        <w:pStyle w:val="Heading2"/>
        <w:spacing w:after="120" w:before="240"/>
      </w:pPr>
      <w:r>
        <w:rPr>
          <w:rFonts w:ascii="Arial" w:cs="Arial" w:eastAsia="Arial" w:hAnsi="Arial"/>
          <w:b/>
          <w:bCs/>
          <w:color w:val="1B3A5C"/>
          <w:sz w:val="26"/>
          <w:szCs w:val="26"/>
        </w:rPr>
        <w:t xml:space="preserve">Score Card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4320"/>
      </w:tblGrid>
      <w:tr>
        <w:tc>
          <w:tcPr>
            <w:tcW w:type="dxa" w:w="4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14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Rating</w:t>
            </w:r>
          </w:p>
        </w:tc>
        <w:tc>
          <w:tcPr>
            <w:tcW w:type="dxa" w:w="432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Comment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Visual Design &amp; Polish</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8.5/10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Apple-grade light theme, strong typography, cohesive tokens</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Information Architecture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6.5/10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Good components, but layout is vertical scroll, not a true War Room</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Interactive UX</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7.0/10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Heatmap, DAG, timeline work well; drill-downs need refinement</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Strategic Utility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6.0/10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Shows shifts but doesn’t answer “so what should we do?” strongly enough</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Data Integrity &amp; Trust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7.5/10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MC simulation with seeded PRNG is solid; backtesting story incomplete</w:t>
            </w:r>
          </w:p>
        </w:tc>
      </w:tr>
      <w:tr>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9"/>
                <w:szCs w:val="19"/>
              </w:rPr>
              <w:t xml:space="preserve">CEO-Readiness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2E75B6"/>
                <w:sz w:val="19"/>
                <w:szCs w:val="19"/>
              </w:rPr>
              <w:t xml:space="preserve">5.5/10</w:t>
            </w:r>
          </w:p>
        </w:tc>
        <w:tc>
          <w:tcPr>
            <w:tcW w:type="dxa" w:w="43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Not yet presentation-ready; needs narrative layer and export polish</w:t>
            </w:r>
          </w:p>
        </w:tc>
      </w:tr>
    </w:tbl>
    <w:p>
      <w:r>
        <w:br w:type="page"/>
      </w:r>
    </w:p>
    <w:p>
      <w:pPr>
        <w:pStyle w:val="Heading1"/>
        <w:spacing w:after="120" w:before="360"/>
      </w:pPr>
      <w:r>
        <w:rPr>
          <w:rFonts w:ascii="Arial" w:cs="Arial" w:eastAsia="Arial" w:hAnsi="Arial"/>
          <w:b/>
          <w:bCs/>
          <w:color w:val="1B3A5C"/>
          <w:sz w:val="32"/>
          <w:szCs w:val="32"/>
        </w:rPr>
        <w:t xml:space="preserve">2. Critical Findings Summary</w:t>
      </w:r>
    </w:p>
    <w:p>
      <w:pPr>
        <w:spacing w:after="140" w:line="276"/>
      </w:pPr>
      <w:r>
        <w:rPr>
          <w:rFonts w:ascii="Arial" w:cs="Arial" w:eastAsia="Arial" w:hAnsi="Arial"/>
          <w:color w:val="1A202C"/>
          <w:sz w:val="21"/>
          <w:szCs w:val="21"/>
        </w:rPr>
        <w:t xml:space="preserve">Findings are ordered by severity: Critical (blocks CEO presentation), High (significantly degrades impact), Medium (should fix before production).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720"/>
      </w:tblGrid>
      <w:tr>
        <w:tc>
          <w:tcPr>
            <w:tcW w:type="dxa" w:w="48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2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372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Category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Mock data only — no live backend integration</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Critical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Data Integrity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No executive narrative or “So What” layer</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Critical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Strategic Utility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Vertical scroll layout breaks War Room metaphor</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Critical</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Information Architecture</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Export Center incomplete (PDF placeholder only)</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CEO-Readiness</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Heatmap shows category IDs, not human-readable names</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UX Polish</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Allocation chart disconnected from simulation output</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Strategic Utility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Causal DAG inactive edges nearly invisible (4% opacity)</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Visual Design</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No scenario comparison side-by-side view</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92400E"/>
                <w:sz w:val="19"/>
                <w:szCs w:val="19"/>
              </w:rPr>
              <w:t xml:space="preserve">High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Decision Support</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PathTimeline confidence bands incomplete</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19"/>
                <w:szCs w:val="19"/>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Data Visualization</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AI Insights bar uses light-mode styling in dark context</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19"/>
                <w:szCs w:val="19"/>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Design Consistency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Force Waterfall shows normalized scores, not actual GP1 shifts</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19"/>
                <w:szCs w:val="19"/>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Data Accuracy</w:t>
            </w:r>
          </w:p>
        </w:tc>
      </w:tr>
      <w:tr>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A202C"/>
                <w:sz w:val="19"/>
                <w:szCs w:val="19"/>
              </w:rPr>
              <w:t xml:space="preserve">No print/present mode for ExCo meetings</w:t>
            </w:r>
          </w:p>
        </w:tc>
        <w:tc>
          <w:tcPr>
            <w:tcW w:type="dxa" w:w="12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tcPr>
          <w:p>
            <w:pPr>
              <w:jc w:val="center"/>
            </w:pPr>
            <w:r>
              <w:rPr>
                <w:rFonts w:ascii="Arial" w:cs="Arial" w:eastAsia="Arial" w:hAnsi="Arial"/>
                <w:b/>
                <w:bCs/>
                <w:color w:val="065F46"/>
                <w:sz w:val="19"/>
                <w:szCs w:val="19"/>
              </w:rPr>
              <w:t xml:space="preserve">Medium</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19"/>
                <w:szCs w:val="19"/>
              </w:rPr>
              <w:t xml:space="preserve">CEO-Readiness</w:t>
            </w:r>
          </w:p>
        </w:tc>
      </w:tr>
    </w:tbl>
    <w:p>
      <w:r>
        <w:br w:type="page"/>
      </w:r>
    </w:p>
    <w:p>
      <w:pPr>
        <w:pStyle w:val="Heading1"/>
        <w:spacing w:after="120" w:before="360"/>
      </w:pPr>
      <w:r>
        <w:rPr>
          <w:rFonts w:ascii="Arial" w:cs="Arial" w:eastAsia="Arial" w:hAnsi="Arial"/>
          <w:b/>
          <w:bCs/>
          <w:color w:val="1B3A5C"/>
          <w:sz w:val="32"/>
          <w:szCs w:val="32"/>
        </w:rPr>
        <w:t xml:space="preserve">3. Detailed Analysis</w:t>
      </w:r>
    </w:p>
    <w:p>
      <w:pPr>
        <w:pStyle w:val="Heading2"/>
        <w:spacing w:after="120" w:before="240"/>
      </w:pPr>
      <w:r>
        <w:rPr>
          <w:rFonts w:ascii="Arial" w:cs="Arial" w:eastAsia="Arial" w:hAnsi="Arial"/>
          <w:b/>
          <w:bCs/>
          <w:color w:val="1B3A5C"/>
          <w:sz w:val="26"/>
          <w:szCs w:val="26"/>
        </w:rPr>
        <w:t xml:space="preserve">3.1 Information Architecture</w:t>
      </w:r>
    </w:p>
    <w:p>
      <w:pPr>
        <w:pStyle w:val="Heading3"/>
        <w:spacing w:after="120" w:before="240"/>
      </w:pPr>
      <w:r>
        <w:rPr>
          <w:rFonts w:ascii="Arial" w:cs="Arial" w:eastAsia="Arial" w:hAnsi="Arial"/>
          <w:b/>
          <w:bCs/>
          <w:color w:val="1B3A5C"/>
          <w:sz w:val="22"/>
          <w:szCs w:val="22"/>
        </w:rPr>
        <w:t xml:space="preserve">What Works</w:t>
      </w:r>
    </w:p>
    <w:p>
      <w:pPr>
        <w:spacing w:after="140" w:line="276"/>
      </w:pPr>
      <w:r>
        <w:rPr>
          <w:rFonts w:ascii="Arial" w:cs="Arial" w:eastAsia="Arial" w:hAnsi="Arial"/>
          <w:color w:val="1A202C"/>
          <w:sz w:val="21"/>
          <w:szCs w:val="21"/>
        </w:rPr>
        <w:t xml:space="preserve">The component hierarchy is well-conceived: HeadlineKPI (portfolio-level summary) leads into ShiftHeatmap (category detail), supported by PathTimeline (temporal view), CausalFlow (structural view), ForceWaterfall (decomposition), AllocationChart (recommendation), and TrendExplorer (evidence). This follows a natural analytical progression from “what” to “why” to “so what.”</w:t>
      </w:r>
    </w:p>
    <w:p>
      <w:pPr>
        <w:pStyle w:val="Heading3"/>
        <w:spacing w:after="120" w:before="240"/>
      </w:pPr>
      <w:r>
        <w:rPr>
          <w:rFonts w:ascii="Arial" w:cs="Arial" w:eastAsia="Arial" w:hAnsi="Arial"/>
          <w:b/>
          <w:bCs/>
          <w:color w:val="1B3A5C"/>
          <w:sz w:val="22"/>
          <w:szCs w:val="22"/>
        </w:rPr>
        <w:t xml:space="preserve">What Breaks the Spec</w:t>
      </w:r>
    </w:p>
    <w:p>
      <w:pPr>
        <w:spacing w:after="140" w:line="276"/>
      </w:pPr>
      <w:r>
        <w:rPr>
          <w:rFonts w:ascii="Arial" w:cs="Arial" w:eastAsia="Arial" w:hAnsi="Arial"/>
          <w:b/>
          <w:bCs/>
          <w:color w:val="1A202C"/>
          <w:sz w:val="21"/>
          <w:szCs w:val="21"/>
        </w:rPr>
        <w:t xml:space="preserve">The spec demands a single-screen War Room with contextual panels that slide in on click. </w:t>
      </w:r>
      <w:r>
        <w:rPr>
          <w:rFonts w:ascii="Arial" w:cs="Arial" w:eastAsia="Arial" w:hAnsi="Arial"/>
          <w:color w:val="1A202C"/>
          <w:sz w:val="21"/>
          <w:szCs w:val="21"/>
        </w:rPr>
        <w:t xml:space="preserve">The implementation is a vertical scroll page where all components are stacked sequentially. This is the single largest architectural deviation from the v2.0 specification. A CEO scrolling through 8+ sections cannot form the instant gestalt that a War Room provides. The spec explicitly calls for: headline KPI + heatmap + path timeline visible simultaneously, with right-panel drill-downs on click.</w:t>
      </w:r>
    </w:p>
    <w:p>
      <w:pPr>
        <w:spacing w:after="140" w:line="276"/>
      </w:pPr>
      <w:r>
        <w:rPr>
          <w:rFonts w:ascii="Arial" w:cs="Arial" w:eastAsia="Arial" w:hAnsi="Arial"/>
          <w:color w:val="1A202C"/>
          <w:sz w:val="21"/>
          <w:szCs w:val="21"/>
        </w:rPr>
        <w:t xml:space="preserve">The CategoryDetailPanel does implement the slide-in pattern correctly (from the right, with backdrop blur, spring animation). But this is the only contextual panel. Clicking a force in the DAG, clicking the KPI headline, or clicking the allocation chart — none of these trigger contextual drill-downs as the spec requires.</w:t>
      </w:r>
    </w:p>
    <w:p>
      <w:pPr>
        <w:pStyle w:val="Heading3"/>
        <w:spacing w:after="120" w:before="240"/>
      </w:pPr>
      <w:r>
        <w:rPr>
          <w:rFonts w:ascii="Arial" w:cs="Arial" w:eastAsia="Arial" w:hAnsi="Arial"/>
          <w:b/>
          <w:bCs/>
          <w:color w:val="1B3A5C"/>
          <w:sz w:val="22"/>
          <w:szCs w:val="22"/>
        </w:rPr>
        <w:t xml:space="preserve">Recommendation</w:t>
      </w:r>
    </w:p>
    <w:p>
      <w:pPr>
        <w:spacing w:after="140" w:line="276"/>
      </w:pPr>
      <w:r>
        <w:rPr>
          <w:rFonts w:ascii="Arial" w:cs="Arial" w:eastAsia="Arial" w:hAnsi="Arial"/>
          <w:color w:val="1A202C"/>
          <w:sz w:val="21"/>
          <w:szCs w:val="21"/>
        </w:rPr>
        <w:t xml:space="preserve">Restructure the layout into a true War Room grid: fixed header (52px), main area split 65/35 (heatmap+timeline left, contextual panel right), bottom bar for AI insights. The contextual panel content switches based on what the user clicks — this is the core UX innovation the spec envisions.</w:t>
      </w:r>
    </w:p>
    <w:p>
      <w:pPr>
        <w:pStyle w:val="Heading2"/>
        <w:spacing w:after="120" w:before="240"/>
      </w:pPr>
      <w:r>
        <w:rPr>
          <w:rFonts w:ascii="Arial" w:cs="Arial" w:eastAsia="Arial" w:hAnsi="Arial"/>
          <w:b/>
          <w:bCs/>
          <w:color w:val="1B3A5C"/>
          <w:sz w:val="26"/>
          <w:szCs w:val="26"/>
        </w:rPr>
        <w:t xml:space="preserve">3.2 Visual Design &amp; Design System</w:t>
      </w:r>
    </w:p>
    <w:p>
      <w:pPr>
        <w:pStyle w:val="Heading3"/>
        <w:spacing w:after="120" w:before="240"/>
      </w:pPr>
      <w:r>
        <w:rPr>
          <w:rFonts w:ascii="Arial" w:cs="Arial" w:eastAsia="Arial" w:hAnsi="Arial"/>
          <w:b/>
          <w:bCs/>
          <w:color w:val="1B3A5C"/>
          <w:sz w:val="22"/>
          <w:szCs w:val="22"/>
        </w:rPr>
        <w:t xml:space="preserve">What Works</w:t>
      </w:r>
    </w:p>
    <w:p>
      <w:pPr>
        <w:spacing w:after="140" w:line="276"/>
      </w:pPr>
      <w:r>
        <w:rPr>
          <w:rFonts w:ascii="Arial" w:cs="Arial" w:eastAsia="Arial" w:hAnsi="Arial"/>
          <w:color w:val="1A202C"/>
          <w:sz w:val="21"/>
          <w:szCs w:val="21"/>
        </w:rPr>
        <w:t xml:space="preserve">The design token system (format.ts) is well-structured and cohesive. The shift from the spec’s dark theme (#0F172A) to a light Apple-style theme (#FFFFFF background) is actually a strong decision — it’s more appropriate for a corporate FMCG environment where executives expect light, clean interfaces (Apple HIG, not Bloomberg Terminal). The typography choices (Inter + JetBrains Mono) are excellent. Color semantics are clear: green for expansion, red for contraction, purple for causal propagation, amber for warnings.</w:t>
      </w:r>
    </w:p>
    <w:p>
      <w:pPr>
        <w:pStyle w:val="Heading3"/>
        <w:spacing w:after="120" w:before="240"/>
      </w:pPr>
      <w:r>
        <w:rPr>
          <w:rFonts w:ascii="Arial" w:cs="Arial" w:eastAsia="Arial" w:hAnsi="Arial"/>
          <w:b/>
          <w:bCs/>
          <w:color w:val="1B3A5C"/>
          <w:sz w:val="22"/>
          <w:szCs w:val="22"/>
        </w:rPr>
        <w:t xml:space="preserve">What Needs Work</w:t>
      </w:r>
    </w:p>
    <w:p>
      <w:pPr>
        <w:spacing w:after="140" w:line="276"/>
      </w:pPr>
      <w:r>
        <w:rPr>
          <w:rFonts w:ascii="Arial" w:cs="Arial" w:eastAsia="Arial" w:hAnsi="Arial"/>
          <w:b/>
          <w:bCs/>
          <w:color w:val="1A202C"/>
          <w:sz w:val="21"/>
          <w:szCs w:val="21"/>
        </w:rPr>
        <w:t xml:space="preserve">Causal DAG visibility: </w:t>
      </w:r>
      <w:r>
        <w:rPr>
          <w:rFonts w:ascii="Arial" w:cs="Arial" w:eastAsia="Arial" w:hAnsi="Arial"/>
          <w:color w:val="1A202C"/>
          <w:sz w:val="21"/>
          <w:szCs w:val="21"/>
        </w:rPr>
        <w:t xml:space="preserve">Inactive edges are rendered at 4% opacity, making them effectively invisible. The DAG should show all edges at a low but readable opacity (15-20%) with active edges highlighted. Currently, clicking a force reveals edges that appear from nowhere — the user has no sense of the full causal structure until they interact.</w:t>
      </w:r>
    </w:p>
    <w:p>
      <w:pPr>
        <w:spacing w:after="140" w:line="276"/>
      </w:pPr>
      <w:r>
        <w:rPr>
          <w:rFonts w:ascii="Arial" w:cs="Arial" w:eastAsia="Arial" w:hAnsi="Arial"/>
          <w:b/>
          <w:bCs/>
          <w:color w:val="1A202C"/>
          <w:sz w:val="21"/>
          <w:szCs w:val="21"/>
        </w:rPr>
        <w:t xml:space="preserve">Heatmap cell sizing: </w:t>
      </w:r>
      <w:r>
        <w:rPr>
          <w:rFonts w:ascii="Arial" w:cs="Arial" w:eastAsia="Arial" w:hAnsi="Arial"/>
          <w:color w:val="1A202C"/>
          <w:sz w:val="21"/>
          <w:szCs w:val="21"/>
        </w:rPr>
        <w:t xml:space="preserve">The heatmap cells use a whileHover scale of 1.08, which causes layout jitter in the table structure. Heatmap cells in a matrix should never shift position on hover — use opacity or border changes instead.</w:t>
      </w:r>
    </w:p>
    <w:p>
      <w:pPr>
        <w:spacing w:after="140" w:line="276"/>
      </w:pPr>
      <w:r>
        <w:rPr>
          <w:rFonts w:ascii="Arial" w:cs="Arial" w:eastAsia="Arial" w:hAnsi="Arial"/>
          <w:b/>
          <w:bCs/>
          <w:color w:val="1A202C"/>
          <w:sz w:val="21"/>
          <w:szCs w:val="21"/>
        </w:rPr>
        <w:t xml:space="preserve">AI Insights Bar inconsistency: </w:t>
      </w:r>
      <w:r>
        <w:rPr>
          <w:rFonts w:ascii="Arial" w:cs="Arial" w:eastAsia="Arial" w:hAnsi="Arial"/>
          <w:color w:val="1A202C"/>
          <w:sz w:val="21"/>
          <w:szCs w:val="21"/>
        </w:rPr>
        <w:t xml:space="preserve">The AIInsightsBar component uses hardcoded light-mode colors (#FFFFFF, #1D1D1F, #F5F5F7) that happen to work because the main theme also switched to light mode. But these are not from the T design tokens — they’re raw values. If the theme ever needs to toggle, this component will break.</w:t>
      </w:r>
    </w:p>
    <w:p>
      <w:pPr>
        <w:spacing w:after="140" w:line="276"/>
      </w:pPr>
      <w:r>
        <w:rPr>
          <w:rFonts w:ascii="Arial" w:cs="Arial" w:eastAsia="Arial" w:hAnsi="Arial"/>
          <w:b/>
          <w:bCs/>
          <w:color w:val="1A202C"/>
          <w:sz w:val="21"/>
          <w:szCs w:val="21"/>
        </w:rPr>
        <w:t xml:space="preserve">Glass morphism panels: </w:t>
      </w:r>
      <w:r>
        <w:rPr>
          <w:rFonts w:ascii="Arial" w:cs="Arial" w:eastAsia="Arial" w:hAnsi="Arial"/>
          <w:color w:val="1A202C"/>
          <w:sz w:val="21"/>
          <w:szCs w:val="21"/>
        </w:rPr>
        <w:t xml:space="preserve">The spec calls for glassmorphism (backdrop-filter: blur + semi-transparent backgrounds). The implementation uses this on the header and some cards, but inconsistently. Some panels use solid bg2, others use gradients with transparency. Unify this.</w:t>
      </w:r>
    </w:p>
    <w:p>
      <w:pPr>
        <w:pStyle w:val="Heading2"/>
        <w:spacing w:after="120" w:before="240"/>
      </w:pPr>
      <w:r>
        <w:rPr>
          <w:rFonts w:ascii="Arial" w:cs="Arial" w:eastAsia="Arial" w:hAnsi="Arial"/>
          <w:b/>
          <w:bCs/>
          <w:color w:val="1B3A5C"/>
          <w:sz w:val="26"/>
          <w:szCs w:val="26"/>
        </w:rPr>
        <w:t xml:space="preserve">3.3 Interactive Components &amp; UX</w:t>
      </w:r>
    </w:p>
    <w:p>
      <w:pPr>
        <w:pStyle w:val="Heading3"/>
        <w:spacing w:after="120" w:before="240"/>
      </w:pPr>
      <w:r>
        <w:rPr>
          <w:rFonts w:ascii="Arial" w:cs="Arial" w:eastAsia="Arial" w:hAnsi="Arial"/>
          <w:b/>
          <w:bCs/>
          <w:color w:val="1B3A5C"/>
          <w:sz w:val="22"/>
          <w:szCs w:val="22"/>
        </w:rPr>
        <w:t xml:space="preserve">ShiftHeatmap — Strong Foundation, Rough Edges</w:t>
      </w:r>
    </w:p>
    <w:p>
      <w:pPr>
        <w:spacing w:after="140" w:line="276"/>
      </w:pPr>
      <w:r>
        <w:rPr>
          <w:rFonts w:ascii="Arial" w:cs="Arial" w:eastAsia="Arial" w:hAnsi="Arial"/>
          <w:color w:val="1A202C"/>
          <w:sz w:val="21"/>
          <w:szCs w:val="21"/>
        </w:rPr>
        <w:t xml:space="preserve">The heatmap is the centerpiece of the War Room and is well-built. Category x Year matrix with diverging colors, hover tooltips, and a 2030 summary pill per row. However: (a) Category names display as IDs (hair_color, lhc_fcn) rather than human-readable labels. The CATEGORIES constant has proper names (“Hair: Color”, “LHC: FCN”), but the heatmap renders catId directly. This is a bug. (b) There is no column for “Force” grouping — the spec describes a “Category x Force” heatmap, but the implementation shows “Category x Year.” This means the force dimension is absent from the primary view. (c) There is no toggle for “Direct Effects vs. With Propagation vs. Competitive” as specified.</w:t>
      </w:r>
    </w:p>
    <w:p>
      <w:pPr>
        <w:pStyle w:val="Heading3"/>
        <w:spacing w:after="120" w:before="240"/>
      </w:pPr>
      <w:r>
        <w:rPr>
          <w:rFonts w:ascii="Arial" w:cs="Arial" w:eastAsia="Arial" w:hAnsi="Arial"/>
          <w:b/>
          <w:bCs/>
          <w:color w:val="1B3A5C"/>
          <w:sz w:val="22"/>
          <w:szCs w:val="22"/>
        </w:rPr>
        <w:t xml:space="preserve">PathTimeline — Good, Incomplete</w:t>
      </w:r>
    </w:p>
    <w:p>
      <w:pPr>
        <w:spacing w:after="140" w:line="276"/>
      </w:pPr>
      <w:r>
        <w:rPr>
          <w:rFonts w:ascii="Arial" w:cs="Arial" w:eastAsia="Arial" w:hAnsi="Arial"/>
          <w:color w:val="1A202C"/>
          <w:sz w:val="21"/>
          <w:szCs w:val="21"/>
        </w:rPr>
        <w:t xml:space="preserve">The timeline correctly shows median lines with Recharts AreaChart. However, the confidence band implementation is incomplete: the p90 area is rendered as a standalone gradient-filled area, not as the band between p10 and p90. For a proper confidence band, you need a stacked area where the lower bound (p10) is transparent and only the delta (p90-p10) is shaded. Currently this produces a misleading visual where the band appears to start from zero, not from p10.</w:t>
      </w:r>
    </w:p>
    <w:p>
      <w:pPr>
        <w:pStyle w:val="Heading3"/>
        <w:spacing w:after="120" w:before="240"/>
      </w:pPr>
      <w:r>
        <w:rPr>
          <w:rFonts w:ascii="Arial" w:cs="Arial" w:eastAsia="Arial" w:hAnsi="Arial"/>
          <w:b/>
          <w:bCs/>
          <w:color w:val="1B3A5C"/>
          <w:sz w:val="22"/>
          <w:szCs w:val="22"/>
        </w:rPr>
        <w:t xml:space="preserve">CausalFlow DAG — Elegant, Under-leveraged</w:t>
      </w:r>
    </w:p>
    <w:p>
      <w:pPr>
        <w:spacing w:after="140" w:line="276"/>
      </w:pPr>
      <w:r>
        <w:rPr>
          <w:rFonts w:ascii="Arial" w:cs="Arial" w:eastAsia="Arial" w:hAnsi="Arial"/>
          <w:color w:val="1A202C"/>
          <w:sz w:val="21"/>
          <w:szCs w:val="21"/>
        </w:rPr>
        <w:t xml:space="preserve">The hexagonal layout with bezier curves is visually sophisticated. Shock propagation via BFS is correct. But: (a) The shock magnitude is hardcoded to +30% — the spec envisions user-configurable shock magnitudes. (b) Edge weights are only shown on hover/active — they should be subtly visible at all times (tiny labels at midpoint). (c) The propagation is visual-only: clicking a force and “propagating a shock” does not actually re-run the simulation with causal scenarios. It just highlights edges. This disconnects the DAG from the analytical engine.</w:t>
      </w:r>
    </w:p>
    <w:p>
      <w:pPr>
        <w:pStyle w:val="Heading3"/>
        <w:spacing w:after="120" w:before="240"/>
      </w:pPr>
      <w:r>
        <w:rPr>
          <w:rFonts w:ascii="Arial" w:cs="Arial" w:eastAsia="Arial" w:hAnsi="Arial"/>
          <w:b/>
          <w:bCs/>
          <w:color w:val="1B3A5C"/>
          <w:sz w:val="22"/>
          <w:szCs w:val="22"/>
        </w:rPr>
        <w:t xml:space="preserve">ScenarioSelector — Present but Passive</w:t>
      </w:r>
    </w:p>
    <w:p>
      <w:pPr>
        <w:spacing w:after="140" w:line="276"/>
      </w:pPr>
      <w:r>
        <w:rPr>
          <w:rFonts w:ascii="Arial" w:cs="Arial" w:eastAsia="Arial" w:hAnsi="Arial"/>
          <w:color w:val="1A202C"/>
          <w:sz w:val="21"/>
          <w:szCs w:val="21"/>
        </w:rPr>
        <w:t xml:space="preserve">Five scenarios are defined (Base, Green Squeeze, Tech Disruption, Price War, Perfect Storm) but selecting one does not change the underlying data. The mock data generator produces a single fixed dataset. Scenario comparison — specified as a side-by-side view — is not implemented.</w:t>
      </w:r>
    </w:p>
    <w:p>
      <w:pPr>
        <w:pStyle w:val="Heading3"/>
        <w:spacing w:after="120" w:before="240"/>
      </w:pPr>
      <w:r>
        <w:rPr>
          <w:rFonts w:ascii="Arial" w:cs="Arial" w:eastAsia="Arial" w:hAnsi="Arial"/>
          <w:b/>
          <w:bCs/>
          <w:color w:val="1B3A5C"/>
          <w:sz w:val="22"/>
          <w:szCs w:val="22"/>
        </w:rPr>
        <w:t xml:space="preserve">TrendExplorer — Best Component</w:t>
      </w:r>
    </w:p>
    <w:p>
      <w:pPr>
        <w:spacing w:after="140" w:line="276"/>
      </w:pPr>
      <w:r>
        <w:rPr>
          <w:rFonts w:ascii="Arial" w:cs="Arial" w:eastAsia="Arial" w:hAnsi="Arial"/>
          <w:color w:val="1A202C"/>
          <w:sz w:val="21"/>
          <w:szCs w:val="21"/>
        </w:rPr>
        <w:t xml:space="preserve">The TrendExplorer and CategoryDetailPanel are the most polished components. Each trend includes sourced evidence (URLs, data points), impact/probability scores, strategic implications, and force attribution. The expandable card pattern is well-designed. This is the component that most strongly delivers on the “every claim is sourced” principle. However, the 35 hardcoded mock trends live in the WarRoom.tsx file (500+ lines of mock data), which needs to be separated into a data layer.</w:t>
      </w:r>
    </w:p>
    <w:p>
      <w:r>
        <w:br w:type="page"/>
      </w:r>
    </w:p>
    <w:p>
      <w:pPr>
        <w:pStyle w:val="Heading2"/>
        <w:spacing w:after="120" w:before="240"/>
      </w:pPr>
      <w:r>
        <w:rPr>
          <w:rFonts w:ascii="Arial" w:cs="Arial" w:eastAsia="Arial" w:hAnsi="Arial"/>
          <w:b/>
          <w:bCs/>
          <w:color w:val="1B3A5C"/>
          <w:sz w:val="26"/>
          <w:szCs w:val="26"/>
        </w:rPr>
        <w:t xml:space="preserve">3.4 Strategic Utility — Does It Answer “So What Should We Do?”</w:t>
      </w:r>
    </w:p>
    <w:p>
      <w:pPr>
        <w:pStyle w:val="Heading3"/>
        <w:spacing w:after="120" w:before="240"/>
      </w:pPr>
      <w:r>
        <w:rPr>
          <w:rFonts w:ascii="Arial" w:cs="Arial" w:eastAsia="Arial" w:hAnsi="Arial"/>
          <w:b/>
          <w:bCs/>
          <w:color w:val="1B3A5C"/>
          <w:sz w:val="22"/>
          <w:szCs w:val="22"/>
        </w:rPr>
        <w:t xml:space="preserve">The Core Gap</w:t>
      </w:r>
    </w:p>
    <w:p>
      <w:pPr>
        <w:spacing w:after="140" w:line="276"/>
      </w:pPr>
      <w:r>
        <w:rPr>
          <w:rFonts w:ascii="Arial" w:cs="Arial" w:eastAsia="Arial" w:hAnsi="Arial"/>
          <w:color w:val="1A202C"/>
          <w:sz w:val="21"/>
          <w:szCs w:val="21"/>
        </w:rPr>
        <w:t xml:space="preserve">PULSE currently excels at describing what is happening (shift magnitudes, force decompositions, trend evidence). It is weaker at prescribing what to do about it. The Allocation Chart exists but shows generic relative weights disconnected from the simulation output. The spec envisions a clear invest/defend/harvest recommendation per category with rationale text. The current allocation mock data uses random weights, not optimized outputs.</w:t>
      </w:r>
    </w:p>
    <w:p>
      <w:pPr>
        <w:pStyle w:val="Heading3"/>
        <w:spacing w:after="120" w:before="240"/>
      </w:pPr>
      <w:r>
        <w:rPr>
          <w:rFonts w:ascii="Arial" w:cs="Arial" w:eastAsia="Arial" w:hAnsi="Arial"/>
          <w:b/>
          <w:bCs/>
          <w:color w:val="1B3A5C"/>
          <w:sz w:val="22"/>
          <w:szCs w:val="22"/>
        </w:rPr>
        <w:t xml:space="preserve">Missing “So What” Layer</w:t>
      </w:r>
    </w:p>
    <w:p>
      <w:pPr>
        <w:spacing w:after="140" w:line="276"/>
      </w:pPr>
      <w:r>
        <w:rPr>
          <w:rFonts w:ascii="Arial" w:cs="Arial" w:eastAsia="Arial" w:hAnsi="Arial"/>
          <w:color w:val="1A202C"/>
          <w:sz w:val="21"/>
          <w:szCs w:val="21"/>
        </w:rPr>
        <w:t xml:space="preserve">A Bain Senior Partner presenting to a CEO would never show a heatmap without a narrative interpretation. The spec’s AI Narrator is Phase 3, but even without AI, the dashboard should include: (a) A 2-3 sentence “Headline Insight” below the KPI cards that interprets the numbers (“The portfolio faces net -3.1% pool contraction by 2030, driven primarily by regulatory pressure on LHC categories. Hair Care is the strongest expansion opportunity.”). (b) Category-level action labels: Invest, Defend, Harvest, Monitor. (c) The allocation rationale should reference specific trends and forces, not generic text.</w:t>
      </w:r>
    </w:p>
    <w:p>
      <w:pPr>
        <w:pStyle w:val="Heading3"/>
        <w:spacing w:after="120" w:before="240"/>
      </w:pPr>
      <w:r>
        <w:rPr>
          <w:rFonts w:ascii="Arial" w:cs="Arial" w:eastAsia="Arial" w:hAnsi="Arial"/>
          <w:b/>
          <w:bCs/>
          <w:color w:val="1B3A5C"/>
          <w:sz w:val="22"/>
          <w:szCs w:val="22"/>
        </w:rPr>
        <w:t xml:space="preserve">Causal Narrative is Missing</w:t>
      </w:r>
    </w:p>
    <w:p>
      <w:pPr>
        <w:spacing w:after="140" w:line="276"/>
      </w:pPr>
      <w:r>
        <w:rPr>
          <w:rFonts w:ascii="Arial" w:cs="Arial" w:eastAsia="Arial" w:hAnsi="Arial"/>
          <w:color w:val="1A202C"/>
          <w:sz w:val="21"/>
          <w:szCs w:val="21"/>
        </w:rPr>
        <w:t xml:space="preserve">The spec’s v2.0 innovation is causal decomposition: “Government regulation drives 40% of the FCN contraction through propagated effects on Technology (reformulation costs) and Customer (compliance pass-through).” This narrative is not generated anywhere in the current dashboard. The ForceWaterfall shows percentages but doesn’t explain the propagation chain in human language.</w:t>
      </w:r>
    </w:p>
    <w:p>
      <w:pPr>
        <w:pStyle w:val="Heading2"/>
        <w:spacing w:after="120" w:before="240"/>
      </w:pPr>
      <w:r>
        <w:rPr>
          <w:rFonts w:ascii="Arial" w:cs="Arial" w:eastAsia="Arial" w:hAnsi="Arial"/>
          <w:b/>
          <w:bCs/>
          <w:color w:val="1B3A5C"/>
          <w:sz w:val="26"/>
          <w:szCs w:val="26"/>
        </w:rPr>
        <w:t xml:space="preserve">3.5 Data Integrity &amp; Trust Signals</w:t>
      </w:r>
    </w:p>
    <w:p>
      <w:pPr>
        <w:pStyle w:val="Heading3"/>
        <w:spacing w:after="120" w:before="240"/>
      </w:pPr>
      <w:r>
        <w:rPr>
          <w:rFonts w:ascii="Arial" w:cs="Arial" w:eastAsia="Arial" w:hAnsi="Arial"/>
          <w:b/>
          <w:bCs/>
          <w:color w:val="1B3A5C"/>
          <w:sz w:val="22"/>
          <w:szCs w:val="22"/>
        </w:rPr>
        <w:t xml:space="preserve">What Works Well</w:t>
      </w:r>
    </w:p>
    <w:p>
      <w:pPr>
        <w:spacing w:after="140" w:line="276"/>
      </w:pPr>
      <w:r>
        <w:rPr>
          <w:rFonts w:ascii="Arial" w:cs="Arial" w:eastAsia="Arial" w:hAnsi="Arial"/>
          <w:color w:val="1A202C"/>
          <w:sz w:val="21"/>
          <w:szCs w:val="21"/>
        </w:rPr>
        <w:t xml:space="preserve">The Monte Carlo simulation in the frontend is surprisingly well-implemented. Using a seeded Mulberry32 PRNG with N=10,000 iterations, computing stored statistical moments (mean, p10, p25, p75, p90), and ensuring deterministic results across page loads — this is genuinely thoughtful engineering. The ConvergenceBadge showing R-hat and backtesting accuracy is excellent for building ExCo trust.</w:t>
      </w:r>
    </w:p>
    <w:p>
      <w:pPr>
        <w:pStyle w:val="Heading3"/>
        <w:spacing w:after="120" w:before="240"/>
      </w:pPr>
      <w:r>
        <w:rPr>
          <w:rFonts w:ascii="Arial" w:cs="Arial" w:eastAsia="Arial" w:hAnsi="Arial"/>
          <w:b/>
          <w:bCs/>
          <w:color w:val="1B3A5C"/>
          <w:sz w:val="22"/>
          <w:szCs w:val="22"/>
        </w:rPr>
        <w:t xml:space="preserve">What Undermines Trust</w:t>
      </w:r>
    </w:p>
    <w:p>
      <w:pPr>
        <w:spacing w:after="140" w:line="276"/>
      </w:pPr>
      <w:r>
        <w:rPr>
          <w:rFonts w:ascii="Arial" w:cs="Arial" w:eastAsia="Arial" w:hAnsi="Arial"/>
          <w:b/>
          <w:bCs/>
          <w:color w:val="1A202C"/>
          <w:sz w:val="21"/>
          <w:szCs w:val="21"/>
        </w:rPr>
        <w:t xml:space="preserve">No backend connection: </w:t>
      </w:r>
      <w:r>
        <w:rPr>
          <w:rFonts w:ascii="Arial" w:cs="Arial" w:eastAsia="Arial" w:hAnsi="Arial"/>
          <w:color w:val="1A202C"/>
          <w:sz w:val="21"/>
          <w:szCs w:val="21"/>
        </w:rPr>
        <w:t xml:space="preserve">The entire dashboard runs on frontend-generated mock data. The usePulse hook exists but returns loading/simulating states that are never actually connected to the FastAPI backend. The “Run Simulation” button triggers a setTimeout of 800ms to fake computation. For a tool that claims “backtested accuracy of 73%,” the disconnect between the display and actual computation is the single largest credibility risk.</w:t>
      </w:r>
    </w:p>
    <w:p>
      <w:pPr>
        <w:spacing w:after="140" w:line="276"/>
      </w:pPr>
      <w:r>
        <w:rPr>
          <w:rFonts w:ascii="Arial" w:cs="Arial" w:eastAsia="Arial" w:hAnsi="Arial"/>
          <w:b/>
          <w:bCs/>
          <w:color w:val="1A202C"/>
          <w:sz w:val="21"/>
          <w:szCs w:val="21"/>
        </w:rPr>
        <w:t xml:space="preserve">Hardcoded convergence metrics: </w:t>
      </w:r>
      <w:r>
        <w:rPr>
          <w:rFonts w:ascii="Arial" w:cs="Arial" w:eastAsia="Arial" w:hAnsi="Arial"/>
          <w:color w:val="1A202C"/>
          <w:sz w:val="21"/>
          <w:szCs w:val="21"/>
        </w:rPr>
        <w:t xml:space="preserve">R-hat is fixed at 1.03, backtesting accuracy at 73%. These should come from the actual simulation engine. Displaying fabricated quality metrics is worse than displaying none.</w:t>
      </w:r>
    </w:p>
    <w:p>
      <w:pPr>
        <w:pStyle w:val="Heading2"/>
        <w:spacing w:after="120" w:before="240"/>
      </w:pPr>
      <w:r>
        <w:rPr>
          <w:rFonts w:ascii="Arial" w:cs="Arial" w:eastAsia="Arial" w:hAnsi="Arial"/>
          <w:b/>
          <w:bCs/>
          <w:color w:val="1B3A5C"/>
          <w:sz w:val="26"/>
          <w:szCs w:val="26"/>
        </w:rPr>
        <w:t xml:space="preserve">3.6 CEO-Readiness Assessment</w:t>
      </w:r>
    </w:p>
    <w:p>
      <w:pPr>
        <w:pStyle w:val="Heading3"/>
        <w:spacing w:after="120" w:before="240"/>
      </w:pPr>
      <w:r>
        <w:rPr>
          <w:rFonts w:ascii="Arial" w:cs="Arial" w:eastAsia="Arial" w:hAnsi="Arial"/>
          <w:b/>
          <w:bCs/>
          <w:color w:val="1B3A5C"/>
          <w:sz w:val="22"/>
          <w:szCs w:val="22"/>
        </w:rPr>
        <w:t xml:space="preserve">The Bain Senior Partner Test</w:t>
      </w:r>
    </w:p>
    <w:p>
      <w:pPr>
        <w:spacing w:after="140" w:line="276"/>
      </w:pPr>
      <w:r>
        <w:rPr>
          <w:rFonts w:ascii="Arial" w:cs="Arial" w:eastAsia="Arial" w:hAnsi="Arial"/>
          <w:color w:val="1A202C"/>
          <w:sz w:val="21"/>
          <w:szCs w:val="21"/>
        </w:rPr>
        <w:t xml:space="preserve">Would I, as a Bain Senior Partner, present this tool to a Henkel ExCo Board as a state-of-the-art profit pool simulation capability? Today: No. In 4-6 weeks with focused improvements: Conditionally Yes.</w:t>
      </w:r>
    </w:p>
    <w:p>
      <w:pPr>
        <w:pStyle w:val="Heading3"/>
        <w:spacing w:after="120" w:before="240"/>
      </w:pPr>
      <w:r>
        <w:rPr>
          <w:rFonts w:ascii="Arial" w:cs="Arial" w:eastAsia="Arial" w:hAnsi="Arial"/>
          <w:b/>
          <w:bCs/>
          <w:color w:val="1B3A5C"/>
          <w:sz w:val="22"/>
          <w:szCs w:val="22"/>
        </w:rPr>
        <w:t xml:space="preserve">What Prevents CEO-Readiness Today</w:t>
      </w:r>
    </w:p>
    <w:p>
      <w:pPr>
        <w:spacing w:after="140" w:line="276"/>
      </w:pPr>
      <w:r>
        <w:rPr>
          <w:rFonts w:ascii="Arial" w:cs="Arial" w:eastAsia="Arial" w:hAnsi="Arial"/>
          <w:b/>
          <w:bCs/>
          <w:color w:val="1A202C"/>
          <w:sz w:val="21"/>
          <w:szCs w:val="21"/>
        </w:rPr>
        <w:t xml:space="preserve">No presentation mode: </w:t>
      </w:r>
      <w:r>
        <w:rPr>
          <w:rFonts w:ascii="Arial" w:cs="Arial" w:eastAsia="Arial" w:hAnsi="Arial"/>
          <w:color w:val="1A202C"/>
          <w:sz w:val="21"/>
          <w:szCs w:val="21"/>
        </w:rPr>
        <w:t xml:space="preserve">ExCo meetings use projectors or large screens. The dashboard has no “present” mode that enlarges fonts, simplifies the view, and hides developer-facing elements (onboarding tooltips, settings gear, admin panels).</w:t>
      </w:r>
    </w:p>
    <w:p>
      <w:pPr>
        <w:spacing w:after="140" w:line="276"/>
      </w:pPr>
      <w:r>
        <w:rPr>
          <w:rFonts w:ascii="Arial" w:cs="Arial" w:eastAsia="Arial" w:hAnsi="Arial"/>
          <w:b/>
          <w:bCs/>
          <w:color w:val="1A202C"/>
          <w:sz w:val="21"/>
          <w:szCs w:val="21"/>
        </w:rPr>
        <w:t xml:space="preserve">Export story is incomplete: </w:t>
      </w:r>
      <w:r>
        <w:rPr>
          <w:rFonts w:ascii="Arial" w:cs="Arial" w:eastAsia="Arial" w:hAnsi="Arial"/>
          <w:color w:val="1A202C"/>
          <w:sz w:val="21"/>
          <w:szCs w:val="21"/>
        </w:rPr>
        <w:t xml:space="preserve">Excel export produces a basic CSV. PDF export is a console.log placeholder. PowerPoint export is not implemented. The Power BI integration path exists in the spec but not in the code. For ExCo adoption, one-click export to a presentation-ready PowerPoint is table stakes.</w:t>
      </w:r>
    </w:p>
    <w:p>
      <w:pPr>
        <w:spacing w:after="140" w:line="276"/>
      </w:pPr>
      <w:r>
        <w:rPr>
          <w:rFonts w:ascii="Arial" w:cs="Arial" w:eastAsia="Arial" w:hAnsi="Arial"/>
          <w:b/>
          <w:bCs/>
          <w:color w:val="1A202C"/>
          <w:sz w:val="21"/>
          <w:szCs w:val="21"/>
        </w:rPr>
        <w:t xml:space="preserve">No scenario narrative: </w:t>
      </w:r>
      <w:r>
        <w:rPr>
          <w:rFonts w:ascii="Arial" w:cs="Arial" w:eastAsia="Arial" w:hAnsi="Arial"/>
          <w:color w:val="1A202C"/>
          <w:sz w:val="21"/>
          <w:szCs w:val="21"/>
        </w:rPr>
        <w:t xml:space="preserve">Scenarios exist as dropdown options but don’t produce a side-by-side comparison with narrative explanation. A CEO asks: “What happens in the Green Squeeze scenario?” The tool should answer with a structured story, not just shifted numbers.</w:t>
      </w:r>
    </w:p>
    <w:p>
      <w:pPr>
        <w:spacing w:after="140" w:line="276"/>
      </w:pPr>
      <w:r>
        <w:rPr>
          <w:rFonts w:ascii="Arial" w:cs="Arial" w:eastAsia="Arial" w:hAnsi="Arial"/>
          <w:b/>
          <w:bCs/>
          <w:color w:val="1A202C"/>
          <w:sz w:val="21"/>
          <w:szCs w:val="21"/>
        </w:rPr>
        <w:t xml:space="preserve">Missing institutional trust markers: </w:t>
      </w:r>
      <w:r>
        <w:rPr>
          <w:rFonts w:ascii="Arial" w:cs="Arial" w:eastAsia="Arial" w:hAnsi="Arial"/>
          <w:color w:val="1A202C"/>
          <w:sz w:val="21"/>
          <w:szCs w:val="21"/>
        </w:rPr>
        <w:t xml:space="preserve">No version stamp on the analysis, no “data as of” timestamp, no methodology footnote, no “Backtested against V1-V11 with X% accuracy” banner. These are credibility anchors for quantitative-minded CFOs.</w:t>
      </w:r>
    </w:p>
    <w:p>
      <w:r>
        <w:br w:type="page"/>
      </w:r>
    </w:p>
    <w:p>
      <w:pPr>
        <w:pStyle w:val="Heading1"/>
        <w:spacing w:after="120" w:before="360"/>
      </w:pPr>
      <w:r>
        <w:rPr>
          <w:rFonts w:ascii="Arial" w:cs="Arial" w:eastAsia="Arial" w:hAnsi="Arial"/>
          <w:b/>
          <w:bCs/>
          <w:color w:val="1B3A5C"/>
          <w:sz w:val="32"/>
          <w:szCs w:val="32"/>
        </w:rPr>
        <w:t xml:space="preserve">4. Prioritized Recommendations</w:t>
      </w:r>
    </w:p>
    <w:p>
      <w:pPr>
        <w:spacing w:after="140" w:line="276"/>
      </w:pPr>
      <w:r>
        <w:rPr>
          <w:rFonts w:ascii="Arial" w:cs="Arial" w:eastAsia="Arial" w:hAnsi="Arial"/>
          <w:color w:val="1A202C"/>
          <w:sz w:val="21"/>
          <w:szCs w:val="21"/>
        </w:rPr>
        <w:t xml:space="preserve">Ordered by impact on CEO-readiness. Each recommendation includes estimated effort (S/M/L) and the dimension it addresses.</w:t>
      </w:r>
    </w:p>
    <w:p>
      <w:pPr>
        <w:pStyle w:val="Heading2"/>
        <w:spacing w:after="120" w:before="240"/>
      </w:pPr>
      <w:r>
        <w:rPr>
          <w:rFonts w:ascii="Arial" w:cs="Arial" w:eastAsia="Arial" w:hAnsi="Arial"/>
          <w:b/>
          <w:bCs/>
          <w:color w:val="1B3A5C"/>
          <w:sz w:val="26"/>
          <w:szCs w:val="26"/>
        </w:rPr>
        <w:t xml:space="preserve">Tier 1: Must-Fix Before Any ExCo Presentation (1-2 weeks)</w:t>
      </w:r>
    </w:p>
    <w:p>
      <w:pPr>
        <w:spacing w:after="140" w:line="276"/>
      </w:pPr>
      <w:r>
        <w:rPr>
          <w:rFonts w:ascii="Arial" w:cs="Arial" w:eastAsia="Arial" w:hAnsi="Arial"/>
          <w:b/>
          <w:bCs/>
          <w:color w:val="1A202C"/>
          <w:sz w:val="21"/>
          <w:szCs w:val="21"/>
        </w:rPr>
        <w:t xml:space="preserve">R1. Connect dashboard to live backend [L]: </w:t>
      </w:r>
      <w:r>
        <w:rPr>
          <w:rFonts w:ascii="Arial" w:cs="Arial" w:eastAsia="Arial" w:hAnsi="Arial"/>
          <w:color w:val="1A202C"/>
          <w:sz w:val="21"/>
          <w:szCs w:val="21"/>
        </w:rPr>
        <w:t xml:space="preserve">Wire usePulse to the FastAPI endpoints. The simulation engine exists (bayesian_mc.py, deterministic.py) — the API routes are defined. The frontend just needs to call them instead of generating mock data. This single change transforms PULSE from a prototype to a tool.</w:t>
      </w:r>
    </w:p>
    <w:p>
      <w:pPr>
        <w:spacing w:after="140" w:line="276"/>
      </w:pPr>
      <w:r>
        <w:rPr>
          <w:rFonts w:ascii="Arial" w:cs="Arial" w:eastAsia="Arial" w:hAnsi="Arial"/>
          <w:b/>
          <w:bCs/>
          <w:color w:val="1A202C"/>
          <w:sz w:val="21"/>
          <w:szCs w:val="21"/>
        </w:rPr>
        <w:t xml:space="preserve">R2. Restructure layout to true War Room [M]: </w:t>
      </w:r>
      <w:r>
        <w:rPr>
          <w:rFonts w:ascii="Arial" w:cs="Arial" w:eastAsia="Arial" w:hAnsi="Arial"/>
          <w:color w:val="1A202C"/>
          <w:sz w:val="21"/>
          <w:szCs w:val="21"/>
        </w:rPr>
        <w:t xml:space="preserve">Implement CSS Grid with fixed regions: header (52px), main content (heatmap + timeline, 65% width), contextual panel (35% width, slides in), bottom bar (AI insights). All drill-downs route to the contextual panel instead of separate page sections.</w:t>
      </w:r>
    </w:p>
    <w:p>
      <w:pPr>
        <w:spacing w:after="140" w:line="276"/>
      </w:pPr>
      <w:r>
        <w:rPr>
          <w:rFonts w:ascii="Arial" w:cs="Arial" w:eastAsia="Arial" w:hAnsi="Arial"/>
          <w:b/>
          <w:bCs/>
          <w:color w:val="1A202C"/>
          <w:sz w:val="21"/>
          <w:szCs w:val="21"/>
        </w:rPr>
        <w:t xml:space="preserve">R3. Add executive narrative layer [M]: </w:t>
      </w:r>
      <w:r>
        <w:rPr>
          <w:rFonts w:ascii="Arial" w:cs="Arial" w:eastAsia="Arial" w:hAnsi="Arial"/>
          <w:color w:val="1A202C"/>
          <w:sz w:val="21"/>
          <w:szCs w:val="21"/>
        </w:rPr>
        <w:t xml:space="preserve">Below HeadlineKPI, add a 2-3 sentence auto-generated insight that interprets the numbers. Template-based initially (no AI required): “Net pool shift: {value}. Primary driver: {top_force}. Highest risk: {top_contraction_category}. Recommended action: {action}.”</w:t>
      </w:r>
    </w:p>
    <w:p>
      <w:pPr>
        <w:spacing w:after="140" w:line="276"/>
      </w:pPr>
      <w:r>
        <w:rPr>
          <w:rFonts w:ascii="Arial" w:cs="Arial" w:eastAsia="Arial" w:hAnsi="Arial"/>
          <w:b/>
          <w:bCs/>
          <w:color w:val="1A202C"/>
          <w:sz w:val="21"/>
          <w:szCs w:val="21"/>
        </w:rPr>
        <w:t xml:space="preserve">R4. Fix heatmap to show names, not IDs [S]: </w:t>
      </w:r>
      <w:r>
        <w:rPr>
          <w:rFonts w:ascii="Arial" w:cs="Arial" w:eastAsia="Arial" w:hAnsi="Arial"/>
          <w:color w:val="1A202C"/>
          <w:sz w:val="21"/>
          <w:szCs w:val="21"/>
        </w:rPr>
        <w:t xml:space="preserve">Map catId to CATEGORIES[].name in the heatmap row labels. This is a one-line fix with outsized impact on professionalism.</w:t>
      </w:r>
    </w:p>
    <w:p>
      <w:pPr>
        <w:pStyle w:val="Heading2"/>
        <w:spacing w:after="120" w:before="240"/>
      </w:pPr>
      <w:r>
        <w:rPr>
          <w:rFonts w:ascii="Arial" w:cs="Arial" w:eastAsia="Arial" w:hAnsi="Arial"/>
          <w:b/>
          <w:bCs/>
          <w:color w:val="1B3A5C"/>
          <w:sz w:val="26"/>
          <w:szCs w:val="26"/>
        </w:rPr>
        <w:t xml:space="preserve">Tier 2: Required for Production Deployment (2-4 weeks)</w:t>
      </w:r>
    </w:p>
    <w:p>
      <w:pPr>
        <w:spacing w:after="140" w:line="276"/>
      </w:pPr>
      <w:r>
        <w:rPr>
          <w:rFonts w:ascii="Arial" w:cs="Arial" w:eastAsia="Arial" w:hAnsi="Arial"/>
          <w:b/>
          <w:bCs/>
          <w:color w:val="1A202C"/>
          <w:sz w:val="21"/>
          <w:szCs w:val="21"/>
        </w:rPr>
        <w:t xml:space="preserve">R5. Implement scenario comparison view [M]: </w:t>
      </w:r>
      <w:r>
        <w:rPr>
          <w:rFonts w:ascii="Arial" w:cs="Arial" w:eastAsia="Arial" w:hAnsi="Arial"/>
          <w:color w:val="1A202C"/>
          <w:sz w:val="21"/>
          <w:szCs w:val="21"/>
        </w:rPr>
        <w:t xml:space="preserve">When user selects a scenario, show Base Case vs. Scenario side-by-side in the heatmap (delta column) and PathTimeline (overlay lines). This is the feature that drives strategic conversations.</w:t>
      </w:r>
    </w:p>
    <w:p>
      <w:pPr>
        <w:spacing w:after="140" w:line="276"/>
      </w:pPr>
      <w:r>
        <w:rPr>
          <w:rFonts w:ascii="Arial" w:cs="Arial" w:eastAsia="Arial" w:hAnsi="Arial"/>
          <w:b/>
          <w:bCs/>
          <w:color w:val="1A202C"/>
          <w:sz w:val="21"/>
          <w:szCs w:val="21"/>
        </w:rPr>
        <w:t xml:space="preserve">R6. Make CausalDAG interactive with the simulation [M]: </w:t>
      </w:r>
      <w:r>
        <w:rPr>
          <w:rFonts w:ascii="Arial" w:cs="Arial" w:eastAsia="Arial" w:hAnsi="Arial"/>
          <w:color w:val="1A202C"/>
          <w:sz w:val="21"/>
          <w:szCs w:val="21"/>
        </w:rPr>
        <w:t xml:space="preserve">Clicking a force should re-run the simulation via the causal propagation API, not just highlight edges. Show the resulting shift changes in real-time.</w:t>
      </w:r>
    </w:p>
    <w:p>
      <w:pPr>
        <w:spacing w:after="140" w:line="276"/>
      </w:pPr>
      <w:r>
        <w:rPr>
          <w:rFonts w:ascii="Arial" w:cs="Arial" w:eastAsia="Arial" w:hAnsi="Arial"/>
          <w:b/>
          <w:bCs/>
          <w:color w:val="1A202C"/>
          <w:sz w:val="21"/>
          <w:szCs w:val="21"/>
        </w:rPr>
        <w:t xml:space="preserve">R7. Build proper export pipeline [M]: </w:t>
      </w:r>
      <w:r>
        <w:rPr>
          <w:rFonts w:ascii="Arial" w:cs="Arial" w:eastAsia="Arial" w:hAnsi="Arial"/>
          <w:color w:val="1A202C"/>
          <w:sz w:val="21"/>
          <w:szCs w:val="21"/>
        </w:rPr>
        <w:t xml:space="preserve">Implement PowerPoint export using python-pptx (the backend already has the dependency). One click should produce a 5-slide executive deck: (1) Headline, (2) Heatmap, (3) Top risks and opportunities, (4) Causal story, (5) Allocation recommendation.</w:t>
      </w:r>
    </w:p>
    <w:p>
      <w:pPr>
        <w:spacing w:after="140" w:line="276"/>
      </w:pPr>
      <w:r>
        <w:rPr>
          <w:rFonts w:ascii="Arial" w:cs="Arial" w:eastAsia="Arial" w:hAnsi="Arial"/>
          <w:b/>
          <w:bCs/>
          <w:color w:val="1A202C"/>
          <w:sz w:val="21"/>
          <w:szCs w:val="21"/>
        </w:rPr>
        <w:t xml:space="preserve">R8. Add institutional trust markers [S]: </w:t>
      </w:r>
      <w:r>
        <w:rPr>
          <w:rFonts w:ascii="Arial" w:cs="Arial" w:eastAsia="Arial" w:hAnsi="Arial"/>
          <w:color w:val="1A202C"/>
          <w:sz w:val="21"/>
          <w:szCs w:val="21"/>
        </w:rPr>
        <w:t xml:space="preserve">Stamp every view with: model version, data vintage (“scores as of March 2026”), simulation parameters (N iterations, convergence status), and backtesting accuracy (from actual backend, not hardcoded).</w:t>
      </w:r>
    </w:p>
    <w:p>
      <w:pPr>
        <w:spacing w:after="140" w:line="276"/>
      </w:pPr>
      <w:r>
        <w:rPr>
          <w:rFonts w:ascii="Arial" w:cs="Arial" w:eastAsia="Arial" w:hAnsi="Arial"/>
          <w:b/>
          <w:bCs/>
          <w:color w:val="1A202C"/>
          <w:sz w:val="21"/>
          <w:szCs w:val="21"/>
        </w:rPr>
        <w:t xml:space="preserve">R9. Fix confidence band rendering [S]: </w:t>
      </w:r>
      <w:r>
        <w:rPr>
          <w:rFonts w:ascii="Arial" w:cs="Arial" w:eastAsia="Arial" w:hAnsi="Arial"/>
          <w:color w:val="1A202C"/>
          <w:sz w:val="21"/>
          <w:szCs w:val="21"/>
        </w:rPr>
        <w:t xml:space="preserve">Implement proper p10-p90 band using Recharts stacked areas with the lower bound as transparent offset.</w:t>
      </w:r>
    </w:p>
    <w:p>
      <w:pPr>
        <w:spacing w:after="140" w:line="276"/>
      </w:pPr>
      <w:r>
        <w:rPr>
          <w:rFonts w:ascii="Arial" w:cs="Arial" w:eastAsia="Arial" w:hAnsi="Arial"/>
          <w:b/>
          <w:bCs/>
          <w:color w:val="1A202C"/>
          <w:sz w:val="21"/>
          <w:szCs w:val="21"/>
        </w:rPr>
        <w:t xml:space="preserve">R10. Improve DAG edge visibility [S]: </w:t>
      </w:r>
      <w:r>
        <w:rPr>
          <w:rFonts w:ascii="Arial" w:cs="Arial" w:eastAsia="Arial" w:hAnsi="Arial"/>
          <w:color w:val="1A202C"/>
          <w:sz w:val="21"/>
          <w:szCs w:val="21"/>
        </w:rPr>
        <w:t xml:space="preserve">Set inactive edges to 15-20% opacity instead of 4%. Show all edge weight labels at 8px font. Provide a legend explaining propagation weights and lag.</w:t>
      </w:r>
    </w:p>
    <w:p>
      <w:pPr>
        <w:pStyle w:val="Heading2"/>
        <w:spacing w:after="120" w:before="240"/>
      </w:pPr>
      <w:r>
        <w:rPr>
          <w:rFonts w:ascii="Arial" w:cs="Arial" w:eastAsia="Arial" w:hAnsi="Arial"/>
          <w:b/>
          <w:bCs/>
          <w:color w:val="1B3A5C"/>
          <w:sz w:val="26"/>
          <w:szCs w:val="26"/>
        </w:rPr>
        <w:t xml:space="preserve">Tier 3: Excellence &amp; Differentiation (4-8 weeks)</w:t>
      </w:r>
    </w:p>
    <w:p>
      <w:pPr>
        <w:spacing w:after="140" w:line="276"/>
      </w:pPr>
      <w:r>
        <w:rPr>
          <w:rFonts w:ascii="Arial" w:cs="Arial" w:eastAsia="Arial" w:hAnsi="Arial"/>
          <w:b/>
          <w:bCs/>
          <w:color w:val="1A202C"/>
          <w:sz w:val="21"/>
          <w:szCs w:val="21"/>
        </w:rPr>
        <w:t xml:space="preserve">R11. Implement Category x Force heatmap toggle [M]: </w:t>
      </w:r>
      <w:r>
        <w:rPr>
          <w:rFonts w:ascii="Arial" w:cs="Arial" w:eastAsia="Arial" w:hAnsi="Arial"/>
          <w:color w:val="1A202C"/>
          <w:sz w:val="21"/>
          <w:szCs w:val="21"/>
        </w:rPr>
        <w:t xml:space="preserve">Add the three-way toggle from the spec: Direct Effects, With Propagation, With Competitive Response. This is the unique analytical value PULSE provides vs. static Excel models.</w:t>
      </w:r>
    </w:p>
    <w:p>
      <w:pPr>
        <w:spacing w:after="140" w:line="276"/>
      </w:pPr>
      <w:r>
        <w:rPr>
          <w:rFonts w:ascii="Arial" w:cs="Arial" w:eastAsia="Arial" w:hAnsi="Arial"/>
          <w:b/>
          <w:bCs/>
          <w:color w:val="1A202C"/>
          <w:sz w:val="21"/>
          <w:szCs w:val="21"/>
        </w:rPr>
        <w:t xml:space="preserve">R12. Build Delphi workflow UI [L]: </w:t>
      </w:r>
      <w:r>
        <w:rPr>
          <w:rFonts w:ascii="Arial" w:cs="Arial" w:eastAsia="Arial" w:hAnsi="Arial"/>
          <w:color w:val="1A202C"/>
          <w:sz w:val="21"/>
          <w:szCs w:val="21"/>
        </w:rPr>
        <w:t xml:space="preserve">The DelphiPanel component exists but needs a proper multi-round scoring workflow with calibration exercises, inter-rater reliability display, and bias detection. This drives organizational adoption.</w:t>
      </w:r>
    </w:p>
    <w:p>
      <w:pPr>
        <w:spacing w:after="140" w:line="276"/>
      </w:pPr>
      <w:r>
        <w:rPr>
          <w:rFonts w:ascii="Arial" w:cs="Arial" w:eastAsia="Arial" w:hAnsi="Arial"/>
          <w:b/>
          <w:bCs/>
          <w:color w:val="1A202C"/>
          <w:sz w:val="21"/>
          <w:szCs w:val="21"/>
        </w:rPr>
        <w:t xml:space="preserve">R13. Add presentation mode [S]: </w:t>
      </w:r>
      <w:r>
        <w:rPr>
          <w:rFonts w:ascii="Arial" w:cs="Arial" w:eastAsia="Arial" w:hAnsi="Arial"/>
          <w:color w:val="1A202C"/>
          <w:sz w:val="21"/>
          <w:szCs w:val="21"/>
        </w:rPr>
        <w:t xml:space="preserve">A single toggle that: enlarges all fonts 20%, hides settings/admin elements, maximizes chart areas, and applies a clean border for projection. Simple CSS class toggle.</w:t>
      </w:r>
    </w:p>
    <w:p>
      <w:pPr>
        <w:spacing w:after="140" w:line="276"/>
      </w:pPr>
      <w:r>
        <w:rPr>
          <w:rFonts w:ascii="Arial" w:cs="Arial" w:eastAsia="Arial" w:hAnsi="Arial"/>
          <w:b/>
          <w:bCs/>
          <w:color w:val="1A202C"/>
          <w:sz w:val="21"/>
          <w:szCs w:val="21"/>
        </w:rPr>
        <w:t xml:space="preserve">R14. Power BI integration [L]: </w:t>
      </w:r>
      <w:r>
        <w:rPr>
          <w:rFonts w:ascii="Arial" w:cs="Arial" w:eastAsia="Arial" w:hAnsi="Arial"/>
          <w:color w:val="1A202C"/>
          <w:sz w:val="21"/>
          <w:szCs w:val="21"/>
        </w:rPr>
        <w:t xml:space="preserve">Implement the one-click Shift Matrix push to a Power BI semantic model. This bridges the strategy team (React dashboard) and ExCo/Finance (Power BI €M dashboard) audiences.</w:t>
      </w:r>
    </w:p>
    <w:p>
      <w:pPr>
        <w:spacing w:after="140" w:line="276"/>
      </w:pPr>
      <w:r>
        <w:rPr>
          <w:rFonts w:ascii="Arial" w:cs="Arial" w:eastAsia="Arial" w:hAnsi="Arial"/>
          <w:b/>
          <w:bCs/>
          <w:color w:val="1A202C"/>
          <w:sz w:val="21"/>
          <w:szCs w:val="21"/>
        </w:rPr>
        <w:t xml:space="preserve">R15. Separate mock data from components [S]: </w:t>
      </w:r>
      <w:r>
        <w:rPr>
          <w:rFonts w:ascii="Arial" w:cs="Arial" w:eastAsia="Arial" w:hAnsi="Arial"/>
          <w:color w:val="1A202C"/>
          <w:sz w:val="21"/>
          <w:szCs w:val="21"/>
        </w:rPr>
        <w:t xml:space="preserve">Move the 500+ lines of trend mock data out of WarRoom.tsx into a dedicated data/mockData.ts module. This improves maintainability and makes the codebase presentable for technical review.</w:t>
      </w:r>
    </w:p>
    <w:p>
      <w:r>
        <w:br w:type="page"/>
      </w:r>
    </w:p>
    <w:p>
      <w:pPr>
        <w:pStyle w:val="Heading1"/>
        <w:spacing w:after="120" w:before="360"/>
      </w:pPr>
      <w:r>
        <w:rPr>
          <w:rFonts w:ascii="Arial" w:cs="Arial" w:eastAsia="Arial" w:hAnsi="Arial"/>
          <w:b/>
          <w:bCs/>
          <w:color w:val="1B3A5C"/>
          <w:sz w:val="32"/>
          <w:szCs w:val="32"/>
        </w:rPr>
        <w:t xml:space="preserve">5. What Is Genuinely Excellent</w:t>
      </w:r>
    </w:p>
    <w:p>
      <w:pPr>
        <w:spacing w:after="140" w:line="276"/>
      </w:pPr>
      <w:r>
        <w:rPr>
          <w:rFonts w:ascii="Arial" w:cs="Arial" w:eastAsia="Arial" w:hAnsi="Arial"/>
          <w:color w:val="1A202C"/>
          <w:sz w:val="21"/>
          <w:szCs w:val="21"/>
        </w:rPr>
        <w:t xml:space="preserve">It is important to acknowledge the significant strengths of this build. These are areas where PULSE already meets or exceeds the quality bar for a Bain/McKinsey-grade digital strategy tool.</w:t>
      </w:r>
    </w:p>
    <w:p>
      <w:pPr>
        <w:spacing w:after="140" w:line="276"/>
      </w:pPr>
      <w:r>
        <w:rPr>
          <w:rFonts w:ascii="Arial" w:cs="Arial" w:eastAsia="Arial" w:hAnsi="Arial"/>
          <w:b/>
          <w:bCs/>
          <w:color w:val="1A202C"/>
          <w:sz w:val="21"/>
          <w:szCs w:val="21"/>
        </w:rPr>
        <w:t xml:space="preserve">Trend evidence quality: </w:t>
      </w:r>
      <w:r>
        <w:rPr>
          <w:rFonts w:ascii="Arial" w:cs="Arial" w:eastAsia="Arial" w:hAnsi="Arial"/>
          <w:color w:val="1A202C"/>
          <w:sz w:val="21"/>
          <w:szCs w:val="21"/>
        </w:rPr>
        <w:t xml:space="preserve">35 real-world trends with sourced citations (ECHA, Eurostat, McKinsey, Circana, PLMA, Kantar, etc.), impact/probability scores, strategic implications, and category exposure mappings. This is the intellectual core of the tool and it is strong.</w:t>
      </w:r>
    </w:p>
    <w:p>
      <w:pPr>
        <w:spacing w:after="140" w:line="276"/>
      </w:pPr>
      <w:r>
        <w:rPr>
          <w:rFonts w:ascii="Arial" w:cs="Arial" w:eastAsia="Arial" w:hAnsi="Arial"/>
          <w:b/>
          <w:bCs/>
          <w:color w:val="1A202C"/>
          <w:sz w:val="21"/>
          <w:szCs w:val="21"/>
        </w:rPr>
        <w:t xml:space="preserve">Design token system: </w:t>
      </w:r>
      <w:r>
        <w:rPr>
          <w:rFonts w:ascii="Arial" w:cs="Arial" w:eastAsia="Arial" w:hAnsi="Arial"/>
          <w:color w:val="1A202C"/>
          <w:sz w:val="21"/>
          <w:szCs w:val="21"/>
        </w:rPr>
        <w:t xml:space="preserve">The format.ts design token architecture is production-grade: consistent color palette, typography scale, semantic colors, and utility functions (fmtShift, heatColor, shiftColorHex). This enables rapid iteration without design drift.</w:t>
      </w:r>
    </w:p>
    <w:p>
      <w:pPr>
        <w:spacing w:after="140" w:line="276"/>
      </w:pPr>
      <w:r>
        <w:rPr>
          <w:rFonts w:ascii="Arial" w:cs="Arial" w:eastAsia="Arial" w:hAnsi="Arial"/>
          <w:b/>
          <w:bCs/>
          <w:color w:val="1A202C"/>
          <w:sz w:val="21"/>
          <w:szCs w:val="21"/>
        </w:rPr>
        <w:t xml:space="preserve">Seeded Monte Carlo: </w:t>
      </w:r>
      <w:r>
        <w:rPr>
          <w:rFonts w:ascii="Arial" w:cs="Arial" w:eastAsia="Arial" w:hAnsi="Arial"/>
          <w:color w:val="1A202C"/>
          <w:sz w:val="21"/>
          <w:szCs w:val="21"/>
        </w:rPr>
        <w:t xml:space="preserve">The frontend MC simulation with Mulberry32 PRNG, Box-Muller normal sampling, and stored statistical moments is thoughtfully engineered. It demonstrates that the team understands probabilistic modeling.</w:t>
      </w:r>
    </w:p>
    <w:p>
      <w:pPr>
        <w:spacing w:after="140" w:line="276"/>
      </w:pPr>
      <w:r>
        <w:rPr>
          <w:rFonts w:ascii="Arial" w:cs="Arial" w:eastAsia="Arial" w:hAnsi="Arial"/>
          <w:b/>
          <w:bCs/>
          <w:color w:val="1A202C"/>
          <w:sz w:val="21"/>
          <w:szCs w:val="21"/>
        </w:rPr>
        <w:t xml:space="preserve">CategoryDetailPanel: </w:t>
      </w:r>
      <w:r>
        <w:rPr>
          <w:rFonts w:ascii="Arial" w:cs="Arial" w:eastAsia="Arial" w:hAnsi="Arial"/>
          <w:color w:val="1A202C"/>
          <w:sz w:val="21"/>
          <w:szCs w:val="21"/>
        </w:rPr>
        <w:t xml:space="preserve">The slide-in panel with spring animation, mini path chart, force decomposition bars, and expandable trend cards is the most polished component. This is the drill-down experience the spec envisions.</w:t>
      </w:r>
    </w:p>
    <w:p>
      <w:pPr>
        <w:spacing w:after="140" w:line="276"/>
      </w:pPr>
      <w:r>
        <w:rPr>
          <w:rFonts w:ascii="Arial" w:cs="Arial" w:eastAsia="Arial" w:hAnsi="Arial"/>
          <w:b/>
          <w:bCs/>
          <w:color w:val="1A202C"/>
          <w:sz w:val="21"/>
          <w:szCs w:val="21"/>
        </w:rPr>
        <w:t xml:space="preserve">Causal DAG architecture: </w:t>
      </w:r>
      <w:r>
        <w:rPr>
          <w:rFonts w:ascii="Arial" w:cs="Arial" w:eastAsia="Arial" w:hAnsi="Arial"/>
          <w:color w:val="1A202C"/>
          <w:sz w:val="21"/>
          <w:szCs w:val="21"/>
        </w:rPr>
        <w:t xml:space="preserve">16 directed edges with weights, lags, and mechanism descriptions. The hexagonal SVG layout with bezier curves and BFS propagation is elegant. The foundation is strong; it just needs to connect to the backend.</w:t>
      </w:r>
    </w:p>
    <w:p>
      <w:pPr>
        <w:spacing w:after="140" w:line="276"/>
      </w:pPr>
      <w:r>
        <w:rPr>
          <w:rFonts w:ascii="Arial" w:cs="Arial" w:eastAsia="Arial" w:hAnsi="Arial"/>
          <w:b/>
          <w:bCs/>
          <w:color w:val="1A202C"/>
          <w:sz w:val="21"/>
          <w:szCs w:val="21"/>
        </w:rPr>
        <w:t xml:space="preserve">Provider-agnostic AI layer: </w:t>
      </w:r>
      <w:r>
        <w:rPr>
          <w:rFonts w:ascii="Arial" w:cs="Arial" w:eastAsia="Arial" w:hAnsi="Arial"/>
          <w:color w:val="1A202C"/>
          <w:sz w:val="21"/>
          <w:szCs w:val="21"/>
        </w:rPr>
        <w:t xml:space="preserve">The LLMProvider ABC with ClaudeProvider and AzureOpenAIProvider implementations shows architectural foresight. The one-config-switch design for MVP-to-production transition is exactly right.</w:t>
      </w:r>
    </w:p>
    <w:p>
      <w:r>
        <w:br w:type="page"/>
      </w:r>
    </w:p>
    <w:p>
      <w:pPr>
        <w:pStyle w:val="Heading1"/>
        <w:spacing w:after="120" w:before="360"/>
      </w:pPr>
      <w:r>
        <w:rPr>
          <w:rFonts w:ascii="Arial" w:cs="Arial" w:eastAsia="Arial" w:hAnsi="Arial"/>
          <w:b/>
          <w:bCs/>
          <w:color w:val="1B3A5C"/>
          <w:sz w:val="32"/>
          <w:szCs w:val="32"/>
        </w:rPr>
        <w:t xml:space="preserve">6. Conclusion</w:t>
      </w:r>
    </w:p>
    <w:p>
      <w:pPr>
        <w:spacing w:after="140" w:line="276"/>
      </w:pPr>
      <w:r>
        <w:rPr>
          <w:rFonts w:ascii="Arial" w:cs="Arial" w:eastAsia="Arial" w:hAnsi="Arial"/>
          <w:color w:val="1A202C"/>
          <w:sz w:val="21"/>
          <w:szCs w:val="21"/>
        </w:rPr>
        <w:t xml:space="preserve">PULSE is a genuinely ambitious and architecturally sophisticated platform. The intellectual foundation — Bayesian Monte Carlo, causal DAGs, copula dependencies, Delphi elicitation, game-theoretic competitive response — is at or beyond the level that Bain GAMMA or McKinsey QuantumBlack would design. The trend intelligence layer (35 sourced, scored, exposure-mapped trends) is the kind of evidence base that wins category strategy presentations.</w:t>
      </w:r>
    </w:p>
    <w:p>
      <w:pPr>
        <w:spacing w:after="140" w:line="276"/>
      </w:pPr>
      <w:r>
        <w:rPr>
          <w:rFonts w:ascii="Arial" w:cs="Arial" w:eastAsia="Arial" w:hAnsi="Arial"/>
          <w:color w:val="1A202C"/>
          <w:sz w:val="21"/>
          <w:szCs w:val="21"/>
        </w:rPr>
        <w:t xml:space="preserve">The gap is not in ambition or architecture — it is in the last mile of execution. The dashboard is currently a beautiful frontend prototype disconnected from its powerful backend engine. Connecting these two worlds, adding narrative interpretation, and polishing the export pipeline would transform PULSE from an impressive demo into a decision-changing strategic tool.</w:t>
      </w:r>
    </w:p>
    <w:p>
      <w:pPr>
        <w:spacing w:after="140" w:line="276"/>
      </w:pPr>
      <w:r>
        <w:rPr>
          <w:rFonts w:ascii="Arial" w:cs="Arial" w:eastAsia="Arial" w:hAnsi="Arial"/>
          <w:color w:val="1A202C"/>
          <w:sz w:val="21"/>
          <w:szCs w:val="21"/>
        </w:rPr>
        <w:t xml:space="preserve">With the Tier 1 fixes (2-3 weeks of focused work), PULSE would be presentable to a VP-level strategy audience. With Tier 2 additions (4-6 weeks total), it would pass the Bain Senior Partner test for a CEO Strategy Board. The foundation is there. The last mile matters most.</w:t>
      </w:r>
    </w:p>
    <w:p>
      <w:pPr>
        <w:spacing w:before="600"/>
      </w:pPr>
    </w:p>
    <w:p>
      <w:pPr>
        <w:jc w:val="center"/>
      </w:pPr>
      <w:r>
        <w:rPr>
          <w:rFonts w:ascii="Arial" w:cs="Arial" w:eastAsia="Arial" w:hAnsi="Arial"/>
          <w:color w:val="CBD5E1"/>
          <w:sz w:val="18"/>
          <w:szCs w:val="18"/>
        </w:rPr>
        <w:t xml:space="preserve">──────────────────────────────</w:t>
      </w:r>
    </w:p>
    <w:p>
      <w:pPr>
        <w:spacing w:before="200"/>
        <w:jc w:val="center"/>
      </w:pPr>
      <w:r>
        <w:rPr>
          <w:rFonts w:ascii="Arial" w:cs="Arial" w:eastAsia="Arial" w:hAnsi="Arial"/>
          <w:i/>
          <w:iCs/>
          <w:color w:val="94A3B8"/>
          <w:sz w:val="18"/>
          <w:szCs w:val="18"/>
        </w:rPr>
        <w:t xml:space="preserve">End of Audit Report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94A3B8"/>
        <w:sz w:val="16"/>
        <w:szCs w:val="16"/>
      </w:rPr>
      <w:t xml:space="preserve">PULSE War Room — Bain-Grade Audit</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2026-03-27T20:02:05.508Z</dcterms:created>
  <dcterms:modified xsi:type="dcterms:W3CDTF">2026-03-27T20:02:05.508Z</dcterms:modified>
</cp:coreProperties>
</file>

<file path=docProps/custom.xml><?xml version="1.0" encoding="utf-8"?>
<Properties xmlns="http://schemas.openxmlformats.org/officeDocument/2006/custom-properties" xmlns:vt="http://schemas.openxmlformats.org/officeDocument/2006/docPropsVTypes"/>
</file>