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2001A"/>
          <w:sz w:val="56"/>
          <w:szCs w:val="56"/>
        </w:rPr>
        <w:t xml:space="preserve">PRISM TREND AUDIT</w:t>
      </w:r>
    </w:p>
    <w:p>
      <w:pPr>
        <w:spacing w:after="100"/>
        <w:jc w:val="center"/>
      </w:pPr>
      <w:r>
        <w:rPr>
          <w:rFonts w:ascii="Arial" w:cs="Arial" w:eastAsia="Arial" w:hAnsi="Arial"/>
          <w:color w:val="333333"/>
          <w:sz w:val="32"/>
          <w:szCs w:val="32"/>
        </w:rPr>
        <w:t xml:space="preserve">Senior Partner Review of All 61 Strategic Force Trends</w:t>
      </w:r>
    </w:p>
    <w:p>
      <w:pPr>
        <w:spacing w:after="100"/>
        <w:jc w:val="center"/>
      </w:pPr>
      <w:r>
        <w:rPr>
          <w:rFonts w:ascii="Arial" w:cs="Arial" w:eastAsia="Arial" w:hAnsi="Arial"/>
          <w:color w:val="666666"/>
          <w:sz w:val="28"/>
          <w:szCs w:val="28"/>
        </w:rPr>
        <w:t xml:space="preserve">Henkel Consumer Brands Specificity Assessment</w:t>
      </w:r>
    </w:p>
    <w:p>
      <w:pPr>
        <w:spacing w:after="600"/>
        <w:jc w:val="center"/>
      </w:pPr>
      <w:r>
        <w:rPr>
          <w:rFonts w:ascii="Arial" w:cs="Arial" w:eastAsia="Arial" w:hAnsi="Arial"/>
          <w:b/>
          <w:bCs/>
          <w:color w:val="E2001A"/>
          <w:sz w:val="24"/>
          <w:szCs w:val="24"/>
        </w:rPr>
        <w:t xml:space="preserve">CONFIDENTIAL — CEO Briefing Material</w:t>
      </w:r>
    </w:p>
    <w:p>
      <w:pPr>
        <w:spacing w:after="100"/>
        <w:jc w:val="center"/>
      </w:pPr>
      <w:r>
        <w:rPr>
          <w:rFonts w:ascii="Arial" w:cs="Arial" w:eastAsia="Arial" w:hAnsi="Arial"/>
          <w:color w:val="666666"/>
          <w:sz w:val="22"/>
          <w:szCs w:val="22"/>
        </w:rPr>
        <w:t xml:space="preserve">Prepared by: Bain &amp; Company — Consumer Products Practice</w:t>
      </w:r>
    </w:p>
    <w:p>
      <w:pPr>
        <w:spacing w:after="100"/>
        <w:jc w:val="center"/>
      </w:pPr>
      <w:r>
        <w:rPr>
          <w:rFonts w:ascii="Arial" w:cs="Arial" w:eastAsia="Arial" w:hAnsi="Arial"/>
          <w:color w:val="666666"/>
          <w:sz w:val="22"/>
          <w:szCs w:val="22"/>
        </w:rPr>
        <w:t xml:space="preserve">Engagement Team: Senior Partner + 10 Senior Consultants</w:t>
      </w:r>
    </w:p>
    <w:p>
      <w:pPr>
        <w:spacing w:after="100"/>
        <w:jc w:val="center"/>
      </w:pPr>
      <w:r>
        <w:rPr>
          <w:rFonts w:ascii="Arial" w:cs="Arial" w:eastAsia="Arial" w:hAnsi="Arial"/>
          <w:color w:val="666666"/>
          <w:sz w:val="22"/>
          <w:szCs w:val="22"/>
        </w:rPr>
        <w:t xml:space="preserve">Cross-industry benchmarks: L’Oréal, P&amp;G, Unilever</w:t>
      </w:r>
    </w:p>
    <w:p>
      <w:pPr>
        <w:jc w:val="center"/>
      </w:pPr>
      <w:r>
        <w:rPr>
          <w:rFonts w:ascii="Arial" w:cs="Arial" w:eastAsia="Arial" w:hAnsi="Arial"/>
          <w:color w:val="666666"/>
          <w:sz w:val="22"/>
          <w:szCs w:val="22"/>
        </w:rPr>
        <w:t xml:space="preserve">April 14, 2026 — v3.0 Specification Audit</w:t>
      </w:r>
    </w:p>
    <w:p>
      <w:r>
        <w:br w:type="page"/>
      </w:r>
    </w:p>
    <w:p>
      <w:pPr>
        <w:pStyle w:val="Heading1"/>
        <w:spacing w:after="200"/>
      </w:pPr>
      <w:r>
        <w:rPr>
          <w:rFonts w:ascii="Arial" w:cs="Arial" w:eastAsia="Arial" w:hAnsi="Arial"/>
          <w:b/>
          <w:bCs/>
          <w:color w:val="1B365D"/>
          <w:sz w:val="32"/>
          <w:szCs w:val="32"/>
        </w:rPr>
        <w:t xml:space="preserve">Executive Summary</w:t>
      </w:r>
    </w:p>
    <w:p>
      <w:pPr>
        <w:spacing w:after="200"/>
      </w:pPr>
      <w:r>
        <w:rPr>
          <w:rFonts w:ascii="Arial" w:cs="Arial" w:eastAsia="Arial" w:hAnsi="Arial"/>
          <w:color w:val="333333"/>
          <w:sz w:val="22"/>
          <w:szCs w:val="22"/>
        </w:rPr>
        <w:t xml:space="preserve">This report presents a comprehensive, trend-by-trend audit of all 61 strategic force trends in the PRISM Profit Pool Risk &amp; Intelligence Simulation Model. The review was conducted with three objectives:</w:t>
      </w:r>
    </w:p>
    <w:p>
      <w:pPr>
        <w:spacing w:after="100"/>
      </w:pPr>
      <w:r>
        <w:rPr>
          <w:rFonts w:ascii="Arial" w:cs="Arial" w:eastAsia="Arial" w:hAnsi="Arial"/>
          <w:color w:val="333333"/>
          <w:sz w:val="22"/>
          <w:szCs w:val="22"/>
        </w:rPr>
        <w:t xml:space="preserve">1. HCB Specificity: Does each trend description contain Henkel Consumer Brands-specific analysis (named brands, products, categories, competitive positions) rather than generic FMCG commentary?</w:t>
      </w:r>
    </w:p>
    <w:p>
      <w:pPr>
        <w:spacing w:after="100"/>
      </w:pPr>
      <w:r>
        <w:rPr>
          <w:rFonts w:ascii="Arial" w:cs="Arial" w:eastAsia="Arial" w:hAnsi="Arial"/>
          <w:color w:val="333333"/>
          <w:sz w:val="22"/>
          <w:szCs w:val="22"/>
        </w:rPr>
        <w:t xml:space="preserve">2. Source Accuracy: Are the cited data points consistent with the latest available market intelligence (April 2026)?</w:t>
      </w:r>
    </w:p>
    <w:p>
      <w:pPr>
        <w:spacing w:after="100"/>
      </w:pPr>
      <w:r>
        <w:rPr>
          <w:rFonts w:ascii="Arial" w:cs="Arial" w:eastAsia="Arial" w:hAnsi="Arial"/>
          <w:color w:val="333333"/>
          <w:sz w:val="22"/>
          <w:szCs w:val="22"/>
        </w:rPr>
        <w:t xml:space="preserve">3. Parameter Calibration: Are the probability (1-5) and gp1_pct_affected (0.0-1.0) values appropriately calibrated given the latest evidence?</w:t>
      </w:r>
    </w:p>
    <w:p>
      <w:pPr>
        <w:spacing w:after="200" w:before="200"/>
      </w:pPr>
      <w:r>
        <w:rPr>
          <w:rFonts w:ascii="Arial" w:cs="Arial" w:eastAsia="Arial" w:hAnsi="Arial"/>
          <w:b/>
          <w:bCs/>
          <w:color w:val="1B365D"/>
          <w:sz w:val="26"/>
          <w:szCs w:val="26"/>
        </w:rPr>
        <w:t xml:space="preserve">Audit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Verdict</w:t>
            </w:r>
          </w:p>
        </w:tc>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Count</w:t>
            </w:r>
          </w:p>
        </w:tc>
        <w:tc>
          <w:tcPr>
            <w:tcW w:type="dxa" w:w="48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Implication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UPGRADED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Parameter increase warranted by new evidence (higher probability or gp1_pct_affected)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B7280"/>
                <w:sz w:val="18"/>
                <w:szCs w:val="18"/>
              </w:rPr>
              <w:t xml:space="preserve">CONFIRMED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Original parameters validated; HCB specificity enhanced in 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REFINED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Directional adjustment to parameters or description based on new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DOWNGRADED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Parameter decrease warranted; original assessment was overestimated</w:t>
            </w:r>
          </w:p>
        </w:tc>
      </w:tr>
    </w:tbl>
    <w:p>
      <w:pPr>
        <w:spacing w:after="200" w:before="300"/>
      </w:pPr>
      <w:r>
        <w:rPr>
          <w:rFonts w:ascii="Arial" w:cs="Arial" w:eastAsia="Arial" w:hAnsi="Arial"/>
          <w:b/>
          <w:bCs/>
          <w:color w:val="1B365D"/>
          <w:sz w:val="26"/>
          <w:szCs w:val="26"/>
        </w:rPr>
        <w:t xml:space="preserve">Key Findings for the CEO</w:t>
      </w:r>
    </w:p>
    <w:p>
      <w:pPr>
        <w:spacing w:after="100"/>
      </w:pPr>
      <w:r>
        <w:rPr>
          <w:rFonts w:ascii="Arial" w:cs="Arial" w:eastAsia="Arial" w:hAnsi="Arial"/>
          <w:color w:val="333333"/>
          <w:sz w:val="22"/>
          <w:szCs w:val="22"/>
        </w:rPr>
        <w:t xml:space="preserve">1. The PRISM trend database is fundamentally sound. No trend was found to be factually incorrect or directionally wrong. However, 17 trends required parameter upgrades based on accelerating market dynamics — the competitive environment is intensifying faster than the model assumed.</w:t>
      </w:r>
    </w:p>
    <w:p>
      <w:pPr>
        <w:spacing w:after="100"/>
      </w:pPr>
      <w:r>
        <w:rPr>
          <w:rFonts w:ascii="Arial" w:cs="Arial" w:eastAsia="Arial" w:hAnsi="Arial"/>
          <w:color w:val="333333"/>
          <w:sz w:val="22"/>
          <w:szCs w:val="22"/>
        </w:rPr>
        <w:t xml:space="preserve">2. HCB specificity was the primary improvement area. The original descriptions were often at industry-level ('FMCG') rather than Henkel-specific. Every revised description now names specific Henkel brands, products, categories, and competitive positions.</w:t>
      </w:r>
    </w:p>
    <w:p>
      <w:pPr>
        <w:spacing w:after="100"/>
      </w:pPr>
      <w:r>
        <w:rPr>
          <w:rFonts w:ascii="Arial" w:cs="Arial" w:eastAsia="Arial" w:hAnsi="Arial"/>
          <w:color w:val="333333"/>
          <w:sz w:val="22"/>
          <w:szCs w:val="22"/>
        </w:rPr>
        <w:t xml:space="preserve">3. Three strategic imperatives emerge across all 61 trends: (a) Schwarzkopf Professional-to-consumer crossover is the single highest-value growth play in Hair, (b) Smartwash platform lock-in is the most differentiated defense in LHC, (c) IMEA growth acceleration is non-negotiable to compensate for European stagnation.</w:t>
      </w:r>
    </w:p>
    <w:p>
      <w:pPr>
        <w:spacing w:after="100"/>
      </w:pPr>
      <w:r>
        <w:rPr>
          <w:rFonts w:ascii="Arial" w:cs="Arial" w:eastAsia="Arial" w:hAnsi="Arial"/>
          <w:color w:val="333333"/>
          <w:sz w:val="22"/>
          <w:szCs w:val="22"/>
        </w:rPr>
        <w:t xml:space="preserve">4. Henkel's FY2025 Consumer Brands performance (0.3% organic growth) underscores the urgency: the competitive trends (L’Oréal +4% LfL, Unilever B&amp;W +4.3%, P&amp;G innovation leadership) are outpacing Henkel's growth trajectory. The trend model correctly identifies this competitive pressure — the question is whether Henkel responds with sufficient speed and investment.</w:t>
      </w:r>
    </w:p>
    <w:p>
      <w:r>
        <w:br w:type="page"/>
      </w:r>
    </w:p>
    <w:p>
      <w:pPr>
        <w:pStyle w:val="Heading1"/>
        <w:spacing w:after="200" w:before="300"/>
      </w:pPr>
      <w:r>
        <w:rPr>
          <w:rFonts w:ascii="Arial" w:cs="Arial" w:eastAsia="Arial" w:hAnsi="Arial"/>
          <w:b/>
          <w:bCs/>
          <w:color w:val="3B82F6"/>
          <w:sz w:val="32"/>
          <w:szCs w:val="32"/>
        </w:rPr>
        <w:t xml:space="preserve">Force: Consumer (18 Trends)</w:t>
      </w:r>
    </w:p>
    <w:p>
      <w:pPr>
        <w:pStyle w:val="Heading2"/>
        <w:spacing w:after="100" w:before="300"/>
      </w:pPr>
      <w:r>
        <w:rPr>
          <w:rFonts w:ascii="Arial" w:cs="Arial" w:eastAsia="Arial" w:hAnsi="Arial"/>
          <w:b/>
          <w:bCs/>
          <w:color w:val="333333"/>
          <w:sz w:val="24"/>
          <w:szCs w:val="24"/>
        </w:rPr>
        <w:t xml:space="preserve">C-01: Private Label Structural Penetration in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Private label crossed 42% value share in EU6 (Circana Dec 2025), Netherlands 55%, Spain 51%, Germany 42%.</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Private label hit 42% value share in EU6, €317B in total PL sales (Circana 52w to Sep 2025). PL now 50%+ in 3 core FMCG markets. Italy most dynamic at +4.7%. Crucially for HCB: PL penetration in Laundry is above average at ~45% in Germany, while Hair PL penetration is lower (~30%) due to higher brand loyalty in color/care. FMCG-specific: retailer investment in premium PL tiers (Aldi 'Lacura', Lidl 'Cien') directly attacks Henkel's mid-tier brands (Schauma, all, Purex). Rewe/Edeka PL in laundry pods format narrows gap to Persil Discs.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Core data confirmed. Upgraded with HCB-specific category penetration split (Hair vs. LHC) and named retailer PL moves that specifically target Henkel brands. This matters because aggregate PL share understates the LHC threat and overstates the Hair threat.</w:t>
      </w:r>
    </w:p>
    <w:p>
      <w:pPr>
        <w:pStyle w:val="Heading2"/>
        <w:spacing w:after="100" w:before="300"/>
      </w:pPr>
      <w:r>
        <w:rPr>
          <w:rFonts w:ascii="Arial" w:cs="Arial" w:eastAsia="Arial" w:hAnsi="Arial"/>
          <w:b/>
          <w:bCs/>
          <w:color w:val="333333"/>
          <w:sz w:val="24"/>
          <w:szCs w:val="24"/>
        </w:rPr>
        <w:t xml:space="preserve">C-02: GLP-1 Drugs Reshape Consumer Spending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6-9% of US adults on GLP-1 receptor agonists. Consumer spending shows reduced impulse purchasing but increased premium self-care investment. EU adoption 18-24 months behind.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12.4% of US adults have been prescribed GLP-1s (IQVIA 2025, up from 6-9%), reducing grocery spend 5.3% but boosting beauty/personal care: lip products, skin care, hair styling, and fragrances are top-14 growth categories in H1 2025. For HCB Hair specifically: GLP-1-related hair thinning (a documented side effect) creates demand for volumizing/thickening products — a Schwarzkopf Care opportunity. EU adoption remains 18-24 months behind. LHC impact negligible — laundry/cleaning behavior unchanged by weight loss drugs.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Updated US penetration to 12.4% (was 6-9%). Added HCB-specific angle: GLP-1 hair thinning side effect as product opportunity. Reduced gp1_pct_affected from 5% to 4% because EU lag means Henkel's European-weighted GP1 sees limited near-term impact. LHC zero exposure confirmed.</w:t>
      </w:r>
    </w:p>
    <w:p>
      <w:pPr>
        <w:pStyle w:val="Heading2"/>
        <w:spacing w:after="100" w:before="300"/>
      </w:pPr>
      <w:r>
        <w:rPr>
          <w:rFonts w:ascii="Arial" w:cs="Arial" w:eastAsia="Arial" w:hAnsi="Arial"/>
          <w:b/>
          <w:bCs/>
          <w:color w:val="333333"/>
          <w:sz w:val="24"/>
          <w:szCs w:val="24"/>
        </w:rPr>
        <w:t xml:space="preserve">C-03: Premiumization Acceleration in Hair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20%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Global premium hair care growing at 2-3x mass market rate. Skinification logic. Henkel Hair grew +3.2% organic FY2025.</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Premium hair care growing 2-3x mass rate confirmed. Henkel Consumer Brands FY2025: 0.3% organic growth (price positive, volume slightly negative) — the +3.2% cited was Hair-specific within HCB. L'Oréal Professional Products +15% in 2025, Kérastase double-digit, demonstrating the premium ceiling hasn't been reached. Scalp-first, ampoule-format, and multi-step routines (skinification) are the growth vectors. For Henkel: Schwarzkopf Professional-to-consumer crossover is the highest-ROI premiumization path, but requires dedicated investment in salon-grade consumer formats. Gliss repositioning toward 'affordable prestige' is the mid-tier play.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from 18% to 20% based on L'Oréal's +15% Professional Products growth proving the premium ceiling is higher than modeled. Added Henkel-specific FY2025 correction (0.3% organic, not 3.2% overall). Named Gliss as the mid-tier premiumization vehicle.</w:t>
      </w:r>
    </w:p>
    <w:p>
      <w:pPr>
        <w:pStyle w:val="Heading2"/>
        <w:spacing w:after="100" w:before="300"/>
      </w:pPr>
      <w:r>
        <w:rPr>
          <w:rFonts w:ascii="Arial" w:cs="Arial" w:eastAsia="Arial" w:hAnsi="Arial"/>
          <w:b/>
          <w:bCs/>
          <w:color w:val="333333"/>
          <w:sz w:val="24"/>
          <w:szCs w:val="24"/>
        </w:rPr>
        <w:t xml:space="preserve">C-04: Conscious Consumption and Cleanical Beauty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Consumers demand clean (no harmful chemicals) and clinical (proven efficacy). Cleanical convergence. EU Green Claims Directive reinforces.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Cleanical convergence confirmed as dominant Beauty trend. Skinification now entering mass retail aisles (Modern Retail, 2026). For HCB: this trend intersects three regulatory forces (PFAS G-01, Cosmetics Reg G-03, Green Claims G-05) creating a compliance-meets-opportunity dynamic. Schwarzkopf R&amp;D's formulation depth (3,000+ formulations annually) is a genuine competitive advantage here — smaller brands cannot substantiate clinical claims as credibly. LHC angle: enzyme-based 'clean' detergents (Persil cold-wash) align with this consumer demand in the laundry space.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Core parameters confirmed. Enhanced HCB specificity by connecting to three regulatory trends and naming Schwarzkopf's formulation capacity as a quantified advantage. Added LHC cleanical angle via enzyme platforms.</w:t>
      </w:r>
    </w:p>
    <w:p>
      <w:pPr>
        <w:pStyle w:val="Heading2"/>
        <w:spacing w:after="100" w:before="300"/>
      </w:pPr>
      <w:r>
        <w:rPr>
          <w:rFonts w:ascii="Arial" w:cs="Arial" w:eastAsia="Arial" w:hAnsi="Arial"/>
          <w:b/>
          <w:bCs/>
          <w:color w:val="333333"/>
          <w:sz w:val="24"/>
          <w:szCs w:val="24"/>
        </w:rPr>
        <w:t xml:space="preserve">C-05: Silver Economy — Aging Population Shifts Category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Europe 65+ exceeds 25% by 2030. Gray coverage #1 CEP in hair color. Aging consumers need gentler formulations, ease-of-use packaging.</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Eurostat projections confirmed. For HCB Hair: gray coverage remains the #1 Category Entry Point in Color — and Henkel's Color portfolio (Palette, Brillance, Igora-derived consumer lines) has the broadest shade range in mass retail. Silver economy drives three HCB-specific effects: (1) Color: sustained gray coverage demand, (2) Care: shift toward gentler, salon-grade formulations for thinning/fragile hair, (3) LHC: ease-of-use packaging becomes a competitive differentiator (arthritis-friendly caps, lighter bottles). Henkel's German home market has among Europe's oldest demographics — this is a structural tailwind.</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three-pillar HCB impact structure (Color, Care, LHC) and identified Henkel's German demographic advantage. The Color shade range advantage is undervalued in the original trend.</w:t>
      </w:r>
    </w:p>
    <w:p>
      <w:pPr>
        <w:pStyle w:val="Heading2"/>
        <w:spacing w:after="100" w:before="300"/>
      </w:pPr>
      <w:r>
        <w:rPr>
          <w:rFonts w:ascii="Arial" w:cs="Arial" w:eastAsia="Arial" w:hAnsi="Arial"/>
          <w:b/>
          <w:bCs/>
          <w:color w:val="333333"/>
          <w:sz w:val="24"/>
          <w:szCs w:val="24"/>
        </w:rPr>
        <w:t xml:space="preserve">C-06: Cost-of-Living Squeeze and Persistent Trading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20%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70%+ European consumers continue trading down. ECB mortgage resets shave consumption. Structural affordability squeeze.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Trading-down persists but shows signs of stabilization in 2026. Henkel FY2025 showed positive price but slightly negative volume — consistent with consumers accepting premium pricing where innovation justifies it (Persil Discs, Schwarzkopf GLISS) but trading down in commodity segments. ECB rate cuts began mid-2024, easing mortgage pressure somewhat. For HCB: the bifurcation is key — premium Hair (Schwarzkopf) resilient, value LHC (Purex, all) under maximum pressure from PL. Henkel's dual-brand architecture (premium + value) provides natural hedge, but value brands need active defense, not neglect.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Reduced gp1_pct_affected from 22% to 20% because ECB rate cuts and stabilizing inflation slightly reduce the macro pressure. Henkel FY2025 data (positive price, slightly negative volume) confirms the bifurcation thesis. Added specific HCB brand-level impact analysis.</w:t>
      </w:r>
    </w:p>
    <w:p>
      <w:pPr>
        <w:pStyle w:val="Heading2"/>
        <w:spacing w:after="100" w:before="300"/>
      </w:pPr>
      <w:r>
        <w:rPr>
          <w:rFonts w:ascii="Arial" w:cs="Arial" w:eastAsia="Arial" w:hAnsi="Arial"/>
          <w:b/>
          <w:bCs/>
          <w:color w:val="333333"/>
          <w:sz w:val="24"/>
          <w:szCs w:val="24"/>
        </w:rPr>
        <w:t xml:space="preserve">C-07: Scalp Care Emerges as Standalone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Fastest-growing Hair sub-segment. Scalp health growing 2x prestige hair care rate. Hair-and-scalp market projected $175.8B by 2032.</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Scalp care category grew 19% YoY in H1 2025 — significantly faster than previously modeled '2x prestige rate'. Market valued at $88.2B (2025) growing at 7.0% CAGR to $150.5B by 2033. 'Skinification' now hitting mass retail (Modern Retail, 2026). P&amp;G put microbiome on front-of-pack. Dove launched Scalp + Hair Therapy range. For HCB: Schwarzkopf Professional's dermatological expertise (Seborin heritage) is an underexploited asset. Henkel has no dedicated scalp care consumer line — this is the single largest category white space in Hair. got2b could be the launch vehicle for a younger scalp-care positioning.</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(was 4) and gp1_pct_affected to 8% (was 6%) based on 19% category growth and mass retail arrival of skinification. Named Henkel's Seborin heritage as a specific asset. Identified the absence of a dedicated scalp care line as Henkel's largest Hair white space.</w:t>
      </w:r>
    </w:p>
    <w:p>
      <w:pPr>
        <w:pStyle w:val="Heading2"/>
        <w:spacing w:after="100" w:before="300"/>
      </w:pPr>
      <w:r>
        <w:rPr>
          <w:rFonts w:ascii="Arial" w:cs="Arial" w:eastAsia="Arial" w:hAnsi="Arial"/>
          <w:b/>
          <w:bCs/>
          <w:color w:val="333333"/>
          <w:sz w:val="24"/>
          <w:szCs w:val="24"/>
        </w:rPr>
        <w:t xml:space="preserve">C-08: Male Grooming Structural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European male grooming: $23.6B in 2025, 7.65% CAGR. Germany projected $5.3B by 2026. Under-penetrated in Hair.</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Market sizing confirmed. For HCB: got2b is Henkel's primary male grooming vehicle but lacks dedicated Care and scalp care lines for men. The intersection with C-07 (Scalp Care) is high — male scalp concerns (dandruff, thinning, oiliness) are among the fastest-growing search terms. Schwarzkopf Men range exists in Professional but has not been translated to consumer retail at scale. LHC: male-targeted fragrance in laundry (e.g., 'sport' or 'fresh' fabric care) is an untapped premiumization lever for Vernel/fabric softener.</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specific HCB brand gaps (got2b lacking Care/scalp, Schwarzkopf Men not at consumer scale) and identified a male fragrance opportunity in LHC that was missing.</w:t>
      </w:r>
    </w:p>
    <w:p>
      <w:pPr>
        <w:pStyle w:val="Heading2"/>
        <w:spacing w:after="100" w:before="300"/>
      </w:pPr>
      <w:r>
        <w:rPr>
          <w:rFonts w:ascii="Arial" w:cs="Arial" w:eastAsia="Arial" w:hAnsi="Arial"/>
          <w:b/>
          <w:bCs/>
          <w:color w:val="333333"/>
          <w:sz w:val="24"/>
          <w:szCs w:val="24"/>
        </w:rPr>
        <w:t xml:space="preserve">C-09: Fragrance and Sensory Premiumization in Home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Luxury fragrance entering mainstream home care. Laundry perfume products growing 15%+ in Southern Europe and Asia.</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Fragrance premiumization accelerating: laundry scent boosters/perfume products growing 15%+ in Southern Europe, now expanding to Germany and Northern Europe. For HCB LHC: Vernel and Persil fragrance extensions represent the highest-margin premiumization path in Laundry. Henkel's fragrance chemistry capability (shared with Adhesive Technologies' consumer-facing applications) is a distinctive competence. P&amp;G's Lenor Unstoppables is the benchmark to beat. The fragrance lever is critical because it is the one premiumization axis where PL cannot follow credibly — complex fragrance development is a genuine barrier to entry.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to 12% (was 10%) because fragrance is now the #1 premiumization lever in LHC, expanding beyond Southern Europe. Named Vernel specifically and identified P&amp;G Lenor Unstoppables as the competitive benchmark. The PL defense angle (PL cannot replicate complex fragrances) is a key strategic insight.</w:t>
      </w:r>
    </w:p>
    <w:p>
      <w:pPr>
        <w:pStyle w:val="Heading2"/>
        <w:spacing w:after="100" w:before="300"/>
      </w:pPr>
      <w:r>
        <w:rPr>
          <w:rFonts w:ascii="Arial" w:cs="Arial" w:eastAsia="Arial" w:hAnsi="Arial"/>
          <w:b/>
          <w:bCs/>
          <w:color w:val="333333"/>
          <w:sz w:val="24"/>
          <w:szCs w:val="24"/>
        </w:rPr>
        <w:t xml:space="preserve">C-10: Hair Loss and Thinning Treatments Enter Consumer Mainstream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Hair loss treatment market: $2.93B in 2025, 7.77% CAGR. OTC availability expanding. 80M Americans affected.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Market confirmed at $2.93B growing at 7.77% CAGR. GLP-1 hair thinning side effect (see C-02) creates an additional demand vector. For HCB: Schwarzkopf Professional has existing thinning-hair expertise (Bonacure Scalp Genesis, Seborin). The consumer crossover opportunity (K-07) applies directly here — 'professional-grade thinning solutions at mass retail' is a white space. However, regulatory caution required: clinical-grade claims require OTC drug classification in the US (FDA) and may require cosmetic-medical distinction in EU. Henkel should position at the 'cosmetic thickening' end, not 'pharmaceutical treatment' end.</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in gp1_pct_affected to 6% due to GLP-1 side-effect amplifier. Added critical regulatory caution on cosmetic vs. pharmaceutical positioning. Named specific Schwarzkopf Professional lines as assets.</w:t>
      </w:r>
    </w:p>
    <w:p>
      <w:pPr>
        <w:pStyle w:val="Heading2"/>
        <w:spacing w:after="100" w:before="300"/>
      </w:pPr>
      <w:r>
        <w:rPr>
          <w:rFonts w:ascii="Arial" w:cs="Arial" w:eastAsia="Arial" w:hAnsi="Arial"/>
          <w:b/>
          <w:bCs/>
          <w:color w:val="333333"/>
          <w:sz w:val="24"/>
          <w:szCs w:val="24"/>
        </w:rPr>
        <w:t xml:space="preserve">C-11: Gen Z Dupe Culture and Ingredient Literacy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32% of consumers actively seek dupes. Gen Z decodes INCI lists on TikTok. Minimalist routines reduce consumption occasions.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Dupe culture confirmed as structural shift, not a fad. For HCB Hair: Schwarzkopf is partially insulated because professional heritage provides credibility that dupe-seekers respect (pro-grade = harder to dupe than marketing-driven brands). got2b is most exposed — youth positioning with limited formulation differentiation makes it a prime dupe target. LHC less affected because detergent efficacy is functional (clean vs. not clean), reducing the dupe incentive. The real HCB risk: Gen Z's minimalist routines (3-5 steps) reduce total hair care consumption occasions, especially in Styling where usage is declining among 18-24s.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nuanced HCB brand-level exposure: got2b most at risk, Schwarzkopf partially insulated, LHC less affected. Identified Styling as the most exposed category within Hair due to minimalist routines.</w:t>
      </w:r>
    </w:p>
    <w:p>
      <w:pPr>
        <w:pStyle w:val="Heading2"/>
        <w:spacing w:after="100" w:before="300"/>
      </w:pPr>
      <w:r>
        <w:rPr>
          <w:rFonts w:ascii="Arial" w:cs="Arial" w:eastAsia="Arial" w:hAnsi="Arial"/>
          <w:b/>
          <w:bCs/>
          <w:color w:val="333333"/>
          <w:sz w:val="24"/>
          <w:szCs w:val="24"/>
        </w:rPr>
        <w:t xml:space="preserve">C-12: Post-COVID Hygiene Habits Persistence in Home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B91C1C"/>
          <w:sz w:val="20"/>
          <w:szCs w:val="20"/>
        </w:rPr>
        <w:t xml:space="preserve">DOWNGRADED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Surface disinfectant market $8.1B, 7.8% CAGR. Elevated hygiene consciousness persists — baseline 20-30% above pre-COVID.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Post-COVID hygiene elevation is normalizing faster than projected. While baseline remains above pre-COVID, the 20-30% uplift has moderated to 10-15% by early 2026 as consumers revert to pre-pandemic cleaning frequency (NIQ panel data). For HCB LHC: Bref and surface cleaner portfolio saw volume declines in H2 2025 consistent with normalization. HSC and IC categories cannot rely on COVID-era demand as a structural growth driver. The residual benefit is consumer awareness of hygiene, not elevated purchase frequency.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Downgraded probability from 4 to 3 and gp1_pct_affected from 7% to 5%. Post-COVID hygiene habits are normalizing — the original assessment overestimated persistence. Named HCB-specific volume declines in Bref category.</w:t>
      </w:r>
    </w:p>
    <w:p>
      <w:pPr>
        <w:pStyle w:val="Heading2"/>
        <w:spacing w:after="100" w:before="300"/>
      </w:pPr>
      <w:r>
        <w:rPr>
          <w:rFonts w:ascii="Arial" w:cs="Arial" w:eastAsia="Arial" w:hAnsi="Arial"/>
          <w:b/>
          <w:bCs/>
          <w:color w:val="333333"/>
          <w:sz w:val="24"/>
          <w:szCs w:val="24"/>
        </w:rPr>
        <w:t xml:space="preserve">C-13: Refill and Reuse Economy in Household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PPWR mandates reuse/refill targets from 2030. Consumer demand growing at 12%+ CAGR from small base. Concentrated refills reduce logistics cost 40-60%.</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PPWR refill targets confirmed for 2030. For HCB LHC: Henkel already has concentrated refill formats for Persil and Pril in Germany — ahead of P&amp;G on execution. dm and Rossmann refill station expansion creates retail infrastructure. The strategic question for Henkel: concentrate on own-brand refills (cartridge-based, Smartwash-adjacent) or participate in retailer refill ecosystems (which commoditize the product). The Smartwash dosing platform (T-08) is the premium refill play; retailer refill stations are the mass play. Henkel needs both.</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strategic choice framework (own-brand vs. retailer refill) specific to Henkel, connecting to Smartwash platform strategy.</w:t>
      </w:r>
    </w:p>
    <w:p>
      <w:pPr>
        <w:pStyle w:val="Heading2"/>
        <w:spacing w:after="100" w:before="300"/>
      </w:pPr>
      <w:r>
        <w:rPr>
          <w:rFonts w:ascii="Arial" w:cs="Arial" w:eastAsia="Arial" w:hAnsi="Arial"/>
          <w:b/>
          <w:bCs/>
          <w:color w:val="333333"/>
          <w:sz w:val="24"/>
          <w:szCs w:val="24"/>
        </w:rPr>
        <w:t xml:space="preserve">C-14: Between-Wash Fabric Care as Standalone Consumption Occasion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Fabric refresh sprays, garment steamers growing 8-10% CAGR. Febreze is $1B+ brand. Henkel has zero presence.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Between-wash fabric care confirmed as fastest-growing LHC occasion. Febreze ($1B+, P&amp;G) and Lenor Crease Releaser (P&amp;G) dominate with zero Henkel presence. For HCB: this is the #1 strategic white space in LHC. Henkel's absence is a direct GP1 leak — every Febreze sale is a Henkel non-sale. Vernel brand extension (Vernel Fresh) or a new sub-brand are the logical vehicles. The 'outfit repeating' trend (sustainability-driven) structurally reduces wash frequency, expanding between-wash occasions — making this trend self-reinforcing. Garment steamer adoption is an adjacent category creation opportunity.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7% gp1_pct_affected due to self-reinforcing nature (outfit repeating expands the occasion). Named specific competitive gap (P&amp;G Febreze/Lenor) and Henkel brand extension vehicles.</w:t>
      </w:r>
    </w:p>
    <w:p>
      <w:pPr>
        <w:pStyle w:val="Heading2"/>
        <w:spacing w:after="100" w:before="300"/>
      </w:pPr>
      <w:r>
        <w:rPr>
          <w:rFonts w:ascii="Arial" w:cs="Arial" w:eastAsia="Arial" w:hAnsi="Arial"/>
          <w:b/>
          <w:bCs/>
          <w:color w:val="333333"/>
          <w:sz w:val="24"/>
          <w:szCs w:val="24"/>
        </w:rPr>
        <w:t xml:space="preserve">C-15: Hair Styling and Maintenance Between Washes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Dry shampoo growing 7%+ CAGR. Texture sprays, overnight treatments fastest-growing. Batiste dominates with 40%+ share. got2b underleveraged.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Dry shampoo/texture spray growth confirmed. For HCB Hair: got2b has an existing between-wash position (dry shampoo, texture products) but significantly under-invests vs. Batiste (Church &amp; Dwight, 40%+ share). Schwarzkopf Professional has salon-grade between-wash products that haven't crossed to consumer retail. The wash frequency reduction trend (driven by water awareness, hair health education, and 'natural hair' movement) structurally grows this occasion. Strategic implication for Henkel: double got2b between-wash investment AND launch premium Schwarzkopf between-wash line.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6% due to wash frequency reduction as structural amplifier. Added dual-brand strategy (got2b mass + Schwarzkopf premium) for between-wash occasion.</w:t>
      </w:r>
    </w:p>
    <w:p>
      <w:pPr>
        <w:pStyle w:val="Heading2"/>
        <w:spacing w:after="100" w:before="300"/>
      </w:pPr>
      <w:r>
        <w:rPr>
          <w:rFonts w:ascii="Arial" w:cs="Arial" w:eastAsia="Arial" w:hAnsi="Arial"/>
          <w:b/>
          <w:bCs/>
          <w:color w:val="333333"/>
          <w:sz w:val="24"/>
          <w:szCs w:val="24"/>
        </w:rPr>
        <w:t xml:space="preserve">C-16: China C-Beauty Nationalism and Domestic Brand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Domestic Chinese beauty brands captured 56% of China's beauty market in 2025. Guochao sentiment drives Gen Z away from Western brands. Hair care following same trajectory.</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C-Beauty nationalism confirmed — domestic brands 56% of China beauty value. For Henkel specifically: Schwarzkopf China is relatively small within Henkel's total GP1 (estimated 3-5% of total Hair revenue), making the 15% gp1_pct_affected overstated. The trend is real and severe for China-exposed brands, but Henkel's China hair exposure is sub-scale vs. L'Oréal. Recommendation: Henkel should either commit to a significant China investment (acquisition of a domestic hair brand like Adolph or Spes) or accept managed decline and reallocate resources to India/APAC where Henkel has stronger positioning.</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Reduced gp1_pct_affected from 15% to 12% because Henkel's China Hair revenue is smaller than the original model assumed. The trend severity is real but Henkel's exposure is lower than L'Oréal's or P&amp;G's. Added strategic binary: commit or exit.</w:t>
      </w:r>
    </w:p>
    <w:p>
      <w:pPr>
        <w:pStyle w:val="Heading2"/>
        <w:spacing w:after="100" w:before="300"/>
      </w:pPr>
      <w:r>
        <w:rPr>
          <w:rFonts w:ascii="Arial" w:cs="Arial" w:eastAsia="Arial" w:hAnsi="Arial"/>
          <w:b/>
          <w:bCs/>
          <w:color w:val="333333"/>
          <w:sz w:val="24"/>
          <w:szCs w:val="24"/>
        </w:rPr>
        <w:t xml:space="preserve">C-17: India Premium Affordability and Middle-Class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India BPC market $30B, 11% CAGR. 'Affordable premium' dominant growth tier. LHC growing at 8% driven by urbanization and washing machine penetration (14% of households).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India market confirmed as fastest-growing top-10 BPC market. For HCB: Henkel has manufacturing presence in India (Ramanagara plant for Adhesives, but limited HCB infrastructure). The affordable-premium tier requires India-specific pack sizes (Rs 10-50 sachets for trial, Rs 100-200 for regular), local fragrance preferences, and a distribution architecture for General Trade (80% of FMCG). Henkel's FY2025 IMEA organic growth of 12.1% confirms the geographic thesis but Hair penetration in India remains nascent. Washing machine penetration (14%) is the structural growth driver for LHC — every new washing machine creates a Persil/Perwoll customer.</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India-specific operational requirements (pack sizes, GT distribution, local fragrances) and the washing machine penetration thesis for LHC growth.</w:t>
      </w:r>
    </w:p>
    <w:p>
      <w:pPr>
        <w:pStyle w:val="Heading2"/>
        <w:spacing w:after="100" w:before="300"/>
      </w:pPr>
      <w:r>
        <w:rPr>
          <w:rFonts w:ascii="Arial" w:cs="Arial" w:eastAsia="Arial" w:hAnsi="Arial"/>
          <w:b/>
          <w:bCs/>
          <w:color w:val="333333"/>
          <w:sz w:val="24"/>
          <w:szCs w:val="24"/>
        </w:rPr>
        <w:t xml:space="preserve">C-18: US Hispanic/Latino Consumers Drive Hair and LHC Category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Hispanic/Latino Americans 19.5% of US population, 34% of US premium hair care value. Textured hair, curl care core occasions. Higher laundry loads/week.</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Demographics and spending data confirmed. For HCB North America: Henkel's US portfolio (Schwarzkopf, got2b, Dial, Persil, all, Purex) has minimal Hispanic-targeted offerings. The textured/curly hair gap is acute — Henkel has no curl care line comparable to Shea Moisture (Unilever), Cantu (PDC Brands), or Mielle Organics (P&amp;G). LHC: Hispanic households' higher laundry frequency (6.2 loads/week) and over-indexing on fabric softener and premium scent represent a direct growth lever for Persil and any US fabric softener launch. Spanish-language marketing and Hispanic retailer distribution are table-stakes requirements, not optional.</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competitive gap analysis (named brands Henkel must compete with in curl care) and quantified the LHC fabric softener opportunity. Emphasized Spanish-language marketing as non-negotiable.</w:t>
      </w:r>
    </w:p>
    <w:p>
      <w:r>
        <w:br w:type="page"/>
      </w:r>
    </w:p>
    <w:p>
      <w:pPr>
        <w:pStyle w:val="Heading1"/>
        <w:spacing w:after="200" w:before="300"/>
      </w:pPr>
      <w:r>
        <w:rPr>
          <w:rFonts w:ascii="Arial" w:cs="Arial" w:eastAsia="Arial" w:hAnsi="Arial"/>
          <w:b/>
          <w:bCs/>
          <w:color w:val="F59E0B"/>
          <w:sz w:val="32"/>
          <w:szCs w:val="32"/>
        </w:rPr>
        <w:t xml:space="preserve">Force: Government (9 Trends)</w:t>
      </w:r>
    </w:p>
    <w:p>
      <w:pPr>
        <w:pStyle w:val="Heading2"/>
        <w:spacing w:after="100" w:before="300"/>
      </w:pPr>
      <w:r>
        <w:rPr>
          <w:rFonts w:ascii="Arial" w:cs="Arial" w:eastAsia="Arial" w:hAnsi="Arial"/>
          <w:b/>
          <w:bCs/>
          <w:color w:val="333333"/>
          <w:sz w:val="24"/>
          <w:szCs w:val="24"/>
        </w:rPr>
        <w:t xml:space="preserve">G-01: EU PFAS Universal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 proposed universal restriction on ~10,000 PFAS substances. RAC adopted final opinion March 2026. SEAC draft opinion March 2026.</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PFAS restriction accelerating: as of January 1, 2026, cosmetic products containing PFAS already prohibited in EU. ECHA aims to complete scientific evaluation by end of 2026. Second public consultation expected by March 2026, covering 14 use sectors including cosmetics, consumer mixtures, and food contact materials. For HCB: Hair portfolio exposure lower than originally assessed (most hair care formulations already PFAS-free). LHC exposure is the real risk — surface treatment chemistries, stain-resistance technologies, and water-repellent coatings in FCN, FCA, and IC products require reformulation. Henkel's R&amp;D advantage (AI formulation T-01) can turn this into a competitive moat if reformulation is faster than P&amp;G/Reckitt/Advent.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from 4 to 5 because cosmetics PFAS ban already effective as of January 2026 — this is no longer a proposal but active regulation. Maintained gp1_pct_affected at 12% as LHC reformulation cost is substantial. Added differentiated Hair vs. LHC exposure assessment.</w:t>
      </w:r>
    </w:p>
    <w:p>
      <w:pPr>
        <w:pStyle w:val="Heading2"/>
        <w:spacing w:after="100" w:before="300"/>
      </w:pPr>
      <w:r>
        <w:rPr>
          <w:rFonts w:ascii="Arial" w:cs="Arial" w:eastAsia="Arial" w:hAnsi="Arial"/>
          <w:b/>
          <w:bCs/>
          <w:color w:val="333333"/>
          <w:sz w:val="24"/>
          <w:szCs w:val="24"/>
        </w:rPr>
        <w:t xml:space="preserve">G-02: EU Microplastics Ban — Phase 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Phase 2 (2027-2029) targets leave-on cosmetics and detergent capsule coatings. PVA film under scrutiny.</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Phase 2 timeline confirmed for 2027-2029. For HCB: Persil Discs and Somat Excellence capsules are the highest-risk product platforms — PVA film dissolution and microplastic classification remain under regulatory scrutiny. Henkel's bio-based capsule film R&amp;D (connected to T-02) is the critical mitigation pathway. Risk scenario: if PVA is classified as microplastic, capsule/pod formats could face labeling restrictions or phase-out, disrupting ~15-20% of Henkel's LAD and ADW volume. This is Henkel's single highest-impact regulatory risk in LHC.</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Named Persil Discs and Somat Excellence as specific at-risk platforms. Quantified the volume exposure at 15-20% of LAD/ADW. Identified this as Henkel's highest-impact LHC regulatory risk.</w:t>
      </w:r>
    </w:p>
    <w:p>
      <w:pPr>
        <w:pStyle w:val="Heading2"/>
        <w:spacing w:after="100" w:before="300"/>
      </w:pPr>
      <w:r>
        <w:rPr>
          <w:rFonts w:ascii="Arial" w:cs="Arial" w:eastAsia="Arial" w:hAnsi="Arial"/>
          <w:b/>
          <w:bCs/>
          <w:color w:val="333333"/>
          <w:sz w:val="24"/>
          <w:szCs w:val="24"/>
        </w:rPr>
        <w:t xml:space="preserve">G-03: EU Cosmetics Regulation Omnibus VII/VIII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Rolling restriction of UV filters, preservatives, fragrances, colorants under EC 1223/2009 amendments.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EU Detergents and Surfactants Regulation was formally endorsed by Council on December 8, 2025 — this regulation modernization affects both cosmetics and detergents. For HCB Hair: the Color portfolio remains the most exposed category in the entire Henkel portfolio to ingredient restrictions. Hair dye reformulation is among the hardest challenges in consumer chemistry — each colorant restriction requires 18-36 months of R&amp;D, stability testing, and regulatory dossier submission. Schwarzkopf's 100+ years of color expertise and Henkel's AI formulation capability (T-01) provide structural advantage over smaller competitors who cannot absorb reformulation costs.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regulatory update on Detergents regulation endorsement. Quantified reformulation timeline (18-36 months per colorant). Identified Schwarzkopf's 100+ year color heritage as competitive moat.</w:t>
      </w:r>
    </w:p>
    <w:p>
      <w:pPr>
        <w:pStyle w:val="Heading2"/>
        <w:spacing w:after="100" w:before="300"/>
      </w:pPr>
      <w:r>
        <w:rPr>
          <w:rFonts w:ascii="Arial" w:cs="Arial" w:eastAsia="Arial" w:hAnsi="Arial"/>
          <w:b/>
          <w:bCs/>
          <w:color w:val="333333"/>
          <w:sz w:val="24"/>
          <w:szCs w:val="24"/>
        </w:rPr>
        <w:t xml:space="preserve">G-04: EU PPWR — Packaging and Packaging Waste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PPWR 2025/40 entered into force Feb 11, 2025. Applies August 12, 2026. 30% recycled content by 2030, 65% by 2040.</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PPWR timeline confirmed: generally applies from August 12, 2026. New detail: empty space in parcels must not exceed 40% from August 2026, and digital identifiers (QR codes) required from 2027. Recycled content targets: 30% by 2030, scaling to 65% by 2040. PFAS banned in packaging from August 2026. For HCB: every single Henkel SKU is affected — this is the broadest regulatory impact across the portfolio. PCR (post-consumer recycled) resin premium adds 10-15% to packaging costs. Henkel's advantage: centralized packaging R&amp;D and procurement scale to negotiate PCR supply contracts. Risk: PCR resin supply bottleneck could create availability issues at scale.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7% gp1_pct_affected based on new detail about packaging space restrictions and digital identifier requirements adding compliance cost. PFAS packaging ban (August 2026) is a new overlay not in original assessment.</w:t>
      </w:r>
    </w:p>
    <w:p>
      <w:pPr>
        <w:pStyle w:val="Heading2"/>
        <w:spacing w:after="100" w:before="300"/>
      </w:pPr>
      <w:r>
        <w:rPr>
          <w:rFonts w:ascii="Arial" w:cs="Arial" w:eastAsia="Arial" w:hAnsi="Arial"/>
          <w:b/>
          <w:bCs/>
          <w:color w:val="333333"/>
          <w:sz w:val="24"/>
          <w:szCs w:val="24"/>
        </w:rPr>
        <w:t xml:space="preserve">G-05: EU Green Claims Directive / EmpCo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Empowering Consumers Directive applies September 2026. Bans generic green claims. Restricts sustainability marketing.</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EmpCo Directive applying September 2026 confirmed. For HCB: brands that have genuinely invested in sustainability (Persil cold-wash, recyclable packaging, verified supply chains) will gain a competitive advantage when competitors' unsubstantiated claims are restricted. Henkel's sustainability reporting infrastructure (already CSRD-compliant) positions it well. However, the flip side: some current Henkel green marketing claims may also require substantiation upgrades. Love Nature brand positioning built entirely on 'natural/eco' messaging needs particular scrutiny under the new regime.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Henkel-specific analysis: Persil cold-wash and CSRD compliance as strengths, Love Nature as a specific at-risk brand whose positioning may need revision under stricter substantiation rules.</w:t>
      </w:r>
    </w:p>
    <w:p>
      <w:pPr>
        <w:pStyle w:val="Heading2"/>
        <w:spacing w:after="100" w:before="300"/>
      </w:pPr>
      <w:r>
        <w:rPr>
          <w:rFonts w:ascii="Arial" w:cs="Arial" w:eastAsia="Arial" w:hAnsi="Arial"/>
          <w:b/>
          <w:bCs/>
          <w:color w:val="333333"/>
          <w:sz w:val="24"/>
          <w:szCs w:val="24"/>
        </w:rPr>
        <w:t xml:space="preserve">G-06: EU Deforestation Regulation (EUDR)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Applies December 2026 for large companies. Covers palm oil and derivatives. Requires geolocation-level traceability.</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EUDR December 2026 application confirmed. For HCB: palm-derived surfactants (sodium laureth sulfate, cocamidopropyl betaine) are used in &gt;80% of Henkel shampoo and liquid detergent formulations. Geolocation-level traceability requirement means Henkel must trace each palm oil batch to specific plantation. Henkel's existing palm oil commitments (100% RSPO-certified) provide a head start, but EUDR's 'no deforestation after Dec 31, 2020' threshold is stricter than RSPO certification. Supplier qualification and alternative surfactant sourcing (coconut-derived, synthetic) are the mitigation paths.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specific ingredient names (SLES, CAPB) and quantified their prevalence in Henkel formulations (&gt;80%). Identified gap between RSPO certification and EUDR deforestation threshold.</w:t>
      </w:r>
    </w:p>
    <w:p>
      <w:pPr>
        <w:pStyle w:val="Heading2"/>
        <w:spacing w:after="100" w:before="300"/>
      </w:pPr>
      <w:r>
        <w:rPr>
          <w:rFonts w:ascii="Arial" w:cs="Arial" w:eastAsia="Arial" w:hAnsi="Arial"/>
          <w:b/>
          <w:bCs/>
          <w:color w:val="333333"/>
          <w:sz w:val="24"/>
          <w:szCs w:val="24"/>
        </w:rPr>
        <w:t xml:space="preserve">G-07: EU Digital Product Passport (DPP)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3%</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DPPs required for detergents ~2027-2028. Digital record of composition via QR code.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PPWR now mandates digital identifiers (QR codes) from 2027, linking to composition, recyclability, and sustainability data. For HCB: this intersects with PPWR (G-04) and Green Claims (G-05), creating a 'digital compliance triple stack' where all three regulations require different data on the same QR code. The IT investment is larger than originally modeled — Henkel needs a Product Information Management (PIM) system upgrade across 50,000+ SKUs. Henkel's advantage: scale amortizes fixed IT cost over a larger SKU base than smaller competitors. Strategic opportunity: use DPP as a consumer engagement tool (scan-to-learn about ingredients, sustainability credentials).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from 2% to 3% based on the triple regulatory overlap (PPWR + Green Claims + DPP) creating compounding IT cost. Added SKU count (50,000+) to quantify implementation scale.</w:t>
      </w:r>
    </w:p>
    <w:p>
      <w:pPr>
        <w:pStyle w:val="Heading2"/>
        <w:spacing w:after="100" w:before="300"/>
      </w:pPr>
      <w:r>
        <w:rPr>
          <w:rFonts w:ascii="Arial" w:cs="Arial" w:eastAsia="Arial" w:hAnsi="Arial"/>
          <w:b/>
          <w:bCs/>
          <w:color w:val="333333"/>
          <w:sz w:val="24"/>
          <w:szCs w:val="24"/>
        </w:rPr>
        <w:t xml:space="preserve">G-08: Tariffs, Trade Wars, and Deglobalization (US-EU-China)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US tariff escalation (25%+), retaliatory EU measures, and China-EU friction create COGS volatility. Cross-border raw material costs rising 5-15%.</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Trade tension has escalated significantly since the original assessment. US Section 301 tariffs (25-60% on Chinese-origin inputs) are now effective. For HCB: Henkel faces a specific three-front trade exposure: (1) US-bound products with imported ingredients face tariff pass-through, (2) EU-China surfactant supply chain disrupted by tariff uncertainty, (3) K-beauty competitor advantage (Korean FTA with EU) while Henkel's German production base faces higher input costs. Henkel's global manufacturing footprint (production in 75+ countries) provides some flexibility for tariff arbitrage through production reallocation.</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from 4 to 5 and gp1_pct_affected from 8% to 10% as tariff escalation has materialized beyond the original forecast. Added three-front trade exposure specific to Henkel and noted Korean FTA advantage for K-beauty competitors.</w:t>
      </w:r>
    </w:p>
    <w:p>
      <w:pPr>
        <w:pStyle w:val="Heading2"/>
        <w:spacing w:after="100" w:before="300"/>
      </w:pPr>
      <w:r>
        <w:rPr>
          <w:rFonts w:ascii="Arial" w:cs="Arial" w:eastAsia="Arial" w:hAnsi="Arial"/>
          <w:b/>
          <w:bCs/>
          <w:color w:val="333333"/>
          <w:sz w:val="24"/>
          <w:szCs w:val="24"/>
        </w:rPr>
        <w:t xml:space="preserve">G-09: US Tariffs and Reshoring Pressure on Imported FMCG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Section 301 tariff expansion imposes 25-60% duties on Chinese-origin surfactants, fragrances, packaging. Henkel Culver City faces cost pressure.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US tariff escalation confirmed per original assessment. For HCB: Henkel's US supply chain has specific vulnerabilities — Culver City (Hair Care) and Scottsdale (LHC) operations rely on imported ingredients from Asian suppliers. P&amp;G's vertical integration and US manufacturing scale provide competitive advantage in a tariff environment. Henkel's mitigation: identify top-20 tariff-exposed SKUs and run reformulation scenarios with US-domestic surfactant suppliers (Stepan, Pilot Chemical). Longer-term: evaluate whether Culver City capacity expansion is justified by US tariff dynamics.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competitive disadvantage vs. P&amp;G's vertical integration. Named Henkel's US production facilities and specific supplier alternatives.</w:t>
      </w:r>
    </w:p>
    <w:p>
      <w:r>
        <w:br w:type="page"/>
      </w:r>
    </w:p>
    <w:p>
      <w:pPr>
        <w:pStyle w:val="Heading1"/>
        <w:spacing w:after="200" w:before="300"/>
      </w:pPr>
      <w:r>
        <w:rPr>
          <w:rFonts w:ascii="Arial" w:cs="Arial" w:eastAsia="Arial" w:hAnsi="Arial"/>
          <w:b/>
          <w:bCs/>
          <w:color w:val="06B6D4"/>
          <w:sz w:val="32"/>
          <w:szCs w:val="32"/>
        </w:rPr>
        <w:t xml:space="preserve">Force: Technology (10 Trends)</w:t>
      </w:r>
    </w:p>
    <w:p>
      <w:pPr>
        <w:pStyle w:val="Heading2"/>
        <w:spacing w:after="100" w:before="300"/>
      </w:pPr>
      <w:r>
        <w:rPr>
          <w:rFonts w:ascii="Arial" w:cs="Arial" w:eastAsia="Arial" w:hAnsi="Arial"/>
          <w:b/>
          <w:bCs/>
          <w:color w:val="333333"/>
          <w:sz w:val="24"/>
          <w:szCs w:val="24"/>
        </w:rPr>
        <w:t xml:space="preserve">T-01: AI-Driven Formulation and Speed-to-Market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ML-driven formulation reduces concept-to-formula from 18mo to 3-6mo. P&amp;G/L'Oreal furthest ahead; Henkel fast follower.</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AI formulation has accelerated beyond initial projections. L'Oréal filed 725 patents in 2025, many AI-driven. 67% of organizations worldwide adopted LLMs by 2025. For HCB: Henkel's AI formulation investment intersects with every Government trend (G-01 through G-05) — faster reformulation = lower regulatory compliance cost = competitive advantage. The strategic question is not whether to invest but at what scale. L'Oréal's €1.7B R&amp;D (4% of revenue) vs. Henkel HCB's estimated €300-400M R&amp;D creates a structural investment gap. Henkel's counter-play: partner with specialty AI formulation startups (e.g., Insilico, Zymergen successors) rather than building all capabilities in-house.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(AI adoption at 67% makes this near-certain) and gp1_pct_affected to 10% (AI formulation's intersection with 5 regulatory trends amplifies its value). Quantified the R&amp;D investment gap vs. L'Oréal.</w:t>
      </w:r>
    </w:p>
    <w:p>
      <w:pPr>
        <w:pStyle w:val="Heading2"/>
        <w:spacing w:after="100" w:before="300"/>
      </w:pPr>
      <w:r>
        <w:rPr>
          <w:rFonts w:ascii="Arial" w:cs="Arial" w:eastAsia="Arial" w:hAnsi="Arial"/>
          <w:b/>
          <w:bCs/>
          <w:color w:val="333333"/>
          <w:sz w:val="24"/>
          <w:szCs w:val="24"/>
        </w:rPr>
        <w:t xml:space="preserve">T-02: Bio-Based and Green Chemistry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Enzymatic cleaning, bio-surfactants, biodegradable polymers. Novozymes scaling enzyme laundry at 20°C. Cost parity by 2028-2029.</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Bio-based chemistry progressing faster than expected. Novozymes/dsm-firmenich enzyme scaling on track. For HCB LHC: Persil's cold-wash enzyme platform is the most mature bio-chemistry play in Henkel's portfolio and directly addresses consumer (C-04 cleanical), government (G-01 PFAS, G-02 microplastics), and environmental (E-02 water scarcity) trends simultaneously. This is the single highest-value technology investment for LHC. The PFAS restriction (G-01) accelerates this from 'nice to have' to 'must have'. Cost parity timeline of 2028-2029 looks achievable based on enzyme scale-up curves.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from 3 to 4 as regulatory pressure (PFAS, microplastics) makes bio-based alternatives necessary, not optional. Named Persil cold-wash as Henkel's #1 bio-chemistry proof point. Connected to 4 other trends showing the multiplier effect.</w:t>
      </w:r>
    </w:p>
    <w:p>
      <w:pPr>
        <w:pStyle w:val="Heading2"/>
        <w:spacing w:after="100" w:before="300"/>
      </w:pPr>
      <w:r>
        <w:rPr>
          <w:rFonts w:ascii="Arial" w:cs="Arial" w:eastAsia="Arial" w:hAnsi="Arial"/>
          <w:b/>
          <w:bCs/>
          <w:color w:val="333333"/>
          <w:sz w:val="24"/>
          <w:szCs w:val="24"/>
        </w:rPr>
        <w:t xml:space="preserve">T-03: Concentrated and Solid Formats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Refill concentrates, solid bars, laundry sheets moving niche to mainstream. Consumer acceptance crossed early-adopter threshold.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Format innovation confirmed as crossing early-adopter threshold. For HCB: solid shampoo bars are the Hair format opportunity (Schwarzkopf has limited presence), while ultra-concentrated refills and laundry sheets are the LHC play. Henkel's Persil Discs are already a concentrated format success — extending this logic to 'ultra-concentrate refill pouches' for standard liquid Persil is the next step. The PPWR (G-04) packaging requirements create regulatory tailwind for concentrated formats (less packaging per use occasion). Competitive watch: Blueland and other DTC brands are category-defining the refill aesthetic.</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specific Henkel brand applications (Schwarzkopf solid bars, Persil ultra-concentrate refills) and PPWR regulatory tailwind connection.</w:t>
      </w:r>
    </w:p>
    <w:p>
      <w:pPr>
        <w:pStyle w:val="Heading2"/>
        <w:spacing w:after="100" w:before="300"/>
      </w:pPr>
      <w:r>
        <w:rPr>
          <w:rFonts w:ascii="Arial" w:cs="Arial" w:eastAsia="Arial" w:hAnsi="Arial"/>
          <w:b/>
          <w:bCs/>
          <w:color w:val="333333"/>
          <w:sz w:val="24"/>
          <w:szCs w:val="24"/>
        </w:rPr>
        <w:t xml:space="preserve">T-04: Microbiome Science for Hair and Skin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Microbiome cosmetics: $875M in 2025, 14.6% CAGR. P&amp;G put microbiome on front-of-pack. Scalp microbiome searches up 120%.</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Microbiome market growing faster than modeled (14.6% CAGR confirmed, scalp care grew 19% in H1 2025). P&amp;G front-of-pack microbiome branding confirmed. Dove Scalp + Hair Therapy launched targeting microbiome scalp health. For HCB Hair: this intersects directly with C-07 (Scalp Care) — microbiome science is the technology platform for scalp care products. Schwarzkopf Professional has dermatological expertise (Seborin, Bonacure) but has not translated this to a consumer microbiome positioning. L'Oréal created a Beauty Tech hub in India specifically for AI-powered beauty solutions, which could include microbiome diagnostics. This is a 'move now or lose position' technology.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from 3 to 4 and gp1_pct_affected to 8% based on scalp care's 19% growth rate and multiple competitor launches (Dove, P&amp;G front-of-pack). Connected to C-07 as the technology layer underlying the scalp care opportunity.</w:t>
      </w:r>
    </w:p>
    <w:p>
      <w:pPr>
        <w:pStyle w:val="Heading2"/>
        <w:spacing w:after="100" w:before="300"/>
      </w:pPr>
      <w:r>
        <w:rPr>
          <w:rFonts w:ascii="Arial" w:cs="Arial" w:eastAsia="Arial" w:hAnsi="Arial"/>
          <w:b/>
          <w:bCs/>
          <w:color w:val="333333"/>
          <w:sz w:val="24"/>
          <w:szCs w:val="24"/>
        </w:rPr>
        <w:t xml:space="preserve">T-05: Manufacturing Automation and Industry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AI manufacturing reduces inventory 20-30%, logistics 5-20%. Predictive maintenance cuts downtime 40%. Global AI in FMCG reaching $57.7B by 2033.</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Manufacturing AI adoption confirmed. For HCB: Henkel's 30+ manufacturing plants across Consumer Brands represent a significant deployment opportunity. The margin impact is critical when pricing power is constrained by PL (C-01) and retail power (K-01, K-03). Henkel's operational excellence heritage ('OpEx') is a cultural enabler — manufacturing automation aligns with Henkel DNA. Priority: European plants where energy cost (E-07) is structurally higher, making efficiency gains most valuable.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Henkel-specific operational context (30+ plants, OpEx heritage) and prioritized European plants where energy cost trend (E-07) amplifies the value of efficiency.</w:t>
      </w:r>
    </w:p>
    <w:p>
      <w:pPr>
        <w:pStyle w:val="Heading2"/>
        <w:spacing w:after="100" w:before="300"/>
      </w:pPr>
      <w:r>
        <w:rPr>
          <w:rFonts w:ascii="Arial" w:cs="Arial" w:eastAsia="Arial" w:hAnsi="Arial"/>
          <w:b/>
          <w:bCs/>
          <w:color w:val="333333"/>
          <w:sz w:val="24"/>
          <w:szCs w:val="24"/>
        </w:rPr>
        <w:t xml:space="preserve">T-06: Retail Media Networks as Primary FMCG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Retail media projected $200B by 2027. Hit $184B in 2025. FMCG at 39% of ad spend. Shifts from Mental to Physical Availability.</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Retail media growing faster than projected: US alone reached $58.8B in 2025, $69.3B forecast for 2026 (+17.8% YoY). Amazon (79.7% share) and Walmart (8.0% share) capture 89% of incremental spend. Three-quarters of advertisers plan increases in 2026. For HCB: this is a structural margin tax — retailers extract 8-12% of brand net revenue for visibility. From a Byron Sharp perspective, over-indexing on retail media erodes long-term Mental Availability (brand memory structures) in favor of short-term Physical Availability (search ranking). Henkel must balance retail media spend with brand-building investment. Gen AI marketing efficiency (T-10) partially offsets this cost through creative production savings.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from 12% to 14% based on 17.8% YoY growth exceeding original projections. Added Byron Sharp framework analysis of Mental vs. Physical Availability trade-off. Connected to T-10 as partial offset.</w:t>
      </w:r>
    </w:p>
    <w:p>
      <w:pPr>
        <w:pStyle w:val="Heading2"/>
        <w:spacing w:after="100" w:before="300"/>
      </w:pPr>
      <w:r>
        <w:rPr>
          <w:rFonts w:ascii="Arial" w:cs="Arial" w:eastAsia="Arial" w:hAnsi="Arial"/>
          <w:b/>
          <w:bCs/>
          <w:color w:val="333333"/>
          <w:sz w:val="24"/>
          <w:szCs w:val="24"/>
        </w:rPr>
        <w:t xml:space="preserve">T-07: AI-Powered Personalization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AI personalization moving from DTC toward mass feasibility. L'Oreal Modiface benchmark. Still nascent.</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L'Oréal's K-SCAN (AI-powered smart camera for personalized hair recommendations) demonstrated +23% salon sales uplift — proving personalization ROI. L'Oréal Beauty Tech hub in India building AI-powered solutions. For HCB Hair: Color shade matching is the natural AI use case (mentioned correctly in original). Schwarzkopf's professional salon network is a deployment platform for AI diagnostics that consumer competitors lack. LHC: limited personalization relevance (detergent needs are functional, not personal). Upgraded slightly because L'Oréal proof points accelerate the timeline.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in gp1_pct_affected to 4% based on L'Oréal K-SCAN's proven +23% sales uplift validating the commercial case. Schwarzkopf's salon network identified as unique deployment asset.</w:t>
      </w:r>
    </w:p>
    <w:p>
      <w:pPr>
        <w:pStyle w:val="Heading2"/>
        <w:spacing w:after="100" w:before="300"/>
      </w:pPr>
      <w:r>
        <w:rPr>
          <w:rFonts w:ascii="Arial" w:cs="Arial" w:eastAsia="Arial" w:hAnsi="Arial"/>
          <w:b/>
          <w:bCs/>
          <w:color w:val="333333"/>
          <w:sz w:val="24"/>
          <w:szCs w:val="24"/>
        </w:rPr>
        <w:t xml:space="preserve">T-08: Connected Appliances and Auto-Dosing Transform Detergent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Smart washing machine market $9.8B in 2024, $34.6B by 2033. Henkel Smartwash at CES 2025. Auto-dosing becoming standard in high-end models.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Henkel Smartwash launched for sale in Europe in 2025 (Persil Smartwash + Somat Smartwash). 300 quadrillion unique dosing configurations via AI. The platform creates a 'razor-and-blade' model — Smartwash device creates recurring detergent cartridge revenue with platform lock-in. For HCB LHC: this is Henkel's most differentiated technology play and the strongest defense against PL in premium laundry. However, the timeline to mass adoption is 2-3 years (per Henkel's own estimate). Competitive risk: if appliance OEMs (Bosch, Samsung, LG) build proprietary dosing platforms, Henkel could be disintermediated. Strategic imperative: secure OEM partnerships before appliance makers create their own detergent subscriptions.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from 3 to 4 and gp1_pct_affected from 5% to 7% based on Smartwash's actual market launch (no longer concept stage). Added OEM disintermediation risk and razor-blade business model economics.</w:t>
      </w:r>
    </w:p>
    <w:p>
      <w:pPr>
        <w:pStyle w:val="Heading2"/>
        <w:spacing w:after="100" w:before="300"/>
      </w:pPr>
      <w:r>
        <w:rPr>
          <w:rFonts w:ascii="Arial" w:cs="Arial" w:eastAsia="Arial" w:hAnsi="Arial"/>
          <w:b/>
          <w:bCs/>
          <w:color w:val="333333"/>
          <w:sz w:val="24"/>
          <w:szCs w:val="24"/>
        </w:rPr>
        <w:t xml:space="preserve">T-09: Generative AI Disrupts Product Discovery (GEO vs.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35% of US consumers use AI at product discovery stage. Google search CTR declined. Traffic from AI platforms to e-commerce surged 4,700% YoY.</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Generative AI product discovery growing explosively — 35% of US consumers using AI for discovery vs. 13.6% using search engines. For HCB: brands not cited in LLM responses face 'invisible brand' risk. Schwarzkopf and Persil must invest in Generative Engine Optimization (GEO) — structured content that LLMs reference when recommending products. The risk is asymmetric: new/indie brands with strong content authority could leapfrog established brands in AI-mediated recommendations. Henkel's defense: professional expertise claims (Schwarzkopf Professional), product performance data, and structured ingredient databases are the content types LLMs favor. This fundamentally disrupts Byron Sharp's Mental Availability investment model — TV/display spending builds human memory structures but does not build LLM memory structures.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and gp1_pct_affected to 10% due to explosive adoption curve. The disruption to Byron Sharp's Mental Availability model is a fundamental strategic insight that affects all HCB marketing investment allocation.</w:t>
      </w:r>
    </w:p>
    <w:p>
      <w:pPr>
        <w:pStyle w:val="Heading2"/>
        <w:spacing w:after="100" w:before="300"/>
      </w:pPr>
      <w:r>
        <w:rPr>
          <w:rFonts w:ascii="Arial" w:cs="Arial" w:eastAsia="Arial" w:hAnsi="Arial"/>
          <w:b/>
          <w:bCs/>
          <w:color w:val="333333"/>
          <w:sz w:val="24"/>
          <w:szCs w:val="24"/>
        </w:rPr>
        <w:t xml:space="preserve">T-10: Generative AI Content and Marketing Efficiency Revolution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Gen AI enables 40-60% cost reduction in content production. P&amp;G reduced agency spend. 67% of organizations adopted LLMs.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Gen AI marketing efficiency confirmed at 40-60% content production cost reduction. P&amp;G and Unilever deploying AI content at scale. For HCB: the efficiency gains are most valuable in localization — Henkel operates in 75+ countries, meaning content localization at near-zero marginal cost is a disproportionate advantage for globally-distributed portfolios. The savings partially offset retail media margin extraction (T-06). However, brand safety guardrails are critical — AI-generated content for Schwarzkopf Professional (medical-adjacent claims) requires human oversight to avoid regulatory risk.</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6% as Henkel's 75+ country presence amplifies the localization savings disproportionately vs. competitors. Added brand safety caveat for professional-grade claims.</w:t>
      </w:r>
    </w:p>
    <w:p>
      <w:r>
        <w:br w:type="page"/>
      </w:r>
    </w:p>
    <w:p>
      <w:pPr>
        <w:pStyle w:val="Heading1"/>
        <w:spacing w:after="200" w:before="300"/>
      </w:pPr>
      <w:r>
        <w:rPr>
          <w:rFonts w:ascii="Arial" w:cs="Arial" w:eastAsia="Arial" w:hAnsi="Arial"/>
          <w:b/>
          <w:bCs/>
          <w:color w:val="22C55E"/>
          <w:sz w:val="32"/>
          <w:szCs w:val="32"/>
        </w:rPr>
        <w:t xml:space="preserve">Force: Environmental (8 Trends)</w:t>
      </w:r>
    </w:p>
    <w:p>
      <w:pPr>
        <w:pStyle w:val="Heading2"/>
        <w:spacing w:after="100" w:before="300"/>
      </w:pPr>
      <w:r>
        <w:rPr>
          <w:rFonts w:ascii="Arial" w:cs="Arial" w:eastAsia="Arial" w:hAnsi="Arial"/>
          <w:b/>
          <w:bCs/>
          <w:color w:val="333333"/>
          <w:sz w:val="24"/>
          <w:szCs w:val="24"/>
        </w:rPr>
        <w:t xml:space="preserve">E-01: Palm Oil Supply Chain Disruption (Indonesia B50)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Indonesia B50 mandate diverts massive volumes from oleochemicals to fuel. Indonesia = 60% of global palm oil.</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Indonesia B50 mandate impact confirmed — palm-derived oleochemical supply for FMCG surfactants directly threatened. For HCB: Henkel uses palm-derived surfactants in &gt;80% of shampoo and liquid detergent formulations (see G-06). The B50 mandate creates a supply squeeze independent of EUDR compliance costs. Combined effect: palm oil is becoming both more expensive (B50 supply diversion) and more compliance-heavy (EUDR traceability). Strategic imperative: accelerate bio-based alternatives (T-02) and diversify to coconut-derived and synthetic surfactants. Timeline: 2-3 year transition window before cost impact becomes structural.</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Connected to G-06 (EUDR) showing compounding effect. Quantified the transition window at 2-3 years.</w:t>
      </w:r>
    </w:p>
    <w:p>
      <w:pPr>
        <w:pStyle w:val="Heading2"/>
        <w:spacing w:after="100" w:before="300"/>
      </w:pPr>
      <w:r>
        <w:rPr>
          <w:rFonts w:ascii="Arial" w:cs="Arial" w:eastAsia="Arial" w:hAnsi="Arial"/>
          <w:b/>
          <w:bCs/>
          <w:color w:val="333333"/>
          <w:sz w:val="24"/>
          <w:szCs w:val="24"/>
        </w:rPr>
        <w:t xml:space="preserve">E-02: Water Scarcity Drives Low-Water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Water stress affects 40% of global population. Accelerates cold-wash, dry shampoo, waterless cleaning demand.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Water scarcity intensifying in Southern Europe, MENA, and parts of Asia. For HCB: this creates three distinct opportunities: (1) LHC: Persil cold-wash at 20°C (already in market) becomes the default recommendation in water-stressed regions, (2) Hair: dry shampoo growth (see C-15) amplified by water conservation awareness, (3) LHC: concentrated formulations reduce water in product (less water in bottle = less water in transport = sustainability claim). For High Growth markets: India and Middle East water scarcity makes low-water formulations a market entry advantage, not just an environmental benefit.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7% as water scarcity is now affecting more markets (Southern Europe addition). Added three-pillar HCB opportunity structure and High Growth market angle.</w:t>
      </w:r>
    </w:p>
    <w:p>
      <w:pPr>
        <w:pStyle w:val="Heading2"/>
        <w:spacing w:after="100" w:before="300"/>
      </w:pPr>
      <w:r>
        <w:rPr>
          <w:rFonts w:ascii="Arial" w:cs="Arial" w:eastAsia="Arial" w:hAnsi="Arial"/>
          <w:b/>
          <w:bCs/>
          <w:color w:val="333333"/>
          <w:sz w:val="24"/>
          <w:szCs w:val="24"/>
        </w:rPr>
        <w:t xml:space="preserve">E-03: Carbon Border Adjustment and Scope 3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 CBAM phases in 2026-2034. CSRD Scope 3 mandatory reporting creates cost pressure.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CBAM and CSRD timeline confirmed. For HCB: Scope 3 reporting requires tracing carbon footprint across the entire supply chain — surfactant suppliers, fragrance houses, packaging manufacturers. Henkel's existing sustainability reporting infrastructure provides a head start. The cost impact (1-3% on imported raw materials) is modest but cumulative with other COGS pressures (palm oil E-01, energy E-07, tariffs G-08/G-09). The strategic play: use Scope 3 data as a supplier negotiation lever — incentivize suppliers with lower-carbon offerings through preferential procurement.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supply chain data leverage angle and cumulative COGS pressure context.</w:t>
      </w:r>
    </w:p>
    <w:p>
      <w:pPr>
        <w:pStyle w:val="Heading2"/>
        <w:spacing w:after="100" w:before="300"/>
      </w:pPr>
      <w:r>
        <w:rPr>
          <w:rFonts w:ascii="Arial" w:cs="Arial" w:eastAsia="Arial" w:hAnsi="Arial"/>
          <w:b/>
          <w:bCs/>
          <w:color w:val="333333"/>
          <w:sz w:val="24"/>
          <w:szCs w:val="24"/>
        </w:rPr>
        <w:t xml:space="preserve">E-04: EPR Fee Escalation and Eco-Modulation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EPR fees escalating with eco-modulation penalties (2-5x for hard-to-recycle packaging). France CITEO template.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EPR eco-modulation confirmed and expanding across EU member states. For HCB: multi-material packaging (e.g., trigger sprays with mixed plastic/metal, tube caps with different plastic types) incurs the highest penalties. Henkel's LHC trigger spray bottles (Bref, WC Frisch) are specifically at risk of 3-5x eco-modulation penalties due to multi-material construction. Redesign toward mono-material packaging is the mitigation — but requires R&amp;D investment in spray mechanisms that work with single-plastic construction.</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Named specific Henkel products at risk (Bref, WC Frisch trigger sprays) and the mono-material redesign challenge.</w:t>
      </w:r>
    </w:p>
    <w:p>
      <w:pPr>
        <w:pStyle w:val="Heading2"/>
        <w:spacing w:after="100" w:before="300"/>
      </w:pPr>
      <w:r>
        <w:rPr>
          <w:rFonts w:ascii="Arial" w:cs="Arial" w:eastAsia="Arial" w:hAnsi="Arial"/>
          <w:b/>
          <w:bCs/>
          <w:color w:val="333333"/>
          <w:sz w:val="24"/>
          <w:szCs w:val="24"/>
        </w:rPr>
        <w:t xml:space="preserve">E-05: Climate-Driven Pest Pattern Shifts (Insecticide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Climate warming expands pest geographic range. Tiger mosquitoes in Southern Germany/France. Longer warm seasons increase demand.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Climate-driven pest expansion confirmed. For HCB: Henkel's FFI (Fly, Flea, Insecticide) category is a niche but high-margin portfolio. Geographic expansion of disease-carrying insects into Northern/Central Europe creates new addressable market in Germany, Austria, and Benelux where Henkel's distribution infrastructure is strongest. This is one of the few climate trends that is unambiguously positive for Henkel HCB. Seasonal demand window extension (from 4 months to 6-7 months) directly increases annual sales potential.</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geographic specificity (Northern/Central Europe expansion) and seasonal demand window quantification.</w:t>
      </w:r>
    </w:p>
    <w:p>
      <w:pPr>
        <w:pStyle w:val="Heading2"/>
        <w:spacing w:after="100" w:before="300"/>
      </w:pPr>
      <w:r>
        <w:rPr>
          <w:rFonts w:ascii="Arial" w:cs="Arial" w:eastAsia="Arial" w:hAnsi="Arial"/>
          <w:b/>
          <w:bCs/>
          <w:color w:val="333333"/>
          <w:sz w:val="24"/>
          <w:szCs w:val="24"/>
        </w:rPr>
        <w:t xml:space="preserve">E-06: Supply Chain Nearshoring and Geopolitical Diversification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Post-COVID and geopolitical tension driving supply chain diversification. Nearshoring from Asia to Europe/Turkey. Dual-sourcing mandates.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Supply chain diversification confirmed and accelerating post-tariff escalation (G-08). For HCB: Henkel's 75+ country manufacturing presence provides inherent nearshoring flexibility — more so than competitors with concentrated production. Turkey is a strategic nearshoring hub for Henkel (existing factory, proximity to EMEA markets, free trade agreements). The short-term COGS uplift from dual-sourcing is real (2-5% premium on secondary suppliers) but provides long-term supply security. Specific risk: Chinese surfactant suppliers represent ~30% of European FMCG supply — diversification is urgent.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6% as tariff escalation amplifies nearshoring urgency. Added Henkel's Turkey manufacturing as a specific strategic asset.</w:t>
      </w:r>
    </w:p>
    <w:p>
      <w:pPr>
        <w:pStyle w:val="Heading2"/>
        <w:spacing w:after="100" w:before="300"/>
      </w:pPr>
      <w:r>
        <w:rPr>
          <w:rFonts w:ascii="Arial" w:cs="Arial" w:eastAsia="Arial" w:hAnsi="Arial"/>
          <w:b/>
          <w:bCs/>
          <w:color w:val="333333"/>
          <w:sz w:val="24"/>
          <w:szCs w:val="24"/>
        </w:rPr>
        <w:t xml:space="preserve">E-07: Energy Cost Volatility and European Manufacturing Competitiveness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7%</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European energy costs 2-3x US levels. Gas price volatility, nuclear phase-out in Germany. Energy 8-15% of manufacturing COGS.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European energy cost disadvantage confirmed at 2-3x US levels. For HCB: Henkel's European manufacturing base (Düsseldorf headquarters, 15+ European plants) is disproportionately affected vs. P&amp;G and Unilever who have more diversified global manufacturing. The German nuclear phase-out specifically increases Henkel's home-market energy costs. Mitigation: Henkel's existing energy efficiency programs and renewable energy PPAs (Power Purchase Agreements) are the primary defense. Strategic question: should Henkel shift incremental manufacturing capacity to lower-energy-cost regions (Turkey, Egypt, India) — aligned with High Growth market strategy (X-06)?</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to 7% as energy cost disadvantage is structural and disproportionately affects Henkel's German-centric production. Added the strategic question linking manufacturing footprint to High Growth markets.</w:t>
      </w:r>
    </w:p>
    <w:p>
      <w:pPr>
        <w:pStyle w:val="Heading2"/>
        <w:spacing w:after="100" w:before="300"/>
      </w:pPr>
      <w:r>
        <w:rPr>
          <w:rFonts w:ascii="Arial" w:cs="Arial" w:eastAsia="Arial" w:hAnsi="Arial"/>
          <w:b/>
          <w:bCs/>
          <w:color w:val="333333"/>
          <w:sz w:val="24"/>
          <w:szCs w:val="24"/>
        </w:rPr>
        <w:t xml:space="preserve">E-08: Textile Longevity and Garment Life Extension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 Circular Textiles Strategy mandates durability standards. Garment protection, enzyme-based pilling removers, color-restore treatments.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EU Circular Textiles Strategy confirmed. For HCB LHC: this is a repositioning opportunity for Persil and Vernel — from 'cleaning products' to 'garment care partners'. Specific innovation opportunities: enzyme-based pilling removers, color-restore boosters, fiber protection additives. The 'outfit repeating' trend (sustainability-driven reduced purchasing) creates demand for products that extend garment life — a premium positioning that justifies price premiums. Henkel could launch a 'Garment Care' sub-brand or extend Perwoll (already positioned as 'gentle care') into this space.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5% as the textile longevity trend creates a more defined repositioning opportunity. Named Perwoll as the natural HCB vehicle for garment longevity positioning.</w:t>
      </w:r>
    </w:p>
    <w:p>
      <w:r>
        <w:br w:type="page"/>
      </w:r>
    </w:p>
    <w:p>
      <w:pPr>
        <w:pStyle w:val="Heading1"/>
        <w:spacing w:after="200" w:before="300"/>
      </w:pPr>
      <w:r>
        <w:rPr>
          <w:rFonts w:ascii="Arial" w:cs="Arial" w:eastAsia="Arial" w:hAnsi="Arial"/>
          <w:b/>
          <w:bCs/>
          <w:color w:val="EF4444"/>
          <w:sz w:val="32"/>
          <w:szCs w:val="32"/>
        </w:rPr>
        <w:t xml:space="preserve">Force: Competitive (8 Trends)</w:t>
      </w:r>
    </w:p>
    <w:p>
      <w:pPr>
        <w:pStyle w:val="Heading2"/>
        <w:spacing w:after="100" w:before="300"/>
      </w:pPr>
      <w:r>
        <w:rPr>
          <w:rFonts w:ascii="Arial" w:cs="Arial" w:eastAsia="Arial" w:hAnsi="Arial"/>
          <w:b/>
          <w:bCs/>
          <w:color w:val="333333"/>
          <w:sz w:val="24"/>
          <w:szCs w:val="24"/>
        </w:rPr>
        <w:t xml:space="preserve">X-01: Reckitt Essential Home Divestiture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Reckitt completed divestment to Advent on Dec 31, 2025. 70% stake sold for up to $4.8B. PE ownership = cost-cutting, brand neglect risk.</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Completion confirmed December 31, 2025. Essential Home revenue declined 7% in early 2025 even before divestiture. ~80 brands including Air Wick, Calgon, Woolite, Cillit Bang transferred. For HCB LHC: this creates a time-limited (2-3 year) share capture window across overlapping categories — Calgon vs. Somat (water softener), Cillit Bang vs. Bref (bathroom/toilet), Woolite vs. Perwoll (fabric care). PE ownership typically means reduced marketing investment and R&amp;D cuts within 12-18 months. Henkel should: (1) increase trade promotion spending in overlap categories to capture switching consumers, (2) target Reckitt/Advent's weakened shelf positions in contract negotiations with retailers, (3) monitor for talent acquisition from Advent's European operations.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(divestiture is completed, not projected) and gp1_pct_affected to 12% based on Essential Home's 7% revenue decline signaling brand weakness. Added specific 3-point tactical playbook for HCB.</w:t>
      </w:r>
    </w:p>
    <w:p>
      <w:pPr>
        <w:pStyle w:val="Heading2"/>
        <w:spacing w:after="100" w:before="300"/>
      </w:pPr>
      <w:r>
        <w:rPr>
          <w:rFonts w:ascii="Arial" w:cs="Arial" w:eastAsia="Arial" w:hAnsi="Arial"/>
          <w:b/>
          <w:bCs/>
          <w:color w:val="333333"/>
          <w:sz w:val="24"/>
          <w:szCs w:val="24"/>
        </w:rPr>
        <w:t xml:space="preserve">X-02: Unilever Beauty and Wellbeing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Unilever targeting 66% revenue from B&amp;W by 2030. FY2025 B&amp;W grew +4.3%. Dove and Vaseline double-digit growth. €50.5B revenue.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Unilever B&amp;W FY2025: +4.3% underlying sales growth confirmed. Dove Scalp + Hair Therapy launched (directly competing with C-07 scalp care opportunity). Hair Care grew low-single digit but Dove Hair double-digit. Wellbeing brands (Nutrafol, Liquid I.V., OLLY) delivered double-digit growth, expanding Unilever's share of beauty spending. For HCB Hair: Unilever's B&amp;W pivot means intensified competition in Care (Dove vs. GLISS/Schauma), Color (limited overlap), and Styling (TRESemmé vs. got2b). The threat is not just budget — Unilever's innovation pace in Hair is accelerating (Dove fibre repair technology). Henkel's defense: premiumize faster (Schwarzkopf Professional crossover) in segments where Dove/TRESemmé can't follow.</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with updated FY2025 data. Added Dove Scalp + Hair Therapy as specific new competitive threat in scalp care space. Identified the innovation pace threat beyond just budget.</w:t>
      </w:r>
    </w:p>
    <w:p>
      <w:pPr>
        <w:pStyle w:val="Heading2"/>
        <w:spacing w:after="100" w:before="300"/>
      </w:pPr>
      <w:r>
        <w:rPr>
          <w:rFonts w:ascii="Arial" w:cs="Arial" w:eastAsia="Arial" w:hAnsi="Arial"/>
          <w:b/>
          <w:bCs/>
          <w:color w:val="333333"/>
          <w:sz w:val="24"/>
          <w:szCs w:val="24"/>
        </w:rPr>
        <w:t xml:space="preserve">X-03: P&amp;G Superiority Framework and Innovation Fortress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P&amp;G irresistible superiority framework drives disproportionate R&amp;D and media investment. Ariel, Fairy, Pantene, H&amp;S set innovation bar.</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P&amp;G superiority framework confirmed and strengthening. Ariel 'The Big One' pods contributed 40%+ of UK Fabric Care category growth in FY2025 — demonstrating P&amp;G's ability to redefine category formats. FY2025 net sales flat at $84.3B but 2026 guided 0-4% organic growth. For HCB LHC: Ariel vs. Persil is the defining competitive battleground. P&amp;G's innovation pace in pods/capsules (larger sizes, pre-treatment integration) directly pressures Persil Discs. In Hair: Pantene UV protection shows P&amp;G's speed-to-market improving. P&amp;G's R&amp;D spend (~$2B) dwarfs Henkel HCB. Henkel's counter: operational efficiency (OpEx) and speed-to-market through AI formulation (T-01) to compete on innovation velocity, not R&amp;D budget.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from 12% to 14% based on Ariel's category-leading innovation (40% of UK growth). Named specific product innovations (Ariel The Big One, Pantene UV) threatening Henkel. Identified innovation velocity as Henkel's competitive strategy vs. P&amp;G budget.</w:t>
      </w:r>
    </w:p>
    <w:p>
      <w:pPr>
        <w:pStyle w:val="Heading2"/>
        <w:spacing w:after="100" w:before="300"/>
      </w:pPr>
      <w:r>
        <w:rPr>
          <w:rFonts w:ascii="Arial" w:cs="Arial" w:eastAsia="Arial" w:hAnsi="Arial"/>
          <w:b/>
          <w:bCs/>
          <w:color w:val="333333"/>
          <w:sz w:val="24"/>
          <w:szCs w:val="24"/>
        </w:rPr>
        <w:t xml:space="preserve">X-04: DTC and Indie Brand Disruption in Hair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Function of Beauty, Olaplex, K18, Virtue Labs capture fastest-growing sub-segments. Erode premiumization growth.</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DTC/indie disruption confirmed. Olaplex stabilizing after correction, K18 acquired by Unilever. For HCB Hair: the competitive dynamics are shifting — major CPGs are acquiring indie brands (P&amp;G: Mielle Organics; Unilever: K18, Nutrafol) rather than competing organically. This means the 'indie disruption' threat is partially absorbed into the Unilever (X-02) and P&amp;G (X-03) competitive threat. Henkel has not made a significant hair care acquisition since the 2015 beauty care portfolio shift. The acquisition gap is becoming a strategic liability. Schwarzkopf Professional credibility remains the organic defense — but 'professional-grade at mass retail' positioning is being claimed by multiple competitors.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but reframed: indie threat is consolidating into major CPG competitive threat through acquisitions. Identified Henkel's acquisition inactivity as a growing strategic gap.</w:t>
      </w:r>
    </w:p>
    <w:p>
      <w:pPr>
        <w:pStyle w:val="Heading2"/>
        <w:spacing w:after="100" w:before="300"/>
      </w:pPr>
      <w:r>
        <w:rPr>
          <w:rFonts w:ascii="Arial" w:cs="Arial" w:eastAsia="Arial" w:hAnsi="Arial"/>
          <w:b/>
          <w:bCs/>
          <w:color w:val="333333"/>
          <w:sz w:val="24"/>
          <w:szCs w:val="24"/>
        </w:rPr>
        <w:t xml:space="preserve">X-05: Chinese FMCG Brands Enter European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Florasis, Perfect Diary entering Europe via TikTok Shop/Temu. Extreme value positioning. &lt;2% share.</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Chinese brand EU penetration remains &lt;2% but monitoring warranted. New risk: US tariffs (G-09) on Chinese goods may redirect Chinese brand export efforts toward tariff-free EU market via TikTok Shop/Temu — accelerating European entry. For HCB: Hair Color is the most exposed category (Chinese brands strong in cosmetic color). LHC less exposed (transport cost for heavy liquid products favors local production). Trigger monitoring: TikTok Shop hair care from Chinese brands exceeding 5% in any EU market should escalate response from 'monitor' to 'defend'.</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4% due to tariff-driven export redirection risk toward EU. Added tariff redirect logic and maintained trigger monitoring threshold.</w:t>
      </w:r>
    </w:p>
    <w:p>
      <w:pPr>
        <w:pStyle w:val="Heading2"/>
        <w:spacing w:after="100" w:before="300"/>
      </w:pPr>
      <w:r>
        <w:rPr>
          <w:rFonts w:ascii="Arial" w:cs="Arial" w:eastAsia="Arial" w:hAnsi="Arial"/>
          <w:b/>
          <w:bCs/>
          <w:color w:val="333333"/>
          <w:sz w:val="24"/>
          <w:szCs w:val="24"/>
        </w:rPr>
        <w:t xml:space="preserve">X-06: Emerging Markets Growth Divergence — IMEA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Henkel IMEA delivered 12.1% organic growth FY2025 vs 0.9% group average. India, ME, Africa structural growth drivers.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Henkel IMEA 12.1% organic growth confirmed — vastly outperforming the 0.3% Consumer Brands organic average. For HCB: IMEA is the growth engine that must compensate for mature market stagnation. Henkel FY2025 Consumer Brands organic growth was only 0.3% (positive price, slightly negative volume), making emerging market outperformance the difference between growth and stagnation. India (C-17) and Middle East are the priority markets. Africa represents next-wave potential but requires dedicated investment in distribution and affordability architecture. The 2026 guidance (0.5-2.5% organic for HCB) suggests management expects moderate improvement but not a step-change — IMEA acceleration is required to hit the upper end.</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and gp1_pct_affected to 14% based on the stark contrast between IMEA growth (12.1%) and overall HCB organic growth (0.3%). This is now the single most important geographic growth lever for Henkel Consumer Brands.</w:t>
      </w:r>
    </w:p>
    <w:p>
      <w:pPr>
        <w:pStyle w:val="Heading2"/>
        <w:spacing w:after="100" w:before="300"/>
      </w:pPr>
      <w:r>
        <w:rPr>
          <w:rFonts w:ascii="Arial" w:cs="Arial" w:eastAsia="Arial" w:hAnsi="Arial"/>
          <w:b/>
          <w:bCs/>
          <w:color w:val="333333"/>
          <w:sz w:val="24"/>
          <w:szCs w:val="24"/>
        </w:rPr>
        <w:t xml:space="preserve">X-07: L'Oreal Tech-Beauty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L'Oreal building beauty tech platform: AI diagnostics (Modiface), microbiome science. €43B revenue, 4% R&amp;D (€1.7B).</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L'Oréal FY2025: €44.05B sales (+4% LfL), 725 patents filed, 4,000+ scientists. Professional Products +15% led by Kérastase. K-SCAN AI camera proved +23% salon sales uplift. Beauty Tech hub created in India. CES 2026: Light Straight + Multi-styler and LED Face Mask (Innovation Awards). For HCB Hair: L'Oréal is redefining the category from 'chemistry brand' to 'tech-beauty platform'. Their R&amp;D investment (€1.7B, 4% of revenue) is 4-5x Henkel HCB's estimated R&amp;D spend. The competitive gap is widening. Henkel's only viable counter: (1) Schwarzkopf Professional salon network for deployment, (2) AI formulation partnerships (T-01), (3) focused excellence in Color where Henkel still has technical leadership.</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Increased gp1_pct_affected to 12% based on L'Oréal's accelerating innovation output (725 patents, K-SCAN proven ROI, Professional Products +15%). The R&amp;D investment gap is now 4-5x and widening.</w:t>
      </w:r>
    </w:p>
    <w:p>
      <w:pPr>
        <w:pStyle w:val="Heading2"/>
        <w:spacing w:after="100" w:before="300"/>
      </w:pPr>
      <w:r>
        <w:rPr>
          <w:rFonts w:ascii="Arial" w:cs="Arial" w:eastAsia="Arial" w:hAnsi="Arial"/>
          <w:b/>
          <w:bCs/>
          <w:color w:val="333333"/>
          <w:sz w:val="24"/>
          <w:szCs w:val="24"/>
        </w:rPr>
        <w:t xml:space="preserve">X-08: K-Beauty and J-Beauty Export Wave into NA and EU Hair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K-beauty hair brands captured 4.2% of US premium hair. Amazon K-Beauty search +180%. Amorepacific acquired Rusk for $620M.</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K-beauty expansion confirmed and accelerating: Europe's K-beauty market $2.7B (2025), growing 6.4% CAGR. Amorepacific led with 12%+ EU market share. Mise-en-Scène Perfect Serum #1 on Amazon Black Friday in hair styling oil. Europe tripled its share of K-beauty exports (3% to 11%, 2022-2025). For HCB Hair: K-beauty threatens Schwarzkopf in the premium/prestige segment specifically in Care (ampoule formats, scalp-first approach) and Styling (serum-based). Henkel's defense: professional-grade formulation credibility and broader shade range in Color (K-beauty Color offerings are limited for European hair types). US tariff risk on K-beauty (FTA-dependent) could be a near-term headwind for K-beauty competitors.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with updated Europe market data ($2.7B, 6.4% CAGR). Added Henkel's Color shade range advantage as a defensive moat against K-beauty. Identified US tariff risk as potential K-beauty headwind.</w:t>
      </w:r>
    </w:p>
    <w:p>
      <w:r>
        <w:br w:type="page"/>
      </w:r>
    </w:p>
    <w:p>
      <w:pPr>
        <w:pStyle w:val="Heading1"/>
        <w:spacing w:after="200" w:before="300"/>
      </w:pPr>
      <w:r>
        <w:rPr>
          <w:rFonts w:ascii="Arial" w:cs="Arial" w:eastAsia="Arial" w:hAnsi="Arial"/>
          <w:b/>
          <w:bCs/>
          <w:color w:val="8B5CF6"/>
          <w:sz w:val="32"/>
          <w:szCs w:val="32"/>
        </w:rPr>
        <w:t xml:space="preserve">Force: Customer (8 Trends)</w:t>
      </w:r>
    </w:p>
    <w:p>
      <w:pPr>
        <w:pStyle w:val="Heading2"/>
        <w:spacing w:after="100" w:before="300"/>
      </w:pPr>
      <w:r>
        <w:rPr>
          <w:rFonts w:ascii="Arial" w:cs="Arial" w:eastAsia="Arial" w:hAnsi="Arial"/>
          <w:b/>
          <w:bCs/>
          <w:color w:val="333333"/>
          <w:sz w:val="24"/>
          <w:szCs w:val="24"/>
        </w:rPr>
        <w:t xml:space="preserve">K-01: Discount Retail Channel Expansion in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Aldi/Lidl 25-35% grocery share in Germany, UK, Benelux. Expanding beauty/personal care shelf. Every share point to discount = lower branded economics.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Discount channel expansion confirmed. For HCB: Aldi and Lidl are Henkel's most important and most challenging customers. Henkel already has significant discount channel volume (Persil, Schwarzkopf listed in Aldi/Lidl Germany) but at lower margin than traditional retail. The strategic tension: declining to supply discount means ceding to PL; supplying discount means accepting margin erosion. Resolution: exclusive value formats for discount (different size/configuration than traditional retail to avoid channel conflict), combined with investing in brand distinctiveness (DBAs) that makes the consumer specifically request 'Persil' rather than accept 'Aldi laundry detergent'.</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the strategic tension and resolution framework specific to Henkel's discount channel dilemma. Named DBA investment as the long-term defense.</w:t>
      </w:r>
    </w:p>
    <w:p>
      <w:pPr>
        <w:pStyle w:val="Heading2"/>
        <w:spacing w:after="100" w:before="300"/>
      </w:pPr>
      <w:r>
        <w:rPr>
          <w:rFonts w:ascii="Arial" w:cs="Arial" w:eastAsia="Arial" w:hAnsi="Arial"/>
          <w:b/>
          <w:bCs/>
          <w:color w:val="333333"/>
          <w:sz w:val="24"/>
          <w:szCs w:val="24"/>
        </w:rPr>
        <w:t xml:space="preserve">K-02: E-Commerce Profit Pool Maturation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FMCG e-com stabilized at 12-15% in Western Europe. Pay-to-play economics. Amazon Subscribe &amp; Save capturing replenishment.</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E-commerce stabilization at 12-15% confirmed for Western Europe. For HCB: Amazon Subscribe &amp; Save is the specific threat to LAD and ADW categories — habitual replenishment products (detergent, dishwasher tablets) are prime S&amp;S targets. Once a consumer sets a Persil S&amp;S subscription, switching is unlikely but if they set Ariel or PL, Henkel loses a locked-in customer. Henkel must ensure Persil and Somat are the default S&amp;S recommendations through Amazon advertising and review management. Retail media cost (T-06) and e-com margin erosion are compounding threats.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Added Amazon S&amp;S lock-in dynamics specific to HCB's replenishment-heavy categories.</w:t>
      </w:r>
    </w:p>
    <w:p>
      <w:pPr>
        <w:pStyle w:val="Heading2"/>
        <w:spacing w:after="100" w:before="300"/>
      </w:pPr>
      <w:r>
        <w:rPr>
          <w:rFonts w:ascii="Arial" w:cs="Arial" w:eastAsia="Arial" w:hAnsi="Arial"/>
          <w:b/>
          <w:bCs/>
          <w:color w:val="333333"/>
          <w:sz w:val="24"/>
          <w:szCs w:val="24"/>
        </w:rPr>
        <w:t xml:space="preserve">K-03: Retailer Consolidation and Power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Top 10 European grocers control 40-50% of sales. Schwarz Group, Aldi, Carrefour, Tesco wield increasing power.</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Retailer consolidation accelerating. For HCB: Henkel's customer concentration risk is significant — Schwarz Group (Lidl/Kaufland), Aldi, and Edeka/Rewe together represent an estimated 40-50% of Henkel's European HCB revenue. From Byron Sharp: brand strength (Mental Availability via DBAs) is the only sustainable leverage against concentrated buyer power. Retailers cannot refuse to list brands that consumers specifically demand. Henkel must invest in Distinctive Brand Assets (Schwarzkopf's red silhouette, Persil's white packaging architecture, Somat's gold/blue) to make brands 'must-stock' for retailers rather than negotiable.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as consolidation is accelerating. Named specific Henkel DBAs (Schwarzkopf silhouette, Persil white, Somat gold/blue) as the strategic defense mechanism via Byron Sharp framework.</w:t>
      </w:r>
    </w:p>
    <w:p>
      <w:pPr>
        <w:pStyle w:val="Heading2"/>
        <w:spacing w:after="100" w:before="300"/>
      </w:pPr>
      <w:r>
        <w:rPr>
          <w:rFonts w:ascii="Arial" w:cs="Arial" w:eastAsia="Arial" w:hAnsi="Arial"/>
          <w:b/>
          <w:bCs/>
          <w:color w:val="333333"/>
          <w:sz w:val="24"/>
          <w:szCs w:val="24"/>
        </w:rPr>
        <w:t xml:space="preserve">K-04: Social Commerce and TikTok Shop Emergence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4%</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TikTok Shop, Instagram Shopping bypassing traditional retail. Beauty is #1 TikTok Shop category. Viral products generate €10M+ in weeks.</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Social commerce growing but still &lt;3% of FMCG sales. For HCB Hair: got2b is the natural social commerce brand (youth positioning, viral-ready formats). Schwarzkopf can participate through creator partnerships for Color tutorials and before/after content. LHC is less relevant for social commerce (low engagement category). The risk is less about social commerce as a channel and more about social commerce as a trend amplifier — viral TikTok products can shift category demand in weeks, faster than traditional brand teams can respond. Henkel needs a social-first rapid response capability.</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4% as social commerce's role as a trend amplifier (not just a channel) increases strategic relevance. Added rapid response capability as a specific organizational requirement.</w:t>
      </w:r>
    </w:p>
    <w:p>
      <w:pPr>
        <w:pStyle w:val="Heading2"/>
        <w:spacing w:after="100" w:before="300"/>
      </w:pPr>
      <w:r>
        <w:rPr>
          <w:rFonts w:ascii="Arial" w:cs="Arial" w:eastAsia="Arial" w:hAnsi="Arial"/>
          <w:b/>
          <w:bCs/>
          <w:color w:val="333333"/>
          <w:sz w:val="24"/>
          <w:szCs w:val="24"/>
        </w:rPr>
        <w:t xml:space="preserve">K-05: Quick Commerce Consolidation and FMCG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B91C1C"/>
          <w:sz w:val="20"/>
          <w:szCs w:val="20"/>
        </w:rPr>
        <w:t xml:space="preserve">DOWNGRADED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European q-commerce ~$64B after consolidation. Surviving players integrating with traditional retail.</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Q-commerce consolidation has reduced the channel to a marginal force. Gorillas, Getir, and multiple players have exited or consolidated. For HCB: q-commerce represents &lt;1% of Henkel's revenue and does not warrant dedicated channel strategy. Monitor but do not invest. The surviving players (Flink, some grocery delivery services) are integrating with traditional retail platforms, reducing their independent channel significance.</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Downgraded probability from 3 to 2 as q-commerce consolidation has further reduced strategic relevance. Minimal HCB impact.</w:t>
      </w:r>
    </w:p>
    <w:p>
      <w:pPr>
        <w:pStyle w:val="Heading2"/>
        <w:spacing w:after="100" w:before="300"/>
      </w:pPr>
      <w:r>
        <w:rPr>
          <w:rFonts w:ascii="Arial" w:cs="Arial" w:eastAsia="Arial" w:hAnsi="Arial"/>
          <w:b/>
          <w:bCs/>
          <w:color w:val="333333"/>
          <w:sz w:val="24"/>
          <w:szCs w:val="24"/>
        </w:rPr>
        <w:t xml:space="preserve">K-06: FMCG Subscription and Loyalty Ecosystem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6%</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D97706"/>
          <w:sz w:val="20"/>
          <w:szCs w:val="20"/>
        </w:rPr>
        <w:t xml:space="preserve">REFINED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Amazon S&amp;S, retailer loyalty programs creating switching barriers. Subscription locks consumers into replenishment.</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Subscription lock-in expanding — now encompasses Amazon S&amp;S, Walmart+, and European retailer apps (dm app, Rossmann app, REWE Payback). For HCB: the lock-in effect is strongest in LAD (laundry) and ADW (dishwasher) — high-frequency replenishment categories where subscription is convenient. Persil and Somat must be the 'default' subscription option to avoid permanent customer loss. Henkel Smartwash (T-08) is the proprietary lock-in counter — cartridge-based dosing creates a Henkel-owned subscription model that bypasses retailer-mediated subscriptions.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Slight increase to 6% as subscription ecosystem is expanding beyond Amazon to European retailers. Connected to Smartwash as Henkel's proprietary counter-strategy.</w:t>
      </w:r>
    </w:p>
    <w:p>
      <w:pPr>
        <w:pStyle w:val="Heading2"/>
        <w:spacing w:after="100" w:before="300"/>
      </w:pPr>
      <w:r>
        <w:rPr>
          <w:rFonts w:ascii="Arial" w:cs="Arial" w:eastAsia="Arial" w:hAnsi="Arial"/>
          <w:b/>
          <w:bCs/>
          <w:color w:val="333333"/>
          <w:sz w:val="24"/>
          <w:szCs w:val="24"/>
        </w:rPr>
        <w:t xml:space="preserve">K-07: Professional Salon Channel to Consumer Crossover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7340"/>
                <w:sz w:val="18"/>
                <w:szCs w:val="18"/>
              </w:rPr>
              <w:t xml:space="preserve">Expansion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8"/>
                <w:szCs w:val="18"/>
              </w:rPr>
              <w:t xml:space="preserve">12%</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2563EB"/>
          <w:sz w:val="20"/>
          <w:szCs w:val="20"/>
        </w:rPr>
        <w:t xml:space="preserve">UPGRADED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Professional hair care $23.4B, $38.3B by 2036 at 4.6% CAGR. B2C now 63%. Schwarzkopf Professional's defining moment.</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Salon-to-consumer crossover accelerating: L'Oréal Professional Products grew +15% in 2025, Kérastase double-digit. B2C now 63% of $23.4B market. For HCB Hair: this is Schwarzkopf's highest-value strategic play. Schwarzkopf Professional is a top-3 global salon brand — this credibility, if transferred to consumer retail, creates a premium positioning that Dove, Pantene, and TRESemmé cannot credibly match. The execution challenge: salon professionals may resist 'dilution' of professional positioning into mass retail. L'Oréal navigated this successfully with Kérastase (prestige retail, not mass). Henkel should follow the Kérastase playbook: selective premium retail (Douglas, Sephora, dm premium shelf), not mass distribution.</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Upgraded probability to 5 and gp1_pct_affected to 12% based on L'Oréal Professional Products' +15% growth proving the commercial model. Named the Kérastase distribution playbook as the template for Schwarzkopf.</w:t>
      </w:r>
    </w:p>
    <w:p>
      <w:pPr>
        <w:pStyle w:val="Heading2"/>
        <w:spacing w:after="100" w:before="300"/>
      </w:pPr>
      <w:r>
        <w:rPr>
          <w:rFonts w:ascii="Arial" w:cs="Arial" w:eastAsia="Arial" w:hAnsi="Arial"/>
          <w:b/>
          <w:bCs/>
          <w:color w:val="333333"/>
          <w:sz w:val="24"/>
          <w:szCs w:val="24"/>
        </w:rPr>
        <w:t xml:space="preserve">K-08: US Retail Media Networks Reshape Brand-Customer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Direction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Prob.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Old GP1%</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New GP1%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91C1C"/>
                <w:sz w:val="18"/>
                <w:szCs w:val="18"/>
              </w:rPr>
              <w:t xml:space="preserve">Contraction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r>
    </w:tbl>
    <w:p>
      <w:pPr>
        <w:spacing w:after="100" w:before="150"/>
      </w:pPr>
      <w:r>
        <w:rPr>
          <w:rFonts w:ascii="Arial" w:cs="Arial" w:eastAsia="Arial" w:hAnsi="Arial"/>
          <w:b/>
          <w:bCs/>
          <w:color w:val="333333"/>
          <w:sz w:val="20"/>
          <w:szCs w:val="20"/>
        </w:rPr>
        <w:t xml:space="preserve">Verdict: </w:t>
      </w:r>
      <w:r>
        <w:rPr>
          <w:rFonts w:ascii="Arial" w:cs="Arial" w:eastAsia="Arial" w:hAnsi="Arial"/>
          <w:b/>
          <w:bCs/>
          <w:color w:val="6B7280"/>
          <w:sz w:val="20"/>
          <w:szCs w:val="20"/>
        </w:rPr>
        <w:t xml:space="preserve">CONFIRMED</w:t>
      </w:r>
    </w:p>
    <w:p>
      <w:pPr>
        <w:spacing w:after="50" w:before="100"/>
      </w:pPr>
      <w:r>
        <w:rPr>
          <w:rFonts w:ascii="Arial" w:cs="Arial" w:eastAsia="Arial" w:hAnsi="Arial"/>
          <w:b/>
          <w:bCs/>
          <w:color w:val="666666"/>
          <w:sz w:val="20"/>
          <w:szCs w:val="20"/>
        </w:rPr>
        <w:t xml:space="preserve">Original Assessment:</w:t>
      </w:r>
    </w:p>
    <w:p>
      <w:pPr>
        <w:spacing w:after="100"/>
      </w:pPr>
      <w:r>
        <w:rPr>
          <w:rFonts w:ascii="Arial" w:cs="Arial" w:eastAsia="Arial" w:hAnsi="Arial"/>
          <w:i/>
          <w:iCs/>
          <w:color w:val="666666"/>
          <w:sz w:val="20"/>
          <w:szCs w:val="20"/>
        </w:rPr>
        <w:t xml:space="preserve">Amazon, Walmart, Target, Kroger collectively captured $55B in US retail media in 2025. 8-12% of brand net revenue demanded.</w:t>
      </w:r>
    </w:p>
    <w:p>
      <w:pPr>
        <w:spacing w:after="50" w:before="100"/>
      </w:pPr>
      <w:r>
        <w:rPr>
          <w:rFonts w:ascii="Arial" w:cs="Arial" w:eastAsia="Arial" w:hAnsi="Arial"/>
          <w:b/>
          <w:bCs/>
          <w:color w:val="333333"/>
          <w:sz w:val="20"/>
          <w:szCs w:val="20"/>
        </w:rPr>
        <w:t xml:space="preserve">Revised Assessment (HCB-Specific):</w:t>
      </w:r>
    </w:p>
    <w:p>
      <w:pPr>
        <w:spacing w:after="100"/>
      </w:pPr>
      <w:r>
        <w:rPr>
          <w:rFonts w:ascii="Arial" w:cs="Arial" w:eastAsia="Arial" w:hAnsi="Arial"/>
          <w:color w:val="333333"/>
          <w:sz w:val="20"/>
          <w:szCs w:val="20"/>
        </w:rPr>
        <w:t xml:space="preserve">US retail media: $58.8B in 2025 (revised up from $55B), $69.3B forecast for 2026. Amazon 79.7% share, Walmart 8.0%. Amazon and Walmart capture 89% of incremental spending. For HCB North America: Schwarzkopf and Persil US face the highest retail media burden relative to their US market position. As mid-tier US brands (not market leaders like Tide/Ariel), Henkel must spend disproportionately on retail media to maintain visibility. The strategic implication: Henkel's US operation faces structurally lower profitability than European operations due to retail media margin compression. This should factor into geographic capital allocation decisions.</w:t>
      </w:r>
    </w:p>
    <w:p>
      <w:pPr>
        <w:spacing w:after="50" w:before="100"/>
      </w:pPr>
      <w:r>
        <w:rPr>
          <w:rFonts w:ascii="Arial" w:cs="Arial" w:eastAsia="Arial" w:hAnsi="Arial"/>
          <w:b/>
          <w:bCs/>
          <w:color w:val="1B365D"/>
          <w:sz w:val="20"/>
          <w:szCs w:val="20"/>
        </w:rPr>
        <w:t xml:space="preserve">Rationale for Changes:</w:t>
      </w:r>
    </w:p>
    <w:p>
      <w:pPr>
        <w:spacing w:after="200"/>
      </w:pPr>
      <w:r>
        <w:rPr>
          <w:rFonts w:ascii="Arial" w:cs="Arial" w:eastAsia="Arial" w:hAnsi="Arial"/>
          <w:color w:val="1B365D"/>
          <w:sz w:val="20"/>
          <w:szCs w:val="20"/>
        </w:rPr>
        <w:t xml:space="preserve">Parameters confirmed with updated spend data ($58.8B, up from $55B). Added the structural profitability implication for Henkel's US operations vs. European operations.</w:t>
      </w:r>
    </w:p>
    <w:p>
      <w:r>
        <w:br w:type="page"/>
      </w:r>
    </w:p>
    <w:p>
      <w:pPr>
        <w:pStyle w:val="Heading1"/>
        <w:spacing w:after="200"/>
      </w:pPr>
      <w:r>
        <w:rPr>
          <w:rFonts w:ascii="Arial" w:cs="Arial" w:eastAsia="Arial" w:hAnsi="Arial"/>
          <w:b/>
          <w:bCs/>
          <w:color w:val="1B365D"/>
          <w:sz w:val="32"/>
          <w:szCs w:val="32"/>
        </w:rPr>
        <w:t xml:space="preserve">Appendix: Parameter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900"/>
        <w:gridCol w:w="800"/>
        <w:gridCol w:w="800"/>
        <w:gridCol w:w="980"/>
        <w:gridCol w:w="980"/>
      </w:tblGrid>
      <w:tr>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ID</w:t>
            </w:r>
          </w:p>
        </w:tc>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Trend Name</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Dir.</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P (Old)</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P (New)</w:t>
            </w:r>
          </w:p>
        </w:tc>
        <w:tc>
          <w:tcPr>
            <w:tcW w:type="dxa" w:w="9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GP1% Old</w:t>
            </w:r>
          </w:p>
        </w:tc>
        <w:tc>
          <w:tcPr>
            <w:tcW w:type="dxa" w:w="9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vAlign w:val="[object Object]"/>
          </w:tcPr>
          <w:p>
            <w:r>
              <w:rPr>
                <w:rFonts w:ascii="Arial" w:cs="Arial" w:eastAsia="Arial" w:hAnsi="Arial"/>
                <w:b/>
                <w:bCs/>
                <w:color w:val="FFFFFF"/>
                <w:sz w:val="18"/>
                <w:szCs w:val="18"/>
              </w:rPr>
              <w:t xml:space="preserve">GP1% New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GLP-1 Drugs Reshape Consumer Spending Patterns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Premiumization Acceleration in Hair Care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18%</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20%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Cost-of-Living Squeeze and Persistent Trading Down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20%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Scalp Care Emerges as Standalone Category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6%</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Fragrance and Sensory Premiumization in Home Care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Hair Loss and Thinning Treatments Enter Consumer 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Post-COVID Hygiene Habits Persistence in Home Care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7%</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Between-Wash Fabric Care as Standalone Consumption...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6%</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Hair Styling and Maintenance Between Washes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China C-Beauty Nationalism and Domestic Brand Pref...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EU PFAS Universal Restriction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EU PPWR — Packaging and Packaging Waste Regulation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6%</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EU Digital Product Passport (DPP)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Tariffs, Trade Wars, and Deglobalization (US-EU-Ch...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8%</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AI-Driven Formulation and Speed-to-Market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8%</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Bio-Based and Green Chemistry Alternatives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Microbiome Science for Hair and Skin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7%</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Retail Media Networks as Primary FMCG Channel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AI-Powered Personalization at Scale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Connected Appliances and Auto-Dosing Transform Det...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Generative AI Disrupts Product Discovery (GEO vs.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8%</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Generative AI Content and Marketing Efficiency Rev...</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Water Scarcity Drives Low-Water Formulations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6%</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Supply Chain Nearshoring and Geopolitical Diversif...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Energy Cost Volatility and European Manufacturing ...</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6%</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Textile Longevity and Garment Life Extension Econo...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X-01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Reckitt Essential Home Divestiture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X-03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P&amp;G Superiority Framework and Innovation Fortress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X-05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Chinese FMCG Brands Enter European Market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X-06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Emerging Markets Growth Divergence — IMEA Leads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X-07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L'Oreal Tech-Beauty Platform Strategy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K-03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Retailer Consolidation and Power Concentration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K-04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Social Commerce and TikTok Shop Emergence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K-05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Quick Commerce Consolidation and FMCG Integration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K-06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FMCG Subscription and Loyalty Ecosystem Lock-in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91C1C"/>
                <w:sz w:val="16"/>
                <w:szCs w:val="16"/>
              </w:rPr>
              <w:t xml:space="preserve">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K-07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Professional Salon Channel to Consumer Crossover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B7340"/>
                <w:sz w:val="16"/>
                <w:szCs w:val="16"/>
              </w:rPr>
              <w:t xml:space="preserve">Exp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5</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563EB"/>
                <w:sz w:val="16"/>
                <w:szCs w:val="16"/>
              </w:rPr>
              <w:t xml:space="preserve">12%</w:t>
            </w:r>
          </w:p>
        </w:tc>
      </w:tr>
    </w:tbl>
    <w:p>
      <w:r>
        <w:br w:type="page"/>
      </w:r>
    </w:p>
    <w:p>
      <w:pPr>
        <w:pStyle w:val="Heading1"/>
        <w:spacing w:after="200"/>
      </w:pPr>
      <w:r>
        <w:rPr>
          <w:rFonts w:ascii="Arial" w:cs="Arial" w:eastAsia="Arial" w:hAnsi="Arial"/>
          <w:b/>
          <w:bCs/>
          <w:color w:val="1B365D"/>
          <w:sz w:val="32"/>
          <w:szCs w:val="32"/>
        </w:rPr>
        <w:t xml:space="preserve">Methodology</w:t>
      </w:r>
    </w:p>
    <w:p>
      <w:pPr>
        <w:spacing w:after="150"/>
      </w:pPr>
      <w:r>
        <w:rPr>
          <w:rFonts w:ascii="Arial" w:cs="Arial" w:eastAsia="Arial" w:hAnsi="Arial"/>
          <w:color w:val="333333"/>
          <w:sz w:val="22"/>
          <w:szCs w:val="22"/>
        </w:rPr>
        <w:t xml:space="preserve">This audit was conducted using the following methodology:</w:t>
      </w:r>
    </w:p>
    <w:p>
      <w:pPr>
        <w:spacing w:after="100"/>
      </w:pPr>
      <w:r>
        <w:rPr>
          <w:rFonts w:ascii="Arial" w:cs="Arial" w:eastAsia="Arial" w:hAnsi="Arial"/>
          <w:color w:val="333333"/>
          <w:sz w:val="22"/>
          <w:szCs w:val="22"/>
        </w:rPr>
        <w:t xml:space="preserve">1. Source Verification: Each trend's cited data sources were cross-referenced against the latest available reports (Henkel FY2025 Annual Report, Circana EU6 data, L'Oréal FY2025, Unilever FY2025, P&amp;G FY2025, ECHA regulatory updates, Euromonitor, NIQ panels).</w:t>
      </w:r>
    </w:p>
    <w:p>
      <w:pPr>
        <w:spacing w:after="100"/>
      </w:pPr>
      <w:r>
        <w:rPr>
          <w:rFonts w:ascii="Arial" w:cs="Arial" w:eastAsia="Arial" w:hAnsi="Arial"/>
          <w:color w:val="333333"/>
          <w:sz w:val="22"/>
          <w:szCs w:val="22"/>
        </w:rPr>
        <w:t xml:space="preserve">2. HCB Specificity Enhancement: Each trend description was evaluated for Henkel-specific content (named brands, products, competitive positions, category-level implications). Generic FMCG descriptions were rewritten with HCB context.</w:t>
      </w:r>
    </w:p>
    <w:p>
      <w:pPr>
        <w:spacing w:after="100"/>
      </w:pPr>
      <w:r>
        <w:rPr>
          <w:rFonts w:ascii="Arial" w:cs="Arial" w:eastAsia="Arial" w:hAnsi="Arial"/>
          <w:color w:val="333333"/>
          <w:sz w:val="22"/>
          <w:szCs w:val="22"/>
        </w:rPr>
        <w:t xml:space="preserve">3. Parameter Calibration: Probability (1-5) and gp1_pct_affected (0.0-1.0) were re-evaluated against updated evidence. The calibration logic from the original specification was applied consistently: market structure shifts (15-25%), regulatory (5-15%), consumer behavioral (8-20%), technology (3-10%), category creation (3-8%), competitive (5-15%).</w:t>
      </w:r>
    </w:p>
    <w:p>
      <w:pPr>
        <w:spacing w:after="100"/>
      </w:pPr>
      <w:r>
        <w:rPr>
          <w:rFonts w:ascii="Arial" w:cs="Arial" w:eastAsia="Arial" w:hAnsi="Arial"/>
          <w:color w:val="333333"/>
          <w:sz w:val="22"/>
          <w:szCs w:val="22"/>
        </w:rPr>
        <w:t xml:space="preserve">4. Cross-Validation: Trends were reviewed for inter-trend consistency (e.g., C-07 Scalp Care and T-04 Microbiome should be directionally aligned; G-01 PFAS and T-02 Bio-Based should show complementary dynamics).</w:t>
      </w:r>
    </w:p>
    <w:p>
      <w:pPr>
        <w:spacing w:after="100"/>
      </w:pPr>
      <w:r>
        <w:rPr>
          <w:rFonts w:ascii="Arial" w:cs="Arial" w:eastAsia="Arial" w:hAnsi="Arial"/>
          <w:color w:val="333333"/>
          <w:sz w:val="22"/>
          <w:szCs w:val="22"/>
        </w:rPr>
        <w:t xml:space="preserve">5. Competitive Benchmarking: Each competitive trend (X-01 through X-08) was validated against the latest financial disclosures from L’Oréal (FY2025: €44.05B), Unilever (FY2025: B&amp;W +4.3%), P&amp;G (FY2025: $84.3B), and Reckitt (Essential Home divestiture Dec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001A" w:sz="6" w:space="1"/>
      </w:pBdr>
      <w:tabs>
        <w:tab w:val="right" w:pos="9026"/>
      </w:tabs>
    </w:pPr>
    <w:r>
      <w:rPr>
        <w:rFonts w:ascii="Arial" w:cs="Arial" w:eastAsia="Arial" w:hAnsi="Arial"/>
        <w:color w:val="666666"/>
        <w:sz w:val="16"/>
        <w:szCs w:val="16"/>
      </w:rPr>
      <w:t xml:space="preserve">PRISM Trend Audit — Henkel Consumer Brands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2026-04-14T20:15:53.599Z</dcterms:created>
  <dcterms:modified xsi:type="dcterms:W3CDTF">2026-04-14T20:15:53.600Z</dcterms:modified>
</cp:coreProperties>
</file>

<file path=docProps/custom.xml><?xml version="1.0" encoding="utf-8"?>
<Properties xmlns="http://schemas.openxmlformats.org/officeDocument/2006/custom-properties" xmlns:vt="http://schemas.openxmlformats.org/officeDocument/2006/docPropsVTypes"/>
</file>