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C62828"/>
          <w:sz w:val="20"/>
          <w:szCs w:val="20"/>
        </w:rPr>
        <w:t xml:space="preserve">CONFIDENTIAL</w:t>
      </w:r>
    </w:p>
    <w:p>
      <w:pPr>
        <w:spacing w:after="200"/>
      </w:pPr>
    </w:p>
    <w:p>
      <w:pPr>
        <w:spacing w:after="80"/>
        <w:jc w:val="center"/>
      </w:pPr>
      <w:r>
        <w:rPr>
          <w:rFonts w:ascii="Arial" w:cs="Arial" w:eastAsia="Arial" w:hAnsi="Arial"/>
          <w:b/>
          <w:bCs/>
          <w:color w:val="1A237E"/>
          <w:sz w:val="52"/>
          <w:szCs w:val="52"/>
        </w:rPr>
        <w:t xml:space="preserve">PRISM TREND DATABASE</w:t>
      </w:r>
    </w:p>
    <w:p>
      <w:pPr>
        <w:spacing w:after="80"/>
        <w:jc w:val="center"/>
      </w:pPr>
      <w:r>
        <w:rPr>
          <w:rFonts w:ascii="Arial" w:cs="Arial" w:eastAsia="Arial" w:hAnsi="Arial"/>
          <w:b/>
          <w:bCs/>
          <w:color w:val="1A237E"/>
          <w:sz w:val="40"/>
          <w:szCs w:val="40"/>
        </w:rPr>
        <w:t xml:space="preserve">STRATEGIC REVIEW &amp; EXPANSION</w:t>
      </w:r>
    </w:p>
    <w:p>
      <w:pPr>
        <w:spacing w:after="200"/>
      </w:pPr>
    </w:p>
    <w:p>
      <w:pPr>
        <w:jc w:val="center"/>
      </w:pPr>
      <w:r>
        <w:rPr>
          <w:rFonts w:ascii="Arial" w:cs="Arial" w:eastAsia="Arial" w:hAnsi="Arial"/>
          <w:i/>
          <w:iCs/>
          <w:color w:val="C62828"/>
          <w:sz w:val="28"/>
          <w:szCs w:val="28"/>
        </w:rPr>
        <w:t xml:space="preserve">Are We Thinking Big Enough?</w:t>
      </w:r>
    </w:p>
    <w:p>
      <w:pPr>
        <w:spacing w:after="400"/>
      </w:pPr>
    </w:p>
    <w:p>
      <w:pPr>
        <w:jc w:val="center"/>
      </w:pPr>
      <w:r>
        <w:rPr>
          <w:rFonts w:ascii="Arial" w:cs="Arial" w:eastAsia="Arial" w:hAnsi="Arial"/>
          <w:color w:val="757575"/>
          <w:sz w:val="22"/>
          <w:szCs w:val="22"/>
        </w:rPr>
        <w:t xml:space="preserve">Prepared for: CEO, Henkel Consumer Brands</w:t>
      </w:r>
    </w:p>
    <w:p>
      <w:pPr>
        <w:jc w:val="center"/>
      </w:pPr>
      <w:r>
        <w:rPr>
          <w:rFonts w:ascii="Arial" w:cs="Arial" w:eastAsia="Arial" w:hAnsi="Arial"/>
          <w:color w:val="757575"/>
          <w:sz w:val="22"/>
          <w:szCs w:val="22"/>
        </w:rPr>
        <w:t xml:space="preserve">Prepared by: Bain &amp; Company — Consumer Products Practice</w:t>
      </w:r>
    </w:p>
    <w:p>
      <w:pPr>
        <w:jc w:val="center"/>
      </w:pPr>
      <w:r>
        <w:rPr>
          <w:rFonts w:ascii="Arial" w:cs="Arial" w:eastAsia="Arial" w:hAnsi="Arial"/>
          <w:color w:val="757575"/>
          <w:sz w:val="22"/>
          <w:szCs w:val="22"/>
        </w:rPr>
        <w:t xml:space="preserve">Date: April 15, 2026 | Horizon: 2026–2036</w:t>
      </w:r>
    </w:p>
    <w:p>
      <w:pPr>
        <w:jc w:val="center"/>
      </w:pPr>
      <w:r>
        <w:rPr>
          <w:rFonts w:ascii="Arial" w:cs="Arial" w:eastAsia="Arial" w:hAnsi="Arial"/>
          <w:color w:val="C62828"/>
          <w:sz w:val="20"/>
          <w:szCs w:val="20"/>
        </w:rPr>
        <w:t xml:space="preserve">Classification: STRICTLY CONFIDENTIAL</w:t>
      </w:r>
    </w:p>
    <w:p>
      <w:pPr>
        <w:spacing w:after="800"/>
      </w:pPr>
    </w:p>
    <w:p>
      <w:pPr>
        <w:jc w:val="center"/>
      </w:pPr>
      <w:r>
        <w:rPr>
          <w:rFonts w:ascii="Arial" w:cs="Arial" w:eastAsia="Arial" w:hAnsi="Arial"/>
          <w:i/>
          <w:iCs/>
          <w:color w:val="757575"/>
          <w:sz w:val="20"/>
          <w:szCs w:val="20"/>
        </w:rPr>
        <w:t xml:space="preserve">20-person team | 4-week dedicated engagement | 61 trends reviewed, 24 new trends proposed</w:t>
      </w:r>
    </w:p>
    <w:p>
      <w:r>
        <w:br w:type="page"/>
      </w:r>
    </w:p>
    <w:p>
      <w:pPr>
        <w:pStyle w:val="Heading1"/>
        <w:spacing w:after="200" w:before="360"/>
      </w:pPr>
      <w:r>
        <w:rPr>
          <w:rFonts w:ascii="Arial" w:cs="Arial" w:eastAsia="Arial" w:hAnsi="Arial"/>
          <w:b/>
          <w:bCs/>
          <w:color w:val="1A237E"/>
          <w:sz w:val="32"/>
          <w:szCs w:val="32"/>
        </w:rPr>
        <w:t xml:space="preserve">EXECUTIVE SUMMARY</w:t>
      </w:r>
    </w:p>
    <w:p>
      <w:pPr>
        <w:spacing w:after="40"/>
      </w:pPr>
    </w:p>
    <w:p>
      <w:pPr>
        <w:spacing w:after="120"/>
      </w:pPr>
      <w:r>
        <w:rPr>
          <w:rFonts w:ascii="Arial" w:cs="Arial" w:eastAsia="Arial" w:hAnsi="Arial"/>
          <w:b/>
          <w:bCs/>
          <w:color w:val="C62828"/>
          <w:sz w:val="21"/>
          <w:szCs w:val="21"/>
        </w:rPr>
        <w:t xml:space="preserve">Answer first: </w:t>
      </w:r>
      <w:r>
        <w:rPr>
          <w:rFonts w:ascii="Arial" w:cs="Arial" w:eastAsia="Arial" w:hAnsi="Arial"/>
          <w:color w:val="424242"/>
          <w:sz w:val="21"/>
          <w:szCs w:val="21"/>
        </w:rPr>
        <w:t xml:space="preserve">No, we are not thinking big enough. The current PRISM database of 61 trends is well-constructed for a 5-year European-centric view, but it systematically underweights three categories of forces that will reshape Henkel’s profit pools over the next decade: </w:t>
      </w:r>
      <w:r>
        <w:rPr>
          <w:rFonts w:ascii="Arial" w:cs="Arial" w:eastAsia="Arial" w:hAnsi="Arial"/>
          <w:b/>
          <w:bCs/>
          <w:color w:val="424242"/>
          <w:sz w:val="21"/>
          <w:szCs w:val="21"/>
        </w:rPr>
        <w:t xml:space="preserve">(1) AI-driven channel destruction, (2) next-frontier geographic pools, and (3) category boundary dissolution.</w:t>
      </w:r>
      <w:r>
        <w:rPr>
          <w:rFonts w:ascii="Arial" w:cs="Arial" w:eastAsia="Arial" w:hAnsi="Arial"/>
          <w:color w:val="424242"/>
          <w:sz w:val="21"/>
          <w:szCs w:val="21"/>
        </w:rPr>
        <w:t xml:space="preserve"> Our review recommends expanding to ~85 trends to close these gaps.</w:t>
      </w:r>
    </w:p>
    <w:p>
      <w:pPr>
        <w:spacing w:after="40"/>
      </w:pPr>
    </w:p>
    <w:p>
      <w:pPr>
        <w:spacing w:after="120" w:before="200"/>
      </w:pPr>
      <w:r>
        <w:rPr>
          <w:rFonts w:ascii="Arial" w:cs="Arial" w:eastAsia="Arial" w:hAnsi="Arial"/>
          <w:b/>
          <w:bCs/>
          <w:color w:val="424242"/>
          <w:sz w:val="22"/>
          <w:szCs w:val="22"/>
        </w:rPr>
        <w:t xml:space="preserve">Key Findings</w:t>
      </w:r>
    </w:p>
    <w:p>
      <w:pPr>
        <w:spacing w:after="120"/>
      </w:pPr>
      <w:r>
        <w:rPr>
          <w:rFonts w:ascii="Arial" w:cs="Arial" w:eastAsia="Arial" w:hAnsi="Arial"/>
          <w:b/>
          <w:bCs/>
          <w:color w:val="424242"/>
          <w:sz w:val="21"/>
          <w:szCs w:val="21"/>
        </w:rPr>
        <w:t xml:space="preserve">1. Five critical blind spots identified. </w:t>
      </w:r>
      <w:r>
        <w:rPr>
          <w:rFonts w:ascii="Arial" w:cs="Arial" w:eastAsia="Arial" w:hAnsi="Arial"/>
          <w:color w:val="424242"/>
          <w:sz w:val="21"/>
          <w:szCs w:val="21"/>
        </w:rPr>
        <w:t xml:space="preserve">Agentic commerce (AI agents making autonomous purchase decisions), Africa as next growth frontier, longevity medicine crossover into beauty, precision fermentation disrupting ingredient supply chains, and EU AI Act compliance costs are entirely absent from the database. Each has the potential to shift 5–15% of category GP1 within the decade.</w:t>
      </w:r>
    </w:p>
    <w:p>
      <w:pPr>
        <w:spacing w:after="120"/>
      </w:pPr>
      <w:r>
        <w:rPr>
          <w:rFonts w:ascii="Arial" w:cs="Arial" w:eastAsia="Arial" w:hAnsi="Arial"/>
          <w:b/>
          <w:bCs/>
          <w:color w:val="424242"/>
          <w:sz w:val="21"/>
          <w:szCs w:val="21"/>
        </w:rPr>
        <w:t xml:space="preserve">2. Three trends should be downgraded or retired. </w:t>
      </w:r>
      <w:r>
        <w:rPr>
          <w:rFonts w:ascii="Arial" w:cs="Arial" w:eastAsia="Arial" w:hAnsi="Arial"/>
          <w:color w:val="424242"/>
          <w:sz w:val="21"/>
          <w:szCs w:val="21"/>
        </w:rPr>
        <w:t xml:space="preserve">Post-COVID hygiene persistence (C-12) has fully normalized and no longer warrants standalone tracking. Quick commerce (K-05) is marginal at &lt;1% of FMCG. The GLP-1 trend (C-02) is correctly identified but underweighted at 4% gp1_pct_affected—latest data suggests 8–12% as the US GLP-1 adoption curve steepens.</w:t>
      </w:r>
    </w:p>
    <w:p>
      <w:pPr>
        <w:spacing w:after="120"/>
      </w:pPr>
      <w:r>
        <w:rPr>
          <w:rFonts w:ascii="Arial" w:cs="Arial" w:eastAsia="Arial" w:hAnsi="Arial"/>
          <w:b/>
          <w:bCs/>
          <w:color w:val="424242"/>
          <w:sz w:val="21"/>
          <w:szCs w:val="21"/>
        </w:rPr>
        <w:t xml:space="preserve">3. The 5-year horizon is too short. </w:t>
      </w:r>
      <w:r>
        <w:rPr>
          <w:rFonts w:ascii="Arial" w:cs="Arial" w:eastAsia="Arial" w:hAnsi="Arial"/>
          <w:color w:val="424242"/>
          <w:sz w:val="21"/>
          <w:szCs w:val="21"/>
        </w:rPr>
        <w:t xml:space="preserve">PRISM models 2026–2030. Several of the most consequential trends (precision fermentation, Africa scale, full AI channel disruption, biodiversity regulation) have inflection points in 2030–2033. A CEO presenting to the Board needs to see the 2036 view. We recommend extending the path model to 2036 and introducing a Horizon 2 (2030–2033) and Horizon 3 (2033–2036) classification.</w:t>
      </w:r>
    </w:p>
    <w:p>
      <w:pPr>
        <w:spacing w:after="120"/>
      </w:pPr>
      <w:r>
        <w:rPr>
          <w:rFonts w:ascii="Arial" w:cs="Arial" w:eastAsia="Arial" w:hAnsi="Arial"/>
          <w:b/>
          <w:bCs/>
          <w:color w:val="424242"/>
          <w:sz w:val="21"/>
          <w:szCs w:val="21"/>
        </w:rPr>
        <w:t xml:space="preserve">4. Force balance is skewed. </w:t>
      </w:r>
      <w:r>
        <w:rPr>
          <w:rFonts w:ascii="Arial" w:cs="Arial" w:eastAsia="Arial" w:hAnsi="Arial"/>
          <w:color w:val="424242"/>
          <w:sz w:val="21"/>
          <w:szCs w:val="21"/>
        </w:rPr>
        <w:t xml:space="preserve">Consumer force has 18 trends (29%); Technology has 10 (16%). But technology-driven disruption (agentic commerce, GEO, AI formulation, connected home, precision fermentation) will arguably drive more GP1 shift than any other force by 2030. Technology should be the largest or co-largest force category.</w:t>
      </w:r>
    </w:p>
    <w:p>
      <w:pPr>
        <w:spacing w:after="120"/>
      </w:pPr>
      <w:r>
        <w:rPr>
          <w:rFonts w:ascii="Arial" w:cs="Arial" w:eastAsia="Arial" w:hAnsi="Arial"/>
          <w:b/>
          <w:bCs/>
          <w:color w:val="424242"/>
          <w:sz w:val="21"/>
          <w:szCs w:val="21"/>
        </w:rPr>
        <w:t xml:space="preserve">5. Regional coverage improved but still insufficient. </w:t>
      </w:r>
      <w:r>
        <w:rPr>
          <w:rFonts w:ascii="Arial" w:cs="Arial" w:eastAsia="Arial" w:hAnsi="Arial"/>
          <w:color w:val="424242"/>
          <w:sz w:val="21"/>
          <w:szCs w:val="21"/>
        </w:rPr>
        <w:t xml:space="preserve">The v2.4 addition of 6 regional trends was necessary. But Africa (next FMCG frontier after India—$200B by 2030), Southeast Asia (600M consumers, highest e-commerce growth globally), and Latin America (premiumization + nearshoring beneficiary) remain unrepresented.</w:t>
      </w:r>
    </w:p>
    <w:p>
      <w:pPr>
        <w:spacing w:after="40"/>
      </w:pPr>
    </w:p>
    <w:p>
      <w:pPr>
        <w:spacing w:after="120" w:before="200"/>
      </w:pPr>
      <w:r>
        <w:rPr>
          <w:rFonts w:ascii="Arial" w:cs="Arial" w:eastAsia="Arial" w:hAnsi="Arial"/>
          <w:b/>
          <w:bCs/>
          <w:color w:val="424242"/>
          <w:sz w:val="22"/>
          <w:szCs w:val="22"/>
        </w:rPr>
        <w:t xml:space="preserve">Recommendation</w:t>
      </w:r>
    </w:p>
    <w:p>
      <w:pPr>
        <w:spacing w:after="120"/>
      </w:pPr>
      <w:r>
        <w:rPr>
          <w:rFonts w:ascii="Arial" w:cs="Arial" w:eastAsia="Arial" w:hAnsi="Arial"/>
          <w:b/>
          <w:bCs/>
          <w:color w:val="424242"/>
          <w:sz w:val="21"/>
          <w:szCs w:val="21"/>
        </w:rPr>
        <w:t xml:space="preserve">Expand the database from 61 to ~85 trends. </w:t>
      </w:r>
      <w:r>
        <w:rPr>
          <w:rFonts w:ascii="Arial" w:cs="Arial" w:eastAsia="Arial" w:hAnsi="Arial"/>
          <w:color w:val="424242"/>
          <w:sz w:val="21"/>
          <w:szCs w:val="21"/>
        </w:rPr>
        <w:t xml:space="preserve">Add 24 new trends across 5 gap areas. Retire 2 trends (C-12, K-05). Upgrade 4 trends with revised parameters. Extend the simulation horizon to 2036. This gives the CEO a trend engine that matches the ambition of a €20B+ consumer brands business competing against P&amp;G (€84B), Unilever (€60B), and L’Oréal (€44B).</w:t>
      </w:r>
    </w:p>
    <w:p>
      <w:r>
        <w:br w:type="page"/>
      </w:r>
    </w:p>
    <w:p>
      <w:pPr>
        <w:pStyle w:val="Heading1"/>
        <w:spacing w:after="200" w:before="360"/>
      </w:pPr>
      <w:r>
        <w:rPr>
          <w:rFonts w:ascii="Arial" w:cs="Arial" w:eastAsia="Arial" w:hAnsi="Arial"/>
          <w:b/>
          <w:bCs/>
          <w:color w:val="1A237E"/>
          <w:sz w:val="32"/>
          <w:szCs w:val="32"/>
        </w:rPr>
        <w:t xml:space="preserve">1. ASSESSMENT OF CURRENT TREND DATABASE</w:t>
      </w:r>
    </w:p>
    <w:p>
      <w:pPr>
        <w:spacing w:after="120"/>
        <w:jc w:val="left"/>
      </w:pPr>
      <w:r>
        <w:rPr>
          <w:rFonts w:ascii="Arial" w:cs="Arial" w:eastAsia="Arial" w:hAnsi="Arial"/>
          <w:color w:val="424242"/>
          <w:sz w:val="21"/>
          <w:szCs w:val="21"/>
        </w:rPr>
        <w:t xml:space="preserve">Our team reviewed all 61 trends across the six PRISM forces. Below is the force-by-force assessment with specific recommendations.</w:t>
      </w:r>
    </w:p>
    <w:p>
      <w:pPr>
        <w:spacing w:after="40"/>
      </w:pPr>
    </w:p>
    <w:p>
      <w:pPr>
        <w:pStyle w:val="Heading2"/>
        <w:spacing w:after="160" w:before="280"/>
      </w:pPr>
      <w:r>
        <w:rPr>
          <w:rFonts w:ascii="Arial" w:cs="Arial" w:eastAsia="Arial" w:hAnsi="Arial"/>
          <w:b/>
          <w:bCs/>
          <w:color w:val="1A237E"/>
          <w:sz w:val="26"/>
          <w:szCs w:val="26"/>
        </w:rPr>
        <w:t xml:space="preserve">1.1 Force Distribution Analysis</w:t>
      </w:r>
    </w:p>
    <w:p>
      <w:pPr>
        <w:spacing w:after="120"/>
        <w:jc w:val="left"/>
      </w:pPr>
      <w:r>
        <w:rPr>
          <w:rFonts w:ascii="Arial" w:cs="Arial" w:eastAsia="Arial" w:hAnsi="Arial"/>
          <w:color w:val="424242"/>
          <w:sz w:val="21"/>
          <w:szCs w:val="21"/>
        </w:rPr>
        <w:t xml:space="preserve">The current distribution reveals structural imbalances that must be corrected before the CEO presentation.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400"/>
        <w:gridCol w:w="1400"/>
        <w:gridCol w:w="1200"/>
        <w:gridCol w:w="2760"/>
      </w:tblGrid>
      <w:tr>
        <w:tc>
          <w:tcPr>
            <w:tcW w:type="dxa" w:w="1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Force</w:t>
            </w:r>
          </w:p>
        </w:tc>
        <w:tc>
          <w:tcPr>
            <w:tcW w:type="dxa" w:w="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Count</w:t>
            </w:r>
          </w:p>
        </w:tc>
        <w:tc>
          <w:tcPr>
            <w:tcW w:type="dxa" w:w="1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Expansion</w:t>
            </w:r>
          </w:p>
        </w:tc>
        <w:tc>
          <w:tcPr>
            <w:tcW w:type="dxa" w:w="14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Contraction</w:t>
            </w:r>
          </w:p>
        </w:tc>
        <w:tc>
          <w:tcPr>
            <w:tcW w:type="dxa" w:w="1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Avg gp1%</w:t>
            </w:r>
          </w:p>
        </w:tc>
        <w:tc>
          <w:tcPr>
            <w:tcW w:type="dxa" w:w="27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Assessment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Consumer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18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11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10.3%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Over-represented; 3 trends redundant or fading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Government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8.6%</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24242"/>
                <w:sz w:val="18"/>
                <w:szCs w:val="18"/>
              </w:rPr>
              <w:t xml:space="preserve">Well-covered; add AI Act + biodiversity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Technology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7.6%</w:t>
            </w:r>
          </w:p>
        </w:tc>
        <w:tc>
          <w:tcPr>
            <w:tcW w:type="dxa" w:w="27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color w:val="F57F17"/>
                <w:sz w:val="18"/>
                <w:szCs w:val="18"/>
              </w:rPr>
              <w:t xml:space="preserve">UNDERWEIGHT — missing agentic, synbio, fermentation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Environmental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6.0%</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24242"/>
                <w:sz w:val="18"/>
                <w:szCs w:val="18"/>
              </w:rPr>
              <w:t xml:space="preserve">Adequate; add biodiversity + climate adaptation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Competitive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10.9%</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24242"/>
                <w:sz w:val="18"/>
                <w:szCs w:val="18"/>
              </w:rPr>
              <w:t xml:space="preserve">Good; add Amazon vertical integration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Customer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9.4%</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424242"/>
                <w:sz w:val="18"/>
                <w:szCs w:val="18"/>
              </w:rPr>
              <w:t xml:space="preserve">Adequate; add agentic commerce channel</w:t>
            </w:r>
          </w:p>
        </w:tc>
      </w:tr>
    </w:tbl>
    <w:p>
      <w:pPr>
        <w:spacing w:after="60"/>
      </w:pPr>
    </w:p>
    <w:p>
      <w:pPr>
        <w:pStyle w:val="Heading2"/>
        <w:spacing w:after="160" w:before="280"/>
      </w:pPr>
      <w:r>
        <w:rPr>
          <w:rFonts w:ascii="Arial" w:cs="Arial" w:eastAsia="Arial" w:hAnsi="Arial"/>
          <w:b/>
          <w:bCs/>
          <w:color w:val="1A237E"/>
          <w:sz w:val="26"/>
          <w:szCs w:val="26"/>
        </w:rPr>
        <w:t xml:space="preserve">1.2 Trends to Retire or Downgrade</w:t>
      </w:r>
    </w:p>
    <w:p>
      <w:pPr>
        <w:spacing w:after="40"/>
      </w:pPr>
    </w:p>
    <w:p>
      <w:pPr>
        <w:spacing w:after="120" w:before="200"/>
      </w:pPr>
      <w:r>
        <w:rPr>
          <w:rFonts w:ascii="Arial" w:cs="Arial" w:eastAsia="Arial" w:hAnsi="Arial"/>
          <w:b/>
          <w:bCs/>
          <w:color w:val="424242"/>
          <w:sz w:val="22"/>
          <w:szCs w:val="22"/>
        </w:rPr>
        <w:t xml:space="preserve">RETIRE: C-12 — Post-COVID Hygiene Habits Persistence</w:t>
      </w:r>
    </w:p>
    <w:p>
      <w:pPr>
        <w:spacing w:after="120"/>
      </w:pPr>
      <w:r>
        <w:rPr>
          <w:rFonts w:ascii="Arial" w:cs="Arial" w:eastAsia="Arial" w:hAnsi="Arial"/>
          <w:b/>
          <w:bCs/>
          <w:color w:val="424242"/>
          <w:sz w:val="21"/>
          <w:szCs w:val="21"/>
        </w:rPr>
        <w:t xml:space="preserve">Rationale: </w:t>
      </w:r>
      <w:r>
        <w:rPr>
          <w:rFonts w:ascii="Arial" w:cs="Arial" w:eastAsia="Arial" w:hAnsi="Arial"/>
          <w:color w:val="424242"/>
          <w:sz w:val="21"/>
          <w:szCs w:val="21"/>
        </w:rPr>
        <w:t xml:space="preserve">The original 20–30% uplift has moderated to 10–15% and is still declining. By the description’s own admission, “consumers revert to pre-pandemic cleaning frequency.” The probability score (3) and gp1_pct_affected (5%) are the lowest in the database. This is a normalizing cyclical effect, not a structural trend. Bref and HSC volume declines in H2 2025 confirm this. Retaining it clutters the model with noise.</w:t>
      </w:r>
    </w:p>
    <w:p>
      <w:pPr>
        <w:spacing w:after="40"/>
      </w:pPr>
    </w:p>
    <w:p>
      <w:pPr>
        <w:spacing w:after="120" w:before="200"/>
      </w:pPr>
      <w:r>
        <w:rPr>
          <w:rFonts w:ascii="Arial" w:cs="Arial" w:eastAsia="Arial" w:hAnsi="Arial"/>
          <w:b/>
          <w:bCs/>
          <w:color w:val="424242"/>
          <w:sz w:val="22"/>
          <w:szCs w:val="22"/>
        </w:rPr>
        <w:t xml:space="preserve">RETIRE: K-05 — Quick Commerce Consolidation</w:t>
      </w:r>
    </w:p>
    <w:p>
      <w:pPr>
        <w:spacing w:after="120"/>
      </w:pPr>
      <w:r>
        <w:rPr>
          <w:rFonts w:ascii="Arial" w:cs="Arial" w:eastAsia="Arial" w:hAnsi="Arial"/>
          <w:b/>
          <w:bCs/>
          <w:color w:val="424242"/>
          <w:sz w:val="21"/>
          <w:szCs w:val="21"/>
        </w:rPr>
        <w:t xml:space="preserve">Rationale: </w:t>
      </w:r>
      <w:r>
        <w:rPr>
          <w:rFonts w:ascii="Arial" w:cs="Arial" w:eastAsia="Arial" w:hAnsi="Arial"/>
          <w:color w:val="424242"/>
          <w:sz w:val="21"/>
          <w:szCs w:val="21"/>
        </w:rPr>
        <w:t xml:space="preserve">The trend description itself says “does not warrant dedicated channel strategy” and “monitor but do not invest.” Probability score of 2 and gp1_pct_affected of 2% make this the weakest trend in the entire database. Gorillas exited. Getir consolidated. Flink integrated with traditional retail. At &lt;1% of revenue, this does not meet the threshold for a CEO-facing profit pool model.</w:t>
      </w:r>
    </w:p>
    <w:p>
      <w:pPr>
        <w:spacing w:after="40"/>
      </w:pPr>
    </w:p>
    <w:p>
      <w:pPr>
        <w:spacing w:after="120" w:before="200"/>
      </w:pPr>
      <w:r>
        <w:rPr>
          <w:rFonts w:ascii="Arial" w:cs="Arial" w:eastAsia="Arial" w:hAnsi="Arial"/>
          <w:b/>
          <w:bCs/>
          <w:color w:val="424242"/>
          <w:sz w:val="22"/>
          <w:szCs w:val="22"/>
        </w:rPr>
        <w:t xml:space="preserve">UPGRADE: C-02 — GLP-1 Drugs Reshape Consumer Spending</w:t>
      </w:r>
    </w:p>
    <w:p>
      <w:pPr>
        <w:spacing w:after="120"/>
      </w:pPr>
      <w:r>
        <w:rPr>
          <w:rFonts w:ascii="Arial" w:cs="Arial" w:eastAsia="Arial" w:hAnsi="Arial"/>
          <w:b/>
          <w:bCs/>
          <w:color w:val="424242"/>
          <w:sz w:val="21"/>
          <w:szCs w:val="21"/>
        </w:rPr>
        <w:t xml:space="preserve">Rationale: </w:t>
      </w:r>
      <w:r>
        <w:rPr>
          <w:rFonts w:ascii="Arial" w:cs="Arial" w:eastAsia="Arial" w:hAnsi="Arial"/>
          <w:color w:val="424242"/>
          <w:sz w:val="21"/>
          <w:szCs w:val="21"/>
        </w:rPr>
        <w:t xml:space="preserve">Since the original scoring, GLP-1 adoption has accelerated dramatically. 30 million Americans projected on GLP-1 by 2030 (up from 12.4% current). The market will exceed $100B in 2026 revenue. The gp1_pct_affected of 4% is too conservative—latest McKinsey and JP Morgan data suggest 8–12% as the consumption reallocation from food to beauty/personal care intensifies. Upgrade to gp1_pct_affected=0.10, probability=5.</w:t>
      </w:r>
    </w:p>
    <w:p>
      <w:pPr>
        <w:spacing w:after="40"/>
      </w:pPr>
    </w:p>
    <w:p>
      <w:pPr>
        <w:spacing w:after="120" w:before="200"/>
      </w:pPr>
      <w:r>
        <w:rPr>
          <w:rFonts w:ascii="Arial" w:cs="Arial" w:eastAsia="Arial" w:hAnsi="Arial"/>
          <w:b/>
          <w:bCs/>
          <w:color w:val="424242"/>
          <w:sz w:val="22"/>
          <w:szCs w:val="22"/>
        </w:rPr>
        <w:t xml:space="preserve">UPGRADE: K-04 — Social Commerce and TikTok Shop</w:t>
      </w:r>
    </w:p>
    <w:p>
      <w:pPr>
        <w:spacing w:after="120"/>
      </w:pPr>
      <w:r>
        <w:rPr>
          <w:rFonts w:ascii="Arial" w:cs="Arial" w:eastAsia="Arial" w:hAnsi="Arial"/>
          <w:b/>
          <w:bCs/>
          <w:color w:val="424242"/>
          <w:sz w:val="21"/>
          <w:szCs w:val="21"/>
        </w:rPr>
        <w:t xml:space="preserve">Rationale: </w:t>
      </w:r>
      <w:r>
        <w:rPr>
          <w:rFonts w:ascii="Arial" w:cs="Arial" w:eastAsia="Arial" w:hAnsi="Arial"/>
          <w:color w:val="424242"/>
          <w:sz w:val="21"/>
          <w:szCs w:val="21"/>
        </w:rPr>
        <w:t xml:space="preserve">TikTok Shop US is projected at $23.4B in 2026 ecommerce sales (+48% YoY)—larger than Target, Costco, or Best Buy. Beauty/personal care is 22.5% of TikTok Shop GMV with 4.7% conversion rates (2x Instagram, 3x Facebook). The current probability=3 and gp1_pct_affected=4% drastically understate this channel’s significance. Upgrade to probability=5, gp1_pct_affected=0.10, direction changed from Expansion to mixed (Expansion for Hair, Contraction for margin via channel cost).</w:t>
      </w:r>
    </w:p>
    <w:p>
      <w:r>
        <w:br w:type="page"/>
      </w:r>
    </w:p>
    <w:p>
      <w:pPr>
        <w:pStyle w:val="Heading1"/>
        <w:spacing w:after="200" w:before="360"/>
      </w:pPr>
      <w:r>
        <w:rPr>
          <w:rFonts w:ascii="Arial" w:cs="Arial" w:eastAsia="Arial" w:hAnsi="Arial"/>
          <w:b/>
          <w:bCs/>
          <w:color w:val="1A237E"/>
          <w:sz w:val="32"/>
          <w:szCs w:val="32"/>
        </w:rPr>
        <w:t xml:space="preserve">2. CRITICAL GAP ANALYSIS: WHAT’S MISSING</w:t>
      </w:r>
    </w:p>
    <w:p>
      <w:pPr>
        <w:spacing w:after="120"/>
        <w:jc w:val="left"/>
      </w:pPr>
      <w:r>
        <w:rPr>
          <w:rFonts w:ascii="Arial" w:cs="Arial" w:eastAsia="Arial" w:hAnsi="Arial"/>
          <w:color w:val="424242"/>
          <w:sz w:val="21"/>
          <w:szCs w:val="21"/>
        </w:rPr>
        <w:t xml:space="preserve">We identified five structural gaps in the current trend database that, left unaddressed, would present an incomplete picture to the CEO and Board.</w:t>
      </w:r>
    </w:p>
    <w:p>
      <w:pPr>
        <w:spacing w:after="40"/>
      </w:pPr>
    </w:p>
    <w:p>
      <w:pPr>
        <w:pStyle w:val="Heading2"/>
        <w:spacing w:after="160" w:before="280"/>
      </w:pPr>
      <w:r>
        <w:rPr>
          <w:rFonts w:ascii="Arial" w:cs="Arial" w:eastAsia="Arial" w:hAnsi="Arial"/>
          <w:b/>
          <w:bCs/>
          <w:color w:val="1A237E"/>
          <w:sz w:val="26"/>
          <w:szCs w:val="26"/>
        </w:rPr>
        <w:t xml:space="preserve">Gap 1: Agentic Commerce &amp; AI-Driven Channel Destruction</w:t>
      </w:r>
    </w:p>
    <w:p>
      <w:pPr>
        <w:spacing w:after="120"/>
      </w:pPr>
      <w:r>
        <w:rPr>
          <w:rFonts w:ascii="Arial" w:cs="Arial" w:eastAsia="Arial" w:hAnsi="Arial"/>
          <w:b/>
          <w:bCs/>
          <w:color w:val="C62828"/>
          <w:sz w:val="21"/>
          <w:szCs w:val="21"/>
        </w:rPr>
        <w:t xml:space="preserve">The single biggest omission. </w:t>
      </w:r>
      <w:r>
        <w:rPr>
          <w:rFonts w:ascii="Arial" w:cs="Arial" w:eastAsia="Arial" w:hAnsi="Arial"/>
          <w:color w:val="424242"/>
          <w:sz w:val="21"/>
          <w:szCs w:val="21"/>
        </w:rPr>
        <w:t xml:space="preserve">By 2030, Morgan Stanley estimates AI shopping agents will capture $190–385B of US e-commerce spending (10–20% of online retail). McKinsey projects $3–5T globally. Amazon Alexa+ (Feb 2026) shows 3x higher shopping activity. OpenAI Operator + Instacart integration is live. 63% of retailers agree non-AI players will fall behind in 2 years.</w:t>
      </w:r>
    </w:p>
    <w:p>
      <w:pPr>
        <w:spacing w:after="120"/>
        <w:jc w:val="left"/>
      </w:pPr>
      <w:r>
        <w:rPr>
          <w:rFonts w:ascii="Arial" w:cs="Arial" w:eastAsia="Arial" w:hAnsi="Arial"/>
          <w:color w:val="424242"/>
          <w:sz w:val="21"/>
          <w:szCs w:val="21"/>
        </w:rPr>
        <w:t xml:space="preserve">This is not a channel evolution—it is a channel destruction event for traditional brand-consumer relationships. When AI agents make autonomous replenishment decisions for laundry detergent, dish tabs, and basic hair care, they will optimize on price, ratings, and sustainability scores. Brand Mental Availability—the entire foundation of Byron Sharp’s framework—becomes irrelevant for a machine that has no memory structures. Persil, Schwarzkopf, and Somat face existential margin compression in AI-mediated channels unless Henkel builds native AI agent integrations.</w:t>
      </w:r>
    </w:p>
    <w:p>
      <w:pPr>
        <w:spacing w:after="120"/>
      </w:pPr>
      <w:r>
        <w:rPr>
          <w:rFonts w:ascii="Arial" w:cs="Arial" w:eastAsia="Arial" w:hAnsi="Arial"/>
          <w:b/>
          <w:bCs/>
          <w:color w:val="424242"/>
          <w:sz w:val="21"/>
          <w:szCs w:val="21"/>
        </w:rPr>
        <w:t xml:space="preserve">Proposed trends: </w:t>
      </w:r>
      <w:r>
        <w:rPr>
          <w:rFonts w:ascii="Arial" w:cs="Arial" w:eastAsia="Arial" w:hAnsi="Arial"/>
          <w:color w:val="424242"/>
          <w:sz w:val="21"/>
          <w:szCs w:val="21"/>
        </w:rPr>
        <w:t xml:space="preserve">NEW-01 (Agentic Commerce Autonomous Purchasing), NEW-02 (AI Agent Brand Invisibility in Low-Consideration Categories).</w:t>
      </w:r>
    </w:p>
    <w:p>
      <w:pPr>
        <w:spacing w:after="40"/>
      </w:pPr>
    </w:p>
    <w:p>
      <w:pPr>
        <w:pStyle w:val="Heading2"/>
        <w:spacing w:after="160" w:before="280"/>
      </w:pPr>
      <w:r>
        <w:rPr>
          <w:rFonts w:ascii="Arial" w:cs="Arial" w:eastAsia="Arial" w:hAnsi="Arial"/>
          <w:b/>
          <w:bCs/>
          <w:color w:val="1A237E"/>
          <w:sz w:val="26"/>
          <w:szCs w:val="26"/>
        </w:rPr>
        <w:t xml:space="preserve">Gap 2: Next-Frontier Geographic Pools (Africa, SEA, LATAM)</w:t>
      </w:r>
    </w:p>
    <w:p>
      <w:pPr>
        <w:spacing w:after="120"/>
      </w:pPr>
      <w:r>
        <w:rPr>
          <w:rFonts w:ascii="Arial" w:cs="Arial" w:eastAsia="Arial" w:hAnsi="Arial"/>
          <w:b/>
          <w:bCs/>
          <w:color w:val="424242"/>
          <w:sz w:val="21"/>
          <w:szCs w:val="21"/>
        </w:rPr>
        <w:t xml:space="preserve">Africa’s FMCG market is projected at $200B by 2030 with 1.7B consumers. </w:t>
      </w:r>
      <w:r>
        <w:rPr>
          <w:rFonts w:ascii="Arial" w:cs="Arial" w:eastAsia="Arial" w:hAnsi="Arial"/>
          <w:color w:val="424242"/>
          <w:sz w:val="21"/>
          <w:szCs w:val="21"/>
        </w:rPr>
        <w:t xml:space="preserve">Southeast Asia has 600M consumers and the highest e-commerce growth globally. Latin America offers premiumization and nearshoring benefits. The current database has India (APAC-02), China (APAC-01), and US Hispanic (NA-03) but zero representation for Sub-Saharan Africa, Indonesia/SEA, or Brazil/Mexico. This is a strategic blind spot for a company whose IMEA division delivered 12.1% organic growth vs. 0.3% overall. Where the growth is, the trends must be.</w:t>
      </w:r>
    </w:p>
    <w:p>
      <w:pPr>
        <w:spacing w:after="120"/>
      </w:pPr>
      <w:r>
        <w:rPr>
          <w:rFonts w:ascii="Arial" w:cs="Arial" w:eastAsia="Arial" w:hAnsi="Arial"/>
          <w:b/>
          <w:bCs/>
          <w:color w:val="424242"/>
          <w:sz w:val="21"/>
          <w:szCs w:val="21"/>
        </w:rPr>
        <w:t xml:space="preserve">Proposed trends: </w:t>
      </w:r>
      <w:r>
        <w:rPr>
          <w:rFonts w:ascii="Arial" w:cs="Arial" w:eastAsia="Arial" w:hAnsi="Arial"/>
          <w:color w:val="424242"/>
          <w:sz w:val="21"/>
          <w:szCs w:val="21"/>
        </w:rPr>
        <w:t xml:space="preserve">NEW-03 (Sub-Saharan Africa FMCG Frontier), NEW-04 (Southeast Asia Digital-First Beauty), NEW-05 (Brazil/Mexico Premiumization Wave).</w:t>
      </w:r>
    </w:p>
    <w:p>
      <w:pPr>
        <w:spacing w:after="40"/>
      </w:pPr>
    </w:p>
    <w:p>
      <w:pPr>
        <w:pStyle w:val="Heading2"/>
        <w:spacing w:after="160" w:before="280"/>
      </w:pPr>
      <w:r>
        <w:rPr>
          <w:rFonts w:ascii="Arial" w:cs="Arial" w:eastAsia="Arial" w:hAnsi="Arial"/>
          <w:b/>
          <w:bCs/>
          <w:color w:val="1A237E"/>
          <w:sz w:val="26"/>
          <w:szCs w:val="26"/>
        </w:rPr>
        <w:t xml:space="preserve">Gap 3: Longevity Medicine &amp; Beauty Convergence</w:t>
      </w:r>
    </w:p>
    <w:p>
      <w:pPr>
        <w:spacing w:after="120"/>
      </w:pPr>
      <w:r>
        <w:rPr>
          <w:rFonts w:ascii="Arial" w:cs="Arial" w:eastAsia="Arial" w:hAnsi="Arial"/>
          <w:b/>
          <w:bCs/>
          <w:color w:val="424242"/>
          <w:sz w:val="21"/>
          <w:szCs w:val="21"/>
        </w:rPr>
        <w:t xml:space="preserve">The global anti-aging market will reach $120B by 2030. </w:t>
      </w:r>
      <w:r>
        <w:rPr>
          <w:rFonts w:ascii="Arial" w:cs="Arial" w:eastAsia="Arial" w:hAnsi="Arial"/>
          <w:color w:val="424242"/>
          <w:sz w:val="21"/>
          <w:szCs w:val="21"/>
        </w:rPr>
        <w:t xml:space="preserve">The industry is pivoting from ‘anti-aging’ to ‘longevity’—biological resilience, cellular repair, NAD+ supplementation, peptide therapy. Hair care follows the same trajectory: scalp longevity, follicle protection, melanin preservation. The current database captures scalp care (C-07) and hair loss (C-10) but misses the overarching longevity-medicine-to-beauty megatrend that will redefine premiumization. Schwarzkopf’s professional/dermatological heritage is a unique asset here—but only if Henkel moves before L’Oréal’s NVIDIA-partnered AI molecule discovery captures the space.</w:t>
      </w:r>
    </w:p>
    <w:p>
      <w:pPr>
        <w:spacing w:after="120"/>
      </w:pPr>
      <w:r>
        <w:rPr>
          <w:rFonts w:ascii="Arial" w:cs="Arial" w:eastAsia="Arial" w:hAnsi="Arial"/>
          <w:b/>
          <w:bCs/>
          <w:color w:val="424242"/>
          <w:sz w:val="21"/>
          <w:szCs w:val="21"/>
        </w:rPr>
        <w:t xml:space="preserve">Proposed trends: </w:t>
      </w:r>
      <w:r>
        <w:rPr>
          <w:rFonts w:ascii="Arial" w:cs="Arial" w:eastAsia="Arial" w:hAnsi="Arial"/>
          <w:color w:val="424242"/>
          <w:sz w:val="21"/>
          <w:szCs w:val="21"/>
        </w:rPr>
        <w:t xml:space="preserve">NEW-06 (Longevity Medicine Crossover into Beauty/Hair), NEW-07 (Peptide and Bioactive Hair Science).</w:t>
      </w:r>
    </w:p>
    <w:p>
      <w:pPr>
        <w:spacing w:after="40"/>
      </w:pPr>
    </w:p>
    <w:p>
      <w:pPr>
        <w:pStyle w:val="Heading2"/>
        <w:spacing w:after="160" w:before="280"/>
      </w:pPr>
      <w:r>
        <w:rPr>
          <w:rFonts w:ascii="Arial" w:cs="Arial" w:eastAsia="Arial" w:hAnsi="Arial"/>
          <w:b/>
          <w:bCs/>
          <w:color w:val="1A237E"/>
          <w:sz w:val="26"/>
          <w:szCs w:val="26"/>
        </w:rPr>
        <w:t xml:space="preserve">Gap 4: Ingredient Platform Disruption (Precision Fermentation, Synthetic Biology)</w:t>
      </w:r>
    </w:p>
    <w:p>
      <w:pPr>
        <w:spacing w:after="120"/>
      </w:pPr>
      <w:r>
        <w:rPr>
          <w:rFonts w:ascii="Arial" w:cs="Arial" w:eastAsia="Arial" w:hAnsi="Arial"/>
          <w:b/>
          <w:bCs/>
          <w:color w:val="424242"/>
          <w:sz w:val="21"/>
          <w:szCs w:val="21"/>
        </w:rPr>
        <w:t xml:space="preserve">Precision fermentation market projected at $36B by 2030 (43–48% CAGR). </w:t>
      </w:r>
      <w:r>
        <w:rPr>
          <w:rFonts w:ascii="Arial" w:cs="Arial" w:eastAsia="Arial" w:hAnsi="Arial"/>
          <w:color w:val="424242"/>
          <w:sz w:val="21"/>
          <w:szCs w:val="21"/>
        </w:rPr>
        <w:t xml:space="preserve">Key fats, aroma molecules, proteins, and surfactants in consumer goods may come from fermentation tanks by 2032, not extraction or petroleum synthesis. This disrupts both the raw material cost structure (palm oil dependency) and the sustainability narrative (bio-identical ingredients with zero deforestation footprint). Henkel’s palm-derived surfactant dependency (&gt;80% of shampoo and liquid detergent formulations) makes this existentially relevant. The database captures bio-based chemistry (T-02) but misses the broader platform disruption.</w:t>
      </w:r>
    </w:p>
    <w:p>
      <w:pPr>
        <w:spacing w:after="120"/>
      </w:pPr>
      <w:r>
        <w:rPr>
          <w:rFonts w:ascii="Arial" w:cs="Arial" w:eastAsia="Arial" w:hAnsi="Arial"/>
          <w:b/>
          <w:bCs/>
          <w:color w:val="424242"/>
          <w:sz w:val="21"/>
          <w:szCs w:val="21"/>
        </w:rPr>
        <w:t xml:space="preserve">Proposed trends: </w:t>
      </w:r>
      <w:r>
        <w:rPr>
          <w:rFonts w:ascii="Arial" w:cs="Arial" w:eastAsia="Arial" w:hAnsi="Arial"/>
          <w:color w:val="424242"/>
          <w:sz w:val="21"/>
          <w:szCs w:val="21"/>
        </w:rPr>
        <w:t xml:space="preserve">NEW-08 (Precision Fermentation Disrupts FMCG Ingredient Supply Chains), NEW-09 (Synthetic Biology Enables Novel Surfactants and Fragrances).</w:t>
      </w:r>
    </w:p>
    <w:p>
      <w:pPr>
        <w:spacing w:after="40"/>
      </w:pPr>
    </w:p>
    <w:p>
      <w:pPr>
        <w:pStyle w:val="Heading2"/>
        <w:spacing w:after="160" w:before="280"/>
      </w:pPr>
      <w:r>
        <w:rPr>
          <w:rFonts w:ascii="Arial" w:cs="Arial" w:eastAsia="Arial" w:hAnsi="Arial"/>
          <w:b/>
          <w:bCs/>
          <w:color w:val="1A237E"/>
          <w:sz w:val="26"/>
          <w:szCs w:val="26"/>
        </w:rPr>
        <w:t xml:space="preserve">Gap 5: Regulatory Expansion (AI Act, Biodiversity, Textile Regulation)</w:t>
      </w:r>
    </w:p>
    <w:p>
      <w:pPr>
        <w:spacing w:after="120"/>
      </w:pPr>
      <w:r>
        <w:rPr>
          <w:rFonts w:ascii="Arial" w:cs="Arial" w:eastAsia="Arial" w:hAnsi="Arial"/>
          <w:b/>
          <w:bCs/>
          <w:color w:val="424242"/>
          <w:sz w:val="21"/>
          <w:szCs w:val="21"/>
        </w:rPr>
        <w:t xml:space="preserve">The EU AI Act became fully applicable August 2, 2026. </w:t>
      </w:r>
      <w:r>
        <w:rPr>
          <w:rFonts w:ascii="Arial" w:cs="Arial" w:eastAsia="Arial" w:hAnsi="Arial"/>
          <w:color w:val="424242"/>
          <w:sz w:val="21"/>
          <w:szCs w:val="21"/>
        </w:rPr>
        <w:t xml:space="preserve">Every AI-powered system Henkel deploys (formulation AI, pricing algorithms, Smartwash dosing, marketing personalization) must now be classified and assessed. The Kunming-Montreal Biodiversity Framework mandates halting biodiversity loss by 2030. The EU Textile Strategy will impose garment longevity requirements that directly affect Henkel’s fabric care positioning. None of these appear in the database.</w:t>
      </w:r>
    </w:p>
    <w:p>
      <w:pPr>
        <w:spacing w:after="120"/>
      </w:pPr>
      <w:r>
        <w:rPr>
          <w:rFonts w:ascii="Arial" w:cs="Arial" w:eastAsia="Arial" w:hAnsi="Arial"/>
          <w:b/>
          <w:bCs/>
          <w:color w:val="424242"/>
          <w:sz w:val="21"/>
          <w:szCs w:val="21"/>
        </w:rPr>
        <w:t xml:space="preserve">Proposed trends: </w:t>
      </w:r>
      <w:r>
        <w:rPr>
          <w:rFonts w:ascii="Arial" w:cs="Arial" w:eastAsia="Arial" w:hAnsi="Arial"/>
          <w:color w:val="424242"/>
          <w:sz w:val="21"/>
          <w:szCs w:val="21"/>
        </w:rPr>
        <w:t xml:space="preserve">NEW-10 (EU AI Act Compliance Costs), NEW-11 (Biodiversity Regulation and Supply Chain Decoupling), NEW-12 (EU Textile Strategy and Circular Fashion Mandates).</w:t>
      </w:r>
    </w:p>
    <w:p>
      <w:r>
        <w:br w:type="page"/>
      </w:r>
    </w:p>
    <w:p>
      <w:pPr>
        <w:pStyle w:val="Heading1"/>
        <w:spacing w:after="200" w:before="360"/>
      </w:pPr>
      <w:r>
        <w:rPr>
          <w:rFonts w:ascii="Arial" w:cs="Arial" w:eastAsia="Arial" w:hAnsi="Arial"/>
          <w:b/>
          <w:bCs/>
          <w:color w:val="1A237E"/>
          <w:sz w:val="32"/>
          <w:szCs w:val="32"/>
        </w:rPr>
        <w:t xml:space="preserve">3. PROPOSED NEW TRENDS (24 ADDITIONS)</w:t>
      </w:r>
    </w:p>
    <w:p>
      <w:pPr>
        <w:spacing w:after="120"/>
        <w:jc w:val="left"/>
      </w:pPr>
      <w:r>
        <w:rPr>
          <w:rFonts w:ascii="Arial" w:cs="Arial" w:eastAsia="Arial" w:hAnsi="Arial"/>
          <w:color w:val="424242"/>
          <w:sz w:val="21"/>
          <w:szCs w:val="21"/>
        </w:rPr>
        <w:t xml:space="preserve">Below are the 24 new trends we recommend adding, organized by strategic theme. Each includes proposed PRISM parameters.</w:t>
      </w:r>
    </w:p>
    <w:p>
      <w:pPr>
        <w:spacing w:after="40"/>
      </w:pPr>
    </w:p>
    <w:p>
      <w:pPr>
        <w:pStyle w:val="Heading2"/>
        <w:spacing w:after="160" w:before="280"/>
      </w:pPr>
      <w:r>
        <w:rPr>
          <w:rFonts w:ascii="Arial" w:cs="Arial" w:eastAsia="Arial" w:hAnsi="Arial"/>
          <w:b/>
          <w:bCs/>
          <w:color w:val="1A237E"/>
          <w:sz w:val="26"/>
          <w:szCs w:val="26"/>
        </w:rPr>
        <w:t xml:space="preserve">3.1 Complete New Trend Register</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600"/>
        <w:gridCol w:w="800"/>
        <w:gridCol w:w="500"/>
        <w:gridCol w:w="600"/>
        <w:gridCol w:w="600"/>
        <w:gridCol w:w="800"/>
        <w:gridCol w:w="1860"/>
      </w:tblGrid>
      <w:tr>
        <w:tc>
          <w:tcPr>
            <w:tcW w:type="dxa" w:w="7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Force</w:t>
            </w:r>
          </w:p>
        </w:tc>
        <w:tc>
          <w:tcPr>
            <w:tcW w:type="dxa" w:w="26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Trend Name</w:t>
            </w:r>
          </w:p>
        </w:tc>
        <w:tc>
          <w:tcPr>
            <w:tcW w:type="dxa" w:w="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Dir.</w:t>
            </w:r>
          </w:p>
        </w:tc>
        <w:tc>
          <w:tcPr>
            <w:tcW w:type="dxa" w:w="5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Prob</w:t>
            </w:r>
          </w:p>
        </w:tc>
        <w:tc>
          <w:tcPr>
            <w:tcW w:type="dxa" w:w="6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GP1%</w:t>
            </w:r>
          </w:p>
        </w:tc>
        <w:tc>
          <w:tcPr>
            <w:tcW w:type="dxa" w:w="6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Start</w:t>
            </w:r>
          </w:p>
        </w:tc>
        <w:tc>
          <w:tcPr>
            <w:tcW w:type="dxa" w:w="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Curve</w:t>
            </w:r>
          </w:p>
        </w:tc>
        <w:tc>
          <w:tcPr>
            <w:tcW w:type="dxa" w:w="18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Key Evidence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Technology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Agentic Commerce: AI Agents Make Autonomous Purchase Decisions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2F2F"/>
                <w:sz w:val="18"/>
                <w:szCs w:val="18"/>
              </w:rPr>
              <w:t xml:space="preserve">Contraction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0.18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s_curve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$190-385B US e-com by 2030; 63% retailers agree non-AI falls behind in 2yr</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NEW-02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Technology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AI Agent Brand Invisibility in Low-Consideration Categories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2F2F"/>
                <w:sz w:val="18"/>
                <w:szCs w:val="18"/>
              </w:rPr>
              <w:t xml:space="preserve">Contraction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0.14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s_curve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Laundry, dish, basic hair = prime agent automation; brand equity bypassed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NEW-03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Technology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Generative Search (GEO) Replaces Traditional Product Discovery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2F2F"/>
                <w:sz w:val="18"/>
                <w:szCs w:val="18"/>
              </w:rPr>
              <w:t xml:space="preserve">Contraction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0.12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front_loaded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Upgrade of M-01; 35% US consumers use AI for discovery; Google CTR -3.6pp</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NEW-04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Competitive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Sub-Saharan Africa: $200B FMCG Frontier by 2030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18"/>
                <w:szCs w:val="18"/>
              </w:rPr>
              <w:t xml:space="preserve">Expansion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0.12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s_curve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1.7B consumers; urbanization + middle class; PL competition lighter than EU</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NEW-05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Consumer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Southeast Asia Digital-First Beauty Market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18"/>
                <w:szCs w:val="18"/>
              </w:rPr>
              <w:t xml:space="preserve">Expansion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s_curve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600M consumers; highest e-com growth globally; Shopee/Lazada dominant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NEW-06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Consumer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Brazil/Mexico Premiumization and Nearshoring Beneficiary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18"/>
                <w:szCs w:val="18"/>
              </w:rPr>
              <w:t xml:space="preserve">Expansion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0.08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linear</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LatAm BPC $60B+; premiumization accelerating; US tariffs make Mexico mfg hub</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NEW-07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Consumer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Longevity Medicine Crossover into Beauty and Hair Care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18"/>
                <w:szCs w:val="18"/>
              </w:rPr>
              <w:t xml:space="preserve">Expansion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s_curve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$120B anti-aging market by 2030; skin/hair longevity replaces anti-aging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Technology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Peptide and Bioactive Hair Science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18"/>
                <w:szCs w:val="18"/>
              </w:rPr>
              <w:t xml:space="preserve">Expansion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s_curve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GHK-Cu peptides, NAD+ precursors entering consumer hair formulation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NEW-09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Technology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Precision Fermentation Disrupts FMCG Ingredient Supply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18"/>
                <w:szCs w:val="18"/>
              </w:rPr>
              <w:t xml:space="preserve">Expansion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0.12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s_curve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$36B market by 2030 (43-48% CAGR); surfactants, fragrances, proteins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Technology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Synthetic Biology Enables Novel Surfactants and Fragrances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18"/>
                <w:szCs w:val="18"/>
              </w:rPr>
              <w:t xml:space="preserve">Expansion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0.08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s_curve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Bio-identical ingredients, zero deforestation; disrupts palm dependency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NEW-11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Government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EU AI Act Compliance Costs and Speed-to-Market Friction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2F2F"/>
                <w:sz w:val="18"/>
                <w:szCs w:val="18"/>
              </w:rPr>
              <w:t xml:space="preserve">Contraction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0.05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front_loaded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Fully applicable Aug 2026; classifies AI in pricing, formulation, marketing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Government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Biodiversity Regulation and Nature-Related Supply Chain Mandates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2F2F"/>
                <w:sz w:val="18"/>
                <w:szCs w:val="18"/>
              </w:rPr>
              <w:t xml:space="preserve">Contraction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linear</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Kunming-Montreal 30x30; TNFD reporting; palm, water, agricultural inputs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NEW-13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Government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EU Textile Strategy and Circular Fashion Mandates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18"/>
                <w:szCs w:val="18"/>
              </w:rPr>
              <w:t xml:space="preserve">Expansion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0.05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linear</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Garment longevity requirements; Perwoll/Persil repositioning opportunity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NEW-14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Competitive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Amazon/Platform Vertical Integration into FMCG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2F2F"/>
                <w:sz w:val="18"/>
                <w:szCs w:val="18"/>
              </w:rPr>
              <w:t xml:space="preserve">Contraction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linear</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Amazon PL grew 4.4% vs 1.1% national; data-driven product development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Competitive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L’Oréal NVIDIA AI Molecule Discovery Partnership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2F2F"/>
                <w:sz w:val="18"/>
                <w:szCs w:val="18"/>
              </w:rPr>
              <w:t xml:space="preserve">Contraction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0.08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s_curve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Atomic-scale AI formulation; 725 patents; structural R&amp;D gap widening to 5-6x</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NEW-16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Competitive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DTC/Indie Brand Acquisition Arms Race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2F2F"/>
                <w:sz w:val="18"/>
                <w:szCs w:val="18"/>
              </w:rPr>
              <w:t xml:space="preserve">Contraction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0.07</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front_loaded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Color Wow, Dr Squatch, Medik8 acquired; Henkel M&amp;A pipeline gap acute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NEW-17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Consumer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Laundry Sheet/Strip Format Disruption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2F2F"/>
                <w:sz w:val="18"/>
                <w:szCs w:val="18"/>
              </w:rPr>
              <w:t xml:space="preserve">Contraction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s_curve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Earth Breeze, Tru Earth, Blueland gaining; plastic-free eco positioning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NEW-18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Consumer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Wellness-to-Beauty Convergence (Ingestibles + Topicals)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18"/>
                <w:szCs w:val="18"/>
              </w:rPr>
              <w:t xml:space="preserve">Expansion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0.05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s_curve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Supplement + topical regimens; Nutrafol (Unilever) proving model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NEW-19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Consumer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Natural/Textured Hair as Mainstream Category (Global)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18"/>
                <w:szCs w:val="18"/>
              </w:rPr>
              <w:t xml:space="preserve">Expansion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0.08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linear</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Beyond US Hispanic—global trend; 65% of world has textured hair; underserved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Customer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Agentic Commerce Reshapes Retailer-Brand Power Dynamics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2F2F"/>
                <w:sz w:val="18"/>
                <w:szCs w:val="18"/>
              </w:rPr>
              <w:t xml:space="preserve">Contraction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0.12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s_curve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AI agents aggregate demand; retailers lose shelf control; new intermediaries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NEW-21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Customer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TikTok Shop Becomes Top-5 FMCG Channel by 2030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18"/>
                <w:szCs w:val="18"/>
              </w:rPr>
              <w:t xml:space="preserve">Expansion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front_loaded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Upgrade of K-04; $23.4B US 2026; beauty 22.5% of GMV; 4.7% conversion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Environmental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Climate Adaptation Costs for European Manufacturing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2F2F"/>
                <w:sz w:val="18"/>
                <w:szCs w:val="18"/>
              </w:rPr>
              <w:t xml:space="preserve">Contraction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linear</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Extreme weather disrupting EU supply chains; flood/heat risk to plants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Environmental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Freshwater Crisis Accelerates Waterless Formulation Mandate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2F2F"/>
                <w:sz w:val="18"/>
                <w:szCs w:val="18"/>
              </w:rPr>
              <w:t xml:space="preserve">Contraction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s_curve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Global demand exceeds supply 40% by 2030; regulatory water-use limits coming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NEW-24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Environmental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Scope 3+ Value Chain Decarbonization Mandates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2F2F"/>
                <w:sz w:val="18"/>
                <w:szCs w:val="18"/>
              </w:rPr>
              <w:t xml:space="preserve">Contraction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0.05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linear</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CBAM expansion to downstream products 2028; surfactant carbon cost pass-through</w:t>
            </w:r>
          </w:p>
        </w:tc>
      </w:tr>
    </w:tbl>
    <w:p>
      <w:r>
        <w:br w:type="page"/>
      </w:r>
    </w:p>
    <w:p>
      <w:pPr>
        <w:pStyle w:val="Heading1"/>
        <w:spacing w:after="200" w:before="360"/>
      </w:pPr>
      <w:r>
        <w:rPr>
          <w:rFonts w:ascii="Arial" w:cs="Arial" w:eastAsia="Arial" w:hAnsi="Arial"/>
          <w:b/>
          <w:bCs/>
          <w:color w:val="1A237E"/>
          <w:sz w:val="32"/>
          <w:szCs w:val="32"/>
        </w:rPr>
        <w:t xml:space="preserve">4. DETAILED TREND PROFILES: TOP 10 NEW ADDITIONS</w:t>
      </w:r>
    </w:p>
    <w:p>
      <w:pPr>
        <w:spacing w:after="120"/>
        <w:jc w:val="left"/>
      </w:pPr>
      <w:r>
        <w:rPr>
          <w:rFonts w:ascii="Arial" w:cs="Arial" w:eastAsia="Arial" w:hAnsi="Arial"/>
          <w:color w:val="424242"/>
          <w:sz w:val="21"/>
          <w:szCs w:val="21"/>
        </w:rPr>
        <w:t xml:space="preserve">Below are detailed write-ups for the ten highest-impact proposed trends, in descending order of estimated GP1 impact.</w:t>
      </w:r>
    </w:p>
    <w:p>
      <w:pPr>
        <w:spacing w:after="40"/>
      </w:pPr>
    </w:p>
    <w:p>
      <w:pPr>
        <w:pStyle w:val="Heading2"/>
        <w:spacing w:after="160" w:before="280"/>
      </w:pPr>
      <w:r>
        <w:rPr>
          <w:rFonts w:ascii="Arial" w:cs="Arial" w:eastAsia="Arial" w:hAnsi="Arial"/>
          <w:b/>
          <w:bCs/>
          <w:color w:val="1A237E"/>
          <w:sz w:val="26"/>
          <w:szCs w:val="26"/>
        </w:rPr>
        <w:t xml:space="preserve">NEW-01: Agentic Commerce — AI Agents Make Autonomous Purchase Decisions</w:t>
      </w:r>
    </w:p>
    <w:p>
      <w:pPr>
        <w:spacing w:after="120" w:before="200"/>
      </w:pPr>
      <w:r>
        <w:rPr>
          <w:rFonts w:ascii="Arial" w:cs="Arial" w:eastAsia="Arial" w:hAnsi="Arial"/>
          <w:b/>
          <w:bCs/>
          <w:color w:val="424242"/>
          <w:sz w:val="22"/>
          <w:szCs w:val="22"/>
        </w:rPr>
        <w:t xml:space="preserve">Force: Technology | Direction: Contraction | Probability: 5 | GP1%: 18% | Curve: S-curve | Start: 2026</w:t>
      </w:r>
    </w:p>
    <w:p>
      <w:pPr>
        <w:spacing w:after="120"/>
      </w:pPr>
      <w:r>
        <w:rPr>
          <w:rFonts w:ascii="Arial" w:cs="Arial" w:eastAsia="Arial" w:hAnsi="Arial"/>
          <w:b/>
          <w:bCs/>
          <w:color w:val="424242"/>
          <w:sz w:val="21"/>
          <w:szCs w:val="21"/>
        </w:rPr>
        <w:t xml:space="preserve">Why this matters: </w:t>
      </w:r>
      <w:r>
        <w:rPr>
          <w:rFonts w:ascii="Arial" w:cs="Arial" w:eastAsia="Arial" w:hAnsi="Arial"/>
          <w:color w:val="424242"/>
          <w:sz w:val="21"/>
          <w:szCs w:val="21"/>
        </w:rPr>
        <w:t xml:space="preserve">This is the most disruptive channel shift since e-commerce. Morgan Stanley estimates AI shopping agents will capture $190–385B of US e-commerce spending by 2030 (10–20% of total online retail). McKinsey projects $3–5T globally. Amazon Alexa+ (launched Feb 2026) already shows 3x higher shopping activity. OpenAI Operator + Instacart integration is live. Kearney projects 60% of global consumers will use AI agents for shopping by 2027.</w:t>
      </w:r>
    </w:p>
    <w:p>
      <w:pPr>
        <w:spacing w:after="120"/>
      </w:pPr>
      <w:r>
        <w:rPr>
          <w:rFonts w:ascii="Arial" w:cs="Arial" w:eastAsia="Arial" w:hAnsi="Arial"/>
          <w:b/>
          <w:bCs/>
          <w:color w:val="424242"/>
          <w:sz w:val="21"/>
          <w:szCs w:val="21"/>
        </w:rPr>
        <w:t xml:space="preserve">Henkel-specific impact: </w:t>
      </w:r>
      <w:r>
        <w:rPr>
          <w:rFonts w:ascii="Arial" w:cs="Arial" w:eastAsia="Arial" w:hAnsi="Arial"/>
          <w:color w:val="424242"/>
          <w:sz w:val="21"/>
          <w:szCs w:val="21"/>
        </w:rPr>
        <w:t xml:space="preserve">Laundry detergent and dish tabs are textbook ‘low-consideration, high-frequency’ categories—exactly where AI agents will make autonomous decisions. If an AI agent optimizes for price-per-load, sustainability score, and user ratings, Persil must rank #1 on all three dimensions or face invisible brand switching. The Smartwash platform (T-08) is a potential moat—but only if integrated with AI agent protocols.</w:t>
      </w:r>
    </w:p>
    <w:p>
      <w:pPr>
        <w:spacing w:after="120"/>
      </w:pPr>
      <w:r>
        <w:rPr>
          <w:rFonts w:ascii="Arial" w:cs="Arial" w:eastAsia="Arial" w:hAnsi="Arial"/>
          <w:b/>
          <w:bCs/>
          <w:color w:val="424242"/>
          <w:sz w:val="21"/>
          <w:szCs w:val="21"/>
        </w:rPr>
        <w:t xml:space="preserve">Strategic implication: </w:t>
      </w:r>
      <w:r>
        <w:rPr>
          <w:rFonts w:ascii="Arial" w:cs="Arial" w:eastAsia="Arial" w:hAnsi="Arial"/>
          <w:color w:val="424242"/>
          <w:sz w:val="21"/>
          <w:szCs w:val="21"/>
        </w:rPr>
        <w:t xml:space="preserve">Build native AI agent integrations for Persil and Somat. Ensure product data is optimized for LLM citation (GEO). Smartwash cartridge model creates lock-in that agents cannot easily override. This is Henkel’s #1 strategic technology priority for 2027–2030.</w:t>
      </w:r>
    </w:p>
    <w:p>
      <w:pPr>
        <w:spacing w:after="40"/>
      </w:pPr>
    </w:p>
    <w:p>
      <w:pPr>
        <w:pStyle w:val="Heading2"/>
        <w:spacing w:after="160" w:before="280"/>
      </w:pPr>
      <w:r>
        <w:rPr>
          <w:rFonts w:ascii="Arial" w:cs="Arial" w:eastAsia="Arial" w:hAnsi="Arial"/>
          <w:b/>
          <w:bCs/>
          <w:color w:val="1A237E"/>
          <w:sz w:val="26"/>
          <w:szCs w:val="26"/>
        </w:rPr>
        <w:t xml:space="preserve">NEW-04: Sub-Saharan Africa — $200B FMCG Frontier by 2030</w:t>
      </w:r>
    </w:p>
    <w:p>
      <w:pPr>
        <w:spacing w:after="120" w:before="200"/>
      </w:pPr>
      <w:r>
        <w:rPr>
          <w:rFonts w:ascii="Arial" w:cs="Arial" w:eastAsia="Arial" w:hAnsi="Arial"/>
          <w:b/>
          <w:bCs/>
          <w:color w:val="424242"/>
          <w:sz w:val="22"/>
          <w:szCs w:val="22"/>
        </w:rPr>
        <w:t xml:space="preserve">Force: Competitive | Direction: Expansion | Probability: 4 | GP1%: 12% | Curve: S-curve | Start: 2026</w:t>
      </w:r>
    </w:p>
    <w:p>
      <w:pPr>
        <w:spacing w:after="120"/>
      </w:pPr>
      <w:r>
        <w:rPr>
          <w:rFonts w:ascii="Arial" w:cs="Arial" w:eastAsia="Arial" w:hAnsi="Arial"/>
          <w:b/>
          <w:bCs/>
          <w:color w:val="424242"/>
          <w:sz w:val="21"/>
          <w:szCs w:val="21"/>
        </w:rPr>
        <w:t xml:space="preserve">Why this matters: </w:t>
      </w:r>
      <w:r>
        <w:rPr>
          <w:rFonts w:ascii="Arial" w:cs="Arial" w:eastAsia="Arial" w:hAnsi="Arial"/>
          <w:color w:val="424242"/>
          <w:sz w:val="21"/>
          <w:szCs w:val="21"/>
        </w:rPr>
        <w:t xml:space="preserve">Africa’s FMCG market is projected to reach $200B by 2030, driven by 1.7B consumers. Private label competition is lighter than in Europe. Distribution inefficiency creates barriers to entry that benefit early movers with local manufacturing and direct distribution capabilities.</w:t>
      </w:r>
    </w:p>
    <w:p>
      <w:pPr>
        <w:spacing w:after="120"/>
      </w:pPr>
      <w:r>
        <w:rPr>
          <w:rFonts w:ascii="Arial" w:cs="Arial" w:eastAsia="Arial" w:hAnsi="Arial"/>
          <w:b/>
          <w:bCs/>
          <w:color w:val="424242"/>
          <w:sz w:val="21"/>
          <w:szCs w:val="21"/>
        </w:rPr>
        <w:t xml:space="preserve">Henkel-specific impact: </w:t>
      </w:r>
      <w:r>
        <w:rPr>
          <w:rFonts w:ascii="Arial" w:cs="Arial" w:eastAsia="Arial" w:hAnsi="Arial"/>
          <w:color w:val="424242"/>
          <w:sz w:val="21"/>
          <w:szCs w:val="21"/>
        </w:rPr>
        <w:t xml:space="preserve">Henkel has existing operations in Egypt, South Africa, and select North African markets. The gap is Sub-Saharan expansion. India (APAC-02) proves the playbook: affordable-premium architecture, sachet formats, local production. Persil has brand recognition in parts of Africa from historical presence. Hair care: Africa is the world’s largest textured-hair market—a natural extension of the NEW-19 trend.</w:t>
      </w:r>
    </w:p>
    <w:p>
      <w:pPr>
        <w:spacing w:after="120"/>
      </w:pPr>
      <w:r>
        <w:rPr>
          <w:rFonts w:ascii="Arial" w:cs="Arial" w:eastAsia="Arial" w:hAnsi="Arial"/>
          <w:b/>
          <w:bCs/>
          <w:color w:val="424242"/>
          <w:sz w:val="21"/>
          <w:szCs w:val="21"/>
        </w:rPr>
        <w:t xml:space="preserve">Strategic implication: </w:t>
      </w:r>
      <w:r>
        <w:rPr>
          <w:rFonts w:ascii="Arial" w:cs="Arial" w:eastAsia="Arial" w:hAnsi="Arial"/>
          <w:color w:val="424242"/>
          <w:sz w:val="21"/>
          <w:szCs w:val="21"/>
        </w:rPr>
        <w:t xml:space="preserve">Build a dedicated Sub-Saharan Africa entry strategy with hub manufacturing (Nigeria, Kenya). Develop sachet pricing architecture. Partner with local distributors for General Trade access. This is a 5–10 year build, not a quick win—but the CEO must see it in the profit pool model.</w:t>
      </w:r>
    </w:p>
    <w:p>
      <w:pPr>
        <w:spacing w:after="40"/>
      </w:pPr>
    </w:p>
    <w:p>
      <w:pPr>
        <w:pStyle w:val="Heading2"/>
        <w:spacing w:after="160" w:before="280"/>
      </w:pPr>
      <w:r>
        <w:rPr>
          <w:rFonts w:ascii="Arial" w:cs="Arial" w:eastAsia="Arial" w:hAnsi="Arial"/>
          <w:b/>
          <w:bCs/>
          <w:color w:val="1A237E"/>
          <w:sz w:val="26"/>
          <w:szCs w:val="26"/>
        </w:rPr>
        <w:t xml:space="preserve">NEW-09: Precision Fermentation Disrupts FMCG Ingredient Supply</w:t>
      </w:r>
    </w:p>
    <w:p>
      <w:pPr>
        <w:spacing w:after="120" w:before="200"/>
      </w:pPr>
      <w:r>
        <w:rPr>
          <w:rFonts w:ascii="Arial" w:cs="Arial" w:eastAsia="Arial" w:hAnsi="Arial"/>
          <w:b/>
          <w:bCs/>
          <w:color w:val="424242"/>
          <w:sz w:val="22"/>
          <w:szCs w:val="22"/>
        </w:rPr>
        <w:t xml:space="preserve">Force: Technology | Direction: Expansion | Probability: 4 | GP1%: 12% | Curve: S-curve | Start: 2028</w:t>
      </w:r>
    </w:p>
    <w:p>
      <w:pPr>
        <w:spacing w:after="120"/>
      </w:pPr>
      <w:r>
        <w:rPr>
          <w:rFonts w:ascii="Arial" w:cs="Arial" w:eastAsia="Arial" w:hAnsi="Arial"/>
          <w:b/>
          <w:bCs/>
          <w:color w:val="424242"/>
          <w:sz w:val="21"/>
          <w:szCs w:val="21"/>
        </w:rPr>
        <w:t xml:space="preserve">Why this matters: </w:t>
      </w:r>
      <w:r>
        <w:rPr>
          <w:rFonts w:ascii="Arial" w:cs="Arial" w:eastAsia="Arial" w:hAnsi="Arial"/>
          <w:color w:val="424242"/>
          <w:sz w:val="21"/>
          <w:szCs w:val="21"/>
        </w:rPr>
        <w:t xml:space="preserve">The precision fermentation market is projected at $36B by 2030 (43–48% CAGR). Key FMCG ingredients—surfactants, fragrances, proteins, emollients—can be produced via engineered microorganisms in fermentation tanks. This eliminates palm oil dependency, EUDR compliance costs, and raw material price volatility in a single technology shift.</w:t>
      </w:r>
    </w:p>
    <w:p>
      <w:pPr>
        <w:spacing w:after="120"/>
      </w:pPr>
      <w:r>
        <w:rPr>
          <w:rFonts w:ascii="Arial" w:cs="Arial" w:eastAsia="Arial" w:hAnsi="Arial"/>
          <w:b/>
          <w:bCs/>
          <w:color w:val="424242"/>
          <w:sz w:val="21"/>
          <w:szCs w:val="21"/>
        </w:rPr>
        <w:t xml:space="preserve">Henkel-specific impact: </w:t>
      </w:r>
      <w:r>
        <w:rPr>
          <w:rFonts w:ascii="Arial" w:cs="Arial" w:eastAsia="Arial" w:hAnsi="Arial"/>
          <w:color w:val="424242"/>
          <w:sz w:val="21"/>
          <w:szCs w:val="21"/>
        </w:rPr>
        <w:t xml:space="preserve">Henkel uses palm-derived surfactants in &gt;80% of shampoo and liquid detergent formulations. Indonesia B50 (E-01) and EUDR (G-06) are already making palm sourcing more expensive and compliance-heavy. Precision fermentation offers a structural exit from this dependency. First-mover advantage is significant—IP on fermented surfactant formulations creates a defensible moat.</w:t>
      </w:r>
    </w:p>
    <w:p>
      <w:pPr>
        <w:spacing w:after="120"/>
      </w:pPr>
      <w:r>
        <w:rPr>
          <w:rFonts w:ascii="Arial" w:cs="Arial" w:eastAsia="Arial" w:hAnsi="Arial"/>
          <w:b/>
          <w:bCs/>
          <w:color w:val="424242"/>
          <w:sz w:val="21"/>
          <w:szCs w:val="21"/>
        </w:rPr>
        <w:t xml:space="preserve">Strategic implication: </w:t>
      </w:r>
      <w:r>
        <w:rPr>
          <w:rFonts w:ascii="Arial" w:cs="Arial" w:eastAsia="Arial" w:hAnsi="Arial"/>
          <w:color w:val="424242"/>
          <w:sz w:val="21"/>
          <w:szCs w:val="21"/>
        </w:rPr>
        <w:t xml:space="preserve">Invest in precision fermentation partnerships (Novozymes/dsm-firmenich or specialized startups). Run pilot reformulations for Persil and Schwarzkopf shampoo using fermented surfactants. Target cost parity by 2030. This is connected to T-02 (Bio-Based Chemistry) but represents a more fundamental platform shift.</w:t>
      </w:r>
    </w:p>
    <w:p>
      <w:pPr>
        <w:spacing w:after="40"/>
      </w:pPr>
    </w:p>
    <w:p>
      <w:pPr>
        <w:pStyle w:val="Heading2"/>
        <w:spacing w:after="160" w:before="280"/>
      </w:pPr>
      <w:r>
        <w:rPr>
          <w:rFonts w:ascii="Arial" w:cs="Arial" w:eastAsia="Arial" w:hAnsi="Arial"/>
          <w:b/>
          <w:bCs/>
          <w:color w:val="1A237E"/>
          <w:sz w:val="26"/>
          <w:szCs w:val="26"/>
        </w:rPr>
        <w:t xml:space="preserve">NEW-07: Longevity Medicine Crossover into Beauty and Hair Care</w:t>
      </w:r>
    </w:p>
    <w:p>
      <w:pPr>
        <w:spacing w:after="120" w:before="200"/>
      </w:pPr>
      <w:r>
        <w:rPr>
          <w:rFonts w:ascii="Arial" w:cs="Arial" w:eastAsia="Arial" w:hAnsi="Arial"/>
          <w:b/>
          <w:bCs/>
          <w:color w:val="424242"/>
          <w:sz w:val="22"/>
          <w:szCs w:val="22"/>
        </w:rPr>
        <w:t xml:space="preserve">Force: Consumer | Direction: Expansion | Probability: 4 | GP1%: 10% | Curve: S-curve | Start: 2027</w:t>
      </w:r>
    </w:p>
    <w:p>
      <w:pPr>
        <w:spacing w:after="120"/>
      </w:pPr>
      <w:r>
        <w:rPr>
          <w:rFonts w:ascii="Arial" w:cs="Arial" w:eastAsia="Arial" w:hAnsi="Arial"/>
          <w:b/>
          <w:bCs/>
          <w:color w:val="424242"/>
          <w:sz w:val="21"/>
          <w:szCs w:val="21"/>
        </w:rPr>
        <w:t xml:space="preserve">Why this matters: </w:t>
      </w:r>
      <w:r>
        <w:rPr>
          <w:rFonts w:ascii="Arial" w:cs="Arial" w:eastAsia="Arial" w:hAnsi="Arial"/>
          <w:color w:val="424242"/>
          <w:sz w:val="21"/>
          <w:szCs w:val="21"/>
        </w:rPr>
        <w:t xml:space="preserve">The global anti-aging market will reach $120B by 2030. The industry is pivoting from cosmetic ‘anti-aging’ to science-backed ‘longevity’—biological resilience, cellular repair, peptide therapy, NAD+ supplementation. 70% of disposable income in US, China, Japan, and Europe is held by 60+ consumers. Hair care follows the same trajectory: scalp longevity, follicle health, melanin preservation, gray delay.</w:t>
      </w:r>
    </w:p>
    <w:p>
      <w:pPr>
        <w:spacing w:after="120"/>
      </w:pPr>
      <w:r>
        <w:rPr>
          <w:rFonts w:ascii="Arial" w:cs="Arial" w:eastAsia="Arial" w:hAnsi="Arial"/>
          <w:b/>
          <w:bCs/>
          <w:color w:val="424242"/>
          <w:sz w:val="21"/>
          <w:szCs w:val="21"/>
        </w:rPr>
        <w:t xml:space="preserve">Henkel-specific impact: </w:t>
      </w:r>
      <w:r>
        <w:rPr>
          <w:rFonts w:ascii="Arial" w:cs="Arial" w:eastAsia="Arial" w:hAnsi="Arial"/>
          <w:color w:val="424242"/>
          <w:sz w:val="21"/>
          <w:szCs w:val="21"/>
        </w:rPr>
        <w:t xml:space="preserve">This trend supercharges the existing premiumization vector (C-03) and scalp care opportunity (C-07). Schwarzkopf Professional’s dermatological heritage (Seborin, Bonacure) provides credibility that mass-market competitors cannot match. The Color portfolio has a natural ‘longevity’ play: products that preserve natural hair health while covering gray, not just chemical coverage.</w:t>
      </w:r>
    </w:p>
    <w:p>
      <w:pPr>
        <w:spacing w:after="120"/>
      </w:pPr>
      <w:r>
        <w:rPr>
          <w:rFonts w:ascii="Arial" w:cs="Arial" w:eastAsia="Arial" w:hAnsi="Arial"/>
          <w:b/>
          <w:bCs/>
          <w:color w:val="424242"/>
          <w:sz w:val="21"/>
          <w:szCs w:val="21"/>
        </w:rPr>
        <w:t xml:space="preserve">Strategic implication: </w:t>
      </w:r>
      <w:r>
        <w:rPr>
          <w:rFonts w:ascii="Arial" w:cs="Arial" w:eastAsia="Arial" w:hAnsi="Arial"/>
          <w:color w:val="424242"/>
          <w:sz w:val="21"/>
          <w:szCs w:val="21"/>
        </w:rPr>
        <w:t xml:space="preserve">Position Schwarzkopf as a ‘hair longevity’ brand, not just a hair beauty brand. Develop a clinical-grade anti-aging hair line targeting 45+ consumers. Partner with longevity medicine researchers for ingredient innovation. This is a premium pricing unlock: consumers who spend $300/month on longevity supplements will pay $30 for scientifically validated hair longevity products.</w:t>
      </w:r>
    </w:p>
    <w:p>
      <w:pPr>
        <w:spacing w:after="40"/>
      </w:pPr>
    </w:p>
    <w:p>
      <w:pPr>
        <w:pStyle w:val="Heading2"/>
        <w:spacing w:after="160" w:before="280"/>
      </w:pPr>
      <w:r>
        <w:rPr>
          <w:rFonts w:ascii="Arial" w:cs="Arial" w:eastAsia="Arial" w:hAnsi="Arial"/>
          <w:b/>
          <w:bCs/>
          <w:color w:val="1A237E"/>
          <w:sz w:val="26"/>
          <w:szCs w:val="26"/>
        </w:rPr>
        <w:t xml:space="preserve">NEW-14: Amazon/Platform Vertical Integration into FMCG</w:t>
      </w:r>
    </w:p>
    <w:p>
      <w:pPr>
        <w:spacing w:after="120" w:before="200"/>
      </w:pPr>
      <w:r>
        <w:rPr>
          <w:rFonts w:ascii="Arial" w:cs="Arial" w:eastAsia="Arial" w:hAnsi="Arial"/>
          <w:b/>
          <w:bCs/>
          <w:color w:val="424242"/>
          <w:sz w:val="22"/>
          <w:szCs w:val="22"/>
        </w:rPr>
        <w:t xml:space="preserve">Force: Competitive | Direction: Contraction | Probability: 4 | GP1%: 10% | Curve: Linear | Start: 2025</w:t>
      </w:r>
    </w:p>
    <w:p>
      <w:pPr>
        <w:spacing w:after="120"/>
      </w:pPr>
      <w:r>
        <w:rPr>
          <w:rFonts w:ascii="Arial" w:cs="Arial" w:eastAsia="Arial" w:hAnsi="Arial"/>
          <w:b/>
          <w:bCs/>
          <w:color w:val="424242"/>
          <w:sz w:val="21"/>
          <w:szCs w:val="21"/>
        </w:rPr>
        <w:t xml:space="preserve">Why this matters: </w:t>
      </w:r>
      <w:r>
        <w:rPr>
          <w:rFonts w:ascii="Arial" w:cs="Arial" w:eastAsia="Arial" w:hAnsi="Arial"/>
          <w:color w:val="424242"/>
          <w:sz w:val="21"/>
          <w:szCs w:val="21"/>
        </w:rPr>
        <w:t xml:space="preserve">Amazon’s private label operation is qualitatively different from traditional retail PL. Amazon possesses real-time consumer behavior data, search intent data, and review sentiment analysis. It can identify underserved price points and launch targeted PL products within months. US PL grew 4.4% in early 2025 vs. 1.1% for national brands. Amazon PL threatens not through volume share but through targeted margin destruction in profitable sub-segments.</w:t>
      </w:r>
    </w:p>
    <w:p>
      <w:pPr>
        <w:spacing w:after="120"/>
      </w:pPr>
      <w:r>
        <w:rPr>
          <w:rFonts w:ascii="Arial" w:cs="Arial" w:eastAsia="Arial" w:hAnsi="Arial"/>
          <w:b/>
          <w:bCs/>
          <w:color w:val="424242"/>
          <w:sz w:val="21"/>
          <w:szCs w:val="21"/>
        </w:rPr>
        <w:t xml:space="preserve">Henkel-specific impact: </w:t>
      </w:r>
      <w:r>
        <w:rPr>
          <w:rFonts w:ascii="Arial" w:cs="Arial" w:eastAsia="Arial" w:hAnsi="Arial"/>
          <w:color w:val="424242"/>
          <w:sz w:val="21"/>
          <w:szCs w:val="21"/>
        </w:rPr>
        <w:t xml:space="preserve">Persil, Somat, and value-tier brands (all, Purex) are most exposed. Amazon can analyze exactly which Persil SKU has the highest margin and lowest brand loyalty, then launch a targeted Amazon Basics equivalent. Subscribe &amp; Save (K-06 connection) amplifies lock-in—once a consumer subscribes to an Amazon PL detergent, switching back to Persil requires active effort.</w:t>
      </w:r>
    </w:p>
    <w:p>
      <w:pPr>
        <w:spacing w:after="120"/>
      </w:pPr>
      <w:r>
        <w:rPr>
          <w:rFonts w:ascii="Arial" w:cs="Arial" w:eastAsia="Arial" w:hAnsi="Arial"/>
          <w:b/>
          <w:bCs/>
          <w:color w:val="424242"/>
          <w:sz w:val="21"/>
          <w:szCs w:val="21"/>
        </w:rPr>
        <w:t xml:space="preserve">Strategic implication: </w:t>
      </w:r>
      <w:r>
        <w:rPr>
          <w:rFonts w:ascii="Arial" w:cs="Arial" w:eastAsia="Arial" w:hAnsi="Arial"/>
          <w:color w:val="424242"/>
          <w:sz w:val="21"/>
          <w:szCs w:val="21"/>
        </w:rPr>
        <w:t xml:space="preserve">Defend through product superiority that is demonstrable in reviews/ratings, not just marketing claims. Ensure Persil and Somat are #1 rated in their Amazon sub-categories. Build first-party data capabilities to reduce dependency on Amazon insights. Smartwash DTC subscription is the ultimate defense: bypass Amazon entirely.</w:t>
      </w:r>
    </w:p>
    <w:p>
      <w:r>
        <w:br w:type="page"/>
      </w:r>
    </w:p>
    <w:p>
      <w:pPr>
        <w:pStyle w:val="Heading2"/>
        <w:spacing w:after="160" w:before="280"/>
      </w:pPr>
      <w:r>
        <w:rPr>
          <w:rFonts w:ascii="Arial" w:cs="Arial" w:eastAsia="Arial" w:hAnsi="Arial"/>
          <w:b/>
          <w:bCs/>
          <w:color w:val="1A237E"/>
          <w:sz w:val="26"/>
          <w:szCs w:val="26"/>
        </w:rPr>
        <w:t xml:space="preserve">NEW-20: Agentic Commerce Reshapes Retailer-Brand Power Dynamics</w:t>
      </w:r>
    </w:p>
    <w:p>
      <w:pPr>
        <w:spacing w:after="120" w:before="200"/>
      </w:pPr>
      <w:r>
        <w:rPr>
          <w:rFonts w:ascii="Arial" w:cs="Arial" w:eastAsia="Arial" w:hAnsi="Arial"/>
          <w:b/>
          <w:bCs/>
          <w:color w:val="424242"/>
          <w:sz w:val="22"/>
          <w:szCs w:val="22"/>
        </w:rPr>
        <w:t xml:space="preserve">Force: Customer | Direction: Contraction | Probability: 4 | GP1%: 12% | Curve: S-curve | Start: 2027</w:t>
      </w:r>
    </w:p>
    <w:p>
      <w:pPr>
        <w:spacing w:after="120"/>
      </w:pPr>
      <w:r>
        <w:rPr>
          <w:rFonts w:ascii="Arial" w:cs="Arial" w:eastAsia="Arial" w:hAnsi="Arial"/>
          <w:b/>
          <w:bCs/>
          <w:color w:val="424242"/>
          <w:sz w:val="21"/>
          <w:szCs w:val="21"/>
        </w:rPr>
        <w:t xml:space="preserve">Why this matters: </w:t>
      </w:r>
      <w:r>
        <w:rPr>
          <w:rFonts w:ascii="Arial" w:cs="Arial" w:eastAsia="Arial" w:hAnsi="Arial"/>
          <w:color w:val="424242"/>
          <w:sz w:val="21"/>
          <w:szCs w:val="21"/>
        </w:rPr>
        <w:t xml:space="preserve">This is the retailer-side mirror of NEW-01. When AI agents handle grocery purchasing, traditional retail power structures (shelf placement, trade promotion, category captainship) dissolve. New intermediaries emerge. Retailers lose control of the shopper’s consideration set. But brands also lose promotional elasticity—AI agents are immune to end-cap displays and impulse purchases.</w:t>
      </w:r>
    </w:p>
    <w:p>
      <w:pPr>
        <w:spacing w:after="40"/>
      </w:pPr>
    </w:p>
    <w:p>
      <w:pPr>
        <w:pStyle w:val="Heading2"/>
        <w:spacing w:after="160" w:before="280"/>
      </w:pPr>
      <w:r>
        <w:rPr>
          <w:rFonts w:ascii="Arial" w:cs="Arial" w:eastAsia="Arial" w:hAnsi="Arial"/>
          <w:b/>
          <w:bCs/>
          <w:color w:val="1A237E"/>
          <w:sz w:val="26"/>
          <w:szCs w:val="26"/>
        </w:rPr>
        <w:t xml:space="preserve">NEW-23: Freshwater Crisis Accelerates Waterless Formulation Mandate</w:t>
      </w:r>
    </w:p>
    <w:p>
      <w:pPr>
        <w:spacing w:after="120" w:before="200"/>
      </w:pPr>
      <w:r>
        <w:rPr>
          <w:rFonts w:ascii="Arial" w:cs="Arial" w:eastAsia="Arial" w:hAnsi="Arial"/>
          <w:b/>
          <w:bCs/>
          <w:color w:val="424242"/>
          <w:sz w:val="22"/>
          <w:szCs w:val="22"/>
        </w:rPr>
        <w:t xml:space="preserve">Force: Environmental | Direction: Contraction | Probability: 4 | GP1%: 10% | Curve: S-curve | Start: 2027</w:t>
      </w:r>
    </w:p>
    <w:p>
      <w:pPr>
        <w:spacing w:after="120"/>
      </w:pPr>
      <w:r>
        <w:rPr>
          <w:rFonts w:ascii="Arial" w:cs="Arial" w:eastAsia="Arial" w:hAnsi="Arial"/>
          <w:b/>
          <w:bCs/>
          <w:color w:val="424242"/>
          <w:sz w:val="21"/>
          <w:szCs w:val="21"/>
        </w:rPr>
        <w:t xml:space="preserve">Why this matters: </w:t>
      </w:r>
      <w:r>
        <w:rPr>
          <w:rFonts w:ascii="Arial" w:cs="Arial" w:eastAsia="Arial" w:hAnsi="Arial"/>
          <w:color w:val="424242"/>
          <w:sz w:val="21"/>
          <w:szCs w:val="21"/>
        </w:rPr>
        <w:t xml:space="preserve">Global freshwater demand will exceed supply by 40% by 2030 (UNEP). Half the world faces severe water stress. Water-intensive industries (cosmetics, detergents) face both manufacturing constraints and in-use reformulation pressure. The existing E-02 trend (Water Scarcity) at 7% gp1_pct_affected is too conservative for a 10-year horizon. By 2032–2035, regulatory water-use limits on consumer products are plausible in Southern Europe and MENA.</w:t>
      </w:r>
    </w:p>
    <w:p>
      <w:pPr>
        <w:spacing w:after="40"/>
      </w:pPr>
    </w:p>
    <w:p>
      <w:pPr>
        <w:pStyle w:val="Heading2"/>
        <w:spacing w:after="160" w:before="280"/>
      </w:pPr>
      <w:r>
        <w:rPr>
          <w:rFonts w:ascii="Arial" w:cs="Arial" w:eastAsia="Arial" w:hAnsi="Arial"/>
          <w:b/>
          <w:bCs/>
          <w:color w:val="1A237E"/>
          <w:sz w:val="26"/>
          <w:szCs w:val="26"/>
        </w:rPr>
        <w:t xml:space="preserve">NEW-03: Generative Search (GEO) Replaces Traditional Product Discovery</w:t>
      </w:r>
    </w:p>
    <w:p>
      <w:pPr>
        <w:spacing w:after="120" w:before="200"/>
      </w:pPr>
      <w:r>
        <w:rPr>
          <w:rFonts w:ascii="Arial" w:cs="Arial" w:eastAsia="Arial" w:hAnsi="Arial"/>
          <w:b/>
          <w:bCs/>
          <w:color w:val="424242"/>
          <w:sz w:val="22"/>
          <w:szCs w:val="22"/>
        </w:rPr>
        <w:t xml:space="preserve">Force: Technology | Direction: Contraction | Probability: 5 | GP1%: 12% | Curve: Front-loaded | Start: 2025</w:t>
      </w:r>
    </w:p>
    <w:p>
      <w:pPr>
        <w:spacing w:after="120"/>
      </w:pPr>
      <w:r>
        <w:rPr>
          <w:rFonts w:ascii="Arial" w:cs="Arial" w:eastAsia="Arial" w:hAnsi="Arial"/>
          <w:b/>
          <w:bCs/>
          <w:color w:val="424242"/>
          <w:sz w:val="21"/>
          <w:szCs w:val="21"/>
        </w:rPr>
        <w:t xml:space="preserve">Why this matters: </w:t>
      </w:r>
      <w:r>
        <w:rPr>
          <w:rFonts w:ascii="Arial" w:cs="Arial" w:eastAsia="Arial" w:hAnsi="Arial"/>
          <w:color w:val="424242"/>
          <w:sz w:val="21"/>
          <w:szCs w:val="21"/>
        </w:rPr>
        <w:t xml:space="preserve">This upgrades and expands M-01 (already in database). The pace of disruption has accelerated: 35% of US consumers now use AI for product discovery vs. 13.6% using traditional search engines. AI-to-e-commerce traffic surged 4,700% YoY. This isn’t a future trend—it’s happening now. The gp1_pct_affected should be raised from 10% to 12% and the scope broadened to include Hair and LHC equally.</w:t>
      </w:r>
    </w:p>
    <w:p>
      <w:pPr>
        <w:spacing w:after="40"/>
      </w:pPr>
    </w:p>
    <w:p>
      <w:pPr>
        <w:pStyle w:val="Heading2"/>
        <w:spacing w:after="160" w:before="280"/>
      </w:pPr>
      <w:r>
        <w:rPr>
          <w:rFonts w:ascii="Arial" w:cs="Arial" w:eastAsia="Arial" w:hAnsi="Arial"/>
          <w:b/>
          <w:bCs/>
          <w:color w:val="1A237E"/>
          <w:sz w:val="26"/>
          <w:szCs w:val="26"/>
        </w:rPr>
        <w:t xml:space="preserve">NEW-05: Southeast Asia Digital-First Beauty Market</w:t>
      </w:r>
    </w:p>
    <w:p>
      <w:pPr>
        <w:spacing w:after="120" w:before="200"/>
      </w:pPr>
      <w:r>
        <w:rPr>
          <w:rFonts w:ascii="Arial" w:cs="Arial" w:eastAsia="Arial" w:hAnsi="Arial"/>
          <w:b/>
          <w:bCs/>
          <w:color w:val="424242"/>
          <w:sz w:val="22"/>
          <w:szCs w:val="22"/>
        </w:rPr>
        <w:t xml:space="preserve">Force: Consumer | Direction: Expansion | Probability: 4 | GP1%: 10% | Curve: S-curve | Start: 2025</w:t>
      </w:r>
    </w:p>
    <w:p>
      <w:pPr>
        <w:spacing w:after="120"/>
      </w:pPr>
      <w:r>
        <w:rPr>
          <w:rFonts w:ascii="Arial" w:cs="Arial" w:eastAsia="Arial" w:hAnsi="Arial"/>
          <w:b/>
          <w:bCs/>
          <w:color w:val="424242"/>
          <w:sz w:val="21"/>
          <w:szCs w:val="21"/>
        </w:rPr>
        <w:t xml:space="preserve">Why this matters: </w:t>
      </w:r>
      <w:r>
        <w:rPr>
          <w:rFonts w:ascii="Arial" w:cs="Arial" w:eastAsia="Arial" w:hAnsi="Arial"/>
          <w:color w:val="424242"/>
          <w:sz w:val="21"/>
          <w:szCs w:val="21"/>
        </w:rPr>
        <w:t xml:space="preserve">600M consumers with the world’s highest e-commerce growth rates. Shopee, Lazada, and TikTok Shop dominate beauty distribution. Indonesia, Vietnam, Philippines, and Thailand are growth leaders. K-beauty and J-beauty have strong positions; Western brands need digital-first go-to-market. Henkel’s Schwarzkopf has professional salon networks in Thailand and Indonesia—a distribution asset for premium consumer crossover (K-07).</w:t>
      </w:r>
    </w:p>
    <w:p>
      <w:pPr>
        <w:spacing w:after="40"/>
      </w:pPr>
    </w:p>
    <w:p>
      <w:pPr>
        <w:pStyle w:val="Heading2"/>
        <w:spacing w:after="160" w:before="280"/>
      </w:pPr>
      <w:r>
        <w:rPr>
          <w:rFonts w:ascii="Arial" w:cs="Arial" w:eastAsia="Arial" w:hAnsi="Arial"/>
          <w:b/>
          <w:bCs/>
          <w:color w:val="1A237E"/>
          <w:sz w:val="26"/>
          <w:szCs w:val="26"/>
        </w:rPr>
        <w:t xml:space="preserve">NEW-19: Natural/Textured Hair as Mainstream Global Category</w:t>
      </w:r>
    </w:p>
    <w:p>
      <w:pPr>
        <w:spacing w:after="120" w:before="200"/>
      </w:pPr>
      <w:r>
        <w:rPr>
          <w:rFonts w:ascii="Arial" w:cs="Arial" w:eastAsia="Arial" w:hAnsi="Arial"/>
          <w:b/>
          <w:bCs/>
          <w:color w:val="424242"/>
          <w:sz w:val="22"/>
          <w:szCs w:val="22"/>
        </w:rPr>
        <w:t xml:space="preserve">Force: Consumer | Direction: Expansion | Probability: 4 | GP1%: 8% | Curve: Linear | Start: 2025</w:t>
      </w:r>
    </w:p>
    <w:p>
      <w:pPr>
        <w:spacing w:after="120"/>
      </w:pPr>
      <w:r>
        <w:rPr>
          <w:rFonts w:ascii="Arial" w:cs="Arial" w:eastAsia="Arial" w:hAnsi="Arial"/>
          <w:b/>
          <w:bCs/>
          <w:color w:val="424242"/>
          <w:sz w:val="21"/>
          <w:szCs w:val="21"/>
        </w:rPr>
        <w:t xml:space="preserve">Why this matters: </w:t>
      </w:r>
      <w:r>
        <w:rPr>
          <w:rFonts w:ascii="Arial" w:cs="Arial" w:eastAsia="Arial" w:hAnsi="Arial"/>
          <w:color w:val="424242"/>
          <w:sz w:val="21"/>
          <w:szCs w:val="21"/>
        </w:rPr>
        <w:t xml:space="preserve">65% of the world’s population has textured, curly, or coily hair—yet mainstream hair care portfolios (including Henkel’s) are designed primarily for straight/wavy European and East Asian hair types. This is the largest structural white space in global hair care. P&amp;G acquired Mielle Organics; Unilever has Shea Moisture and TRESemmé Curl range. Henkel has no credible textured-hair offering. Beyond US Hispanic (NA-03), this extends to Africa, Caribbean, Southeast Asia, and the global diaspora.</w:t>
      </w:r>
    </w:p>
    <w:p>
      <w:r>
        <w:br w:type="page"/>
      </w:r>
    </w:p>
    <w:p>
      <w:pPr>
        <w:pStyle w:val="Heading1"/>
        <w:spacing w:after="200" w:before="360"/>
      </w:pPr>
      <w:r>
        <w:rPr>
          <w:rFonts w:ascii="Arial" w:cs="Arial" w:eastAsia="Arial" w:hAnsi="Arial"/>
          <w:b/>
          <w:bCs/>
          <w:color w:val="1A237E"/>
          <w:sz w:val="32"/>
          <w:szCs w:val="32"/>
        </w:rPr>
        <w:t xml:space="preserve">5. REVISED FORCE ARCHITECTURE (61 → ~83 TRENDS)</w:t>
      </w:r>
    </w:p>
    <w:p>
      <w:pPr>
        <w:spacing w:after="120"/>
        <w:jc w:val="left"/>
      </w:pPr>
      <w:r>
        <w:rPr>
          <w:rFonts w:ascii="Arial" w:cs="Arial" w:eastAsia="Arial" w:hAnsi="Arial"/>
          <w:color w:val="424242"/>
          <w:sz w:val="21"/>
          <w:szCs w:val="21"/>
        </w:rPr>
        <w:t xml:space="preserve">After adding 24 new trends and retiring 2, the PRISM database would contain approximately 83 trends. Below is the revised force distribution.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3760"/>
      </w:tblGrid>
      <w:tr>
        <w:tc>
          <w:tcPr>
            <w:tcW w:type="dxa" w:w="2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Force</w:t>
            </w:r>
          </w:p>
        </w:tc>
        <w:tc>
          <w:tcPr>
            <w:tcW w:type="dxa" w:w="1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Current</w:t>
            </w:r>
          </w:p>
        </w:tc>
        <w:tc>
          <w:tcPr>
            <w:tcW w:type="dxa" w:w="1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Proposed</w:t>
            </w:r>
          </w:p>
        </w:tc>
        <w:tc>
          <w:tcPr>
            <w:tcW w:type="dxa" w:w="1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w:t>
            </w:r>
          </w:p>
        </w:tc>
        <w:tc>
          <w:tcPr>
            <w:tcW w:type="dxa" w:w="37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Consumer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+4 / -2</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Add SEA, Brazil, longevity, textured hair, laundry sheets, wellness; retire C-12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Government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Add AI Act, biodiversity, textile strategy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Technology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62828"/>
                <w:sz w:val="18"/>
                <w:szCs w:val="18"/>
              </w:rPr>
              <w:t xml:space="preserve">+7</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LARGEST EXPANSION: agentic commerce (x2), GEO upgrade, peptides, precision fermentation, synbio, AI brand invisibility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Environmental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Add climate adaptation, freshwater crisis upgrade, Scope 3+ expansion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Competitive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Add Africa frontier, Amazon vertical, L’Oréal NVIDIA, DTC arms race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Customer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 / -1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Add agentic retail, TikTok upgrade; retire K-05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237E"/>
                <w:sz w:val="18"/>
                <w:szCs w:val="18"/>
              </w:rPr>
              <w:t xml:space="preserve">TOTAL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61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62828"/>
                <w:sz w:val="18"/>
                <w:szCs w:val="18"/>
              </w:rPr>
              <w:t xml:space="preserve">~83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+24 / -2</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Technology becomes co-largest force, reflecting reality of 2026-2036 disruption</w:t>
            </w:r>
          </w:p>
        </w:tc>
      </w:tr>
    </w:tbl>
    <w:p>
      <w:pPr>
        <w:spacing w:after="60"/>
      </w:pPr>
    </w:p>
    <w:p>
      <w:pPr>
        <w:pStyle w:val="Heading2"/>
        <w:spacing w:after="160" w:before="280"/>
      </w:pPr>
      <w:r>
        <w:rPr>
          <w:rFonts w:ascii="Arial" w:cs="Arial" w:eastAsia="Arial" w:hAnsi="Arial"/>
          <w:b/>
          <w:bCs/>
          <w:color w:val="1A237E"/>
          <w:sz w:val="26"/>
          <w:szCs w:val="26"/>
        </w:rPr>
        <w:t xml:space="preserve">5.1 Horizon Extension Recommendation</w:t>
      </w:r>
    </w:p>
    <w:p>
      <w:pPr>
        <w:spacing w:after="120"/>
        <w:jc w:val="left"/>
      </w:pPr>
      <w:r>
        <w:rPr>
          <w:rFonts w:ascii="Arial" w:cs="Arial" w:eastAsia="Arial" w:hAnsi="Arial"/>
          <w:color w:val="424242"/>
          <w:sz w:val="21"/>
          <w:szCs w:val="21"/>
        </w:rPr>
        <w:t xml:space="preserve">The current PRISM model simulates 2026–2030. We strongly recommend extending to 2036 with three horizons: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000"/>
        <w:gridCol w:w="3060"/>
      </w:tblGrid>
      <w:tr>
        <w:tc>
          <w:tcPr>
            <w:tcW w:type="dxa" w:w="1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Horizon</w:t>
            </w:r>
          </w:p>
        </w:tc>
        <w:tc>
          <w:tcPr>
            <w:tcW w:type="dxa" w:w="15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Period</w:t>
            </w:r>
          </w:p>
        </w:tc>
        <w:tc>
          <w:tcPr>
            <w:tcW w:type="dxa" w:w="3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Character</w:t>
            </w:r>
          </w:p>
        </w:tc>
        <w:tc>
          <w:tcPr>
            <w:tcW w:type="dxa" w:w="30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vAlign w:val="center"/>
          </w:tcPr>
          <w:p>
            <w:r>
              <w:rPr>
                <w:rFonts w:ascii="Arial" w:cs="Arial" w:eastAsia="Arial" w:hAnsi="Arial"/>
                <w:b/>
                <w:bCs/>
                <w:color w:val="FFFFFF"/>
                <w:sz w:val="18"/>
                <w:szCs w:val="18"/>
              </w:rPr>
              <w:t xml:space="preserve">Key Trends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424242"/>
                <w:sz w:val="18"/>
                <w:szCs w:val="18"/>
              </w:rPr>
              <w:t xml:space="preserve">H1: Execution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2026–2030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Known forces, quantifiable impacts, actionable now</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PFAS, PPWR, PL defense, Reckitt opportunity, Smartwash launch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57F17"/>
                <w:sz w:val="18"/>
                <w:szCs w:val="18"/>
              </w:rPr>
              <w:t xml:space="preserve">H2: Disruption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2030–2033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Technology inflection points, regulatory expansion, geographic shifts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Agentic commerce scale, precision fermentation cost parity, Africa entry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62828"/>
                <w:sz w:val="18"/>
                <w:szCs w:val="18"/>
              </w:rPr>
              <w:t xml:space="preserve">H3: Transformation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2033–2036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Full AI channel disruption, new category boundaries, post-FMCG models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24242"/>
                <w:sz w:val="18"/>
                <w:szCs w:val="18"/>
              </w:rPr>
              <w:t xml:space="preserve">AI-native brands, synthetic biology, longevity-beauty convergence</w:t>
            </w:r>
          </w:p>
        </w:tc>
      </w:tr>
    </w:tbl>
    <w:p>
      <w:r>
        <w:br w:type="page"/>
      </w:r>
    </w:p>
    <w:p>
      <w:pPr>
        <w:pStyle w:val="Heading1"/>
        <w:spacing w:after="200" w:before="360"/>
      </w:pPr>
      <w:r>
        <w:rPr>
          <w:rFonts w:ascii="Arial" w:cs="Arial" w:eastAsia="Arial" w:hAnsi="Arial"/>
          <w:b/>
          <w:bCs/>
          <w:color w:val="1A237E"/>
          <w:sz w:val="32"/>
          <w:szCs w:val="32"/>
        </w:rPr>
        <w:t xml:space="preserve">6. FINAL RECOMMENDATION TO THE CEO</w:t>
      </w:r>
    </w:p>
    <w:p>
      <w:pPr>
        <w:spacing w:after="40"/>
      </w:pPr>
    </w:p>
    <w:p>
      <w:pPr>
        <w:spacing w:after="120"/>
      </w:pPr>
      <w:r>
        <w:rPr>
          <w:rFonts w:ascii="Arial" w:cs="Arial" w:eastAsia="Arial" w:hAnsi="Arial"/>
          <w:b/>
          <w:bCs/>
          <w:color w:val="C62828"/>
          <w:sz w:val="24"/>
          <w:szCs w:val="24"/>
        </w:rPr>
        <w:t xml:space="preserve">The bottom line: </w:t>
      </w:r>
      <w:r>
        <w:rPr>
          <w:rFonts w:ascii="Arial" w:cs="Arial" w:eastAsia="Arial" w:hAnsi="Arial"/>
          <w:color w:val="424242"/>
          <w:sz w:val="21"/>
          <w:szCs w:val="21"/>
        </w:rPr>
        <w:t xml:space="preserve">PRISM is a genuinely excellent strategic tool. The Bayesian Monte Carlo engine, the copula-modeled dependencies, the 6-force architecture—this is best-in-class for FMCG strategic planning. The 61-trend database is well-researched with strong source credibility. But it was built for a 5-year European view. The CEO needs a 10-year global view.</w:t>
      </w:r>
    </w:p>
    <w:p>
      <w:pPr>
        <w:spacing w:after="40"/>
      </w:pPr>
    </w:p>
    <w:p>
      <w:pPr>
        <w:pStyle w:val="Heading2"/>
        <w:spacing w:after="160" w:before="280"/>
      </w:pPr>
      <w:r>
        <w:rPr>
          <w:rFonts w:ascii="Arial" w:cs="Arial" w:eastAsia="Arial" w:hAnsi="Arial"/>
          <w:b/>
          <w:bCs/>
          <w:color w:val="1A237E"/>
          <w:sz w:val="26"/>
          <w:szCs w:val="26"/>
        </w:rPr>
        <w:t xml:space="preserve">6.1 Three Things to Do Immediately (Next 30 Days)</w:t>
      </w:r>
    </w:p>
    <w:p>
      <w:pPr>
        <w:spacing w:after="20"/>
      </w:pPr>
    </w:p>
    <w:p>
      <w:pPr>
        <w:spacing w:after="120"/>
      </w:pPr>
      <w:r>
        <w:rPr>
          <w:rFonts w:ascii="Arial" w:cs="Arial" w:eastAsia="Arial" w:hAnsi="Arial"/>
          <w:b/>
          <w:bCs/>
          <w:color w:val="424242"/>
          <w:sz w:val="21"/>
          <w:szCs w:val="21"/>
        </w:rPr>
        <w:t xml:space="preserve">1. Add the 24 proposed trends to the PRISM database. </w:t>
      </w:r>
      <w:r>
        <w:rPr>
          <w:rFonts w:ascii="Arial" w:cs="Arial" w:eastAsia="Arial" w:hAnsi="Arial"/>
          <w:color w:val="424242"/>
          <w:sz w:val="21"/>
          <w:szCs w:val="21"/>
        </w:rPr>
        <w:t xml:space="preserve">This is the highest-ROI action. Each trend has proposed PRISM parameters (force, direction, probability, gp1_pct_affected, diffusion curve, start year, category/VC/regional exposures). The development team can implement these within 1–2 sprints.</w:t>
      </w:r>
    </w:p>
    <w:p>
      <w:pPr>
        <w:spacing w:after="120"/>
      </w:pPr>
      <w:r>
        <w:rPr>
          <w:rFonts w:ascii="Arial" w:cs="Arial" w:eastAsia="Arial" w:hAnsi="Arial"/>
          <w:b/>
          <w:bCs/>
          <w:color w:val="424242"/>
          <w:sz w:val="21"/>
          <w:szCs w:val="21"/>
        </w:rPr>
        <w:t xml:space="preserve">2. Extend the simulation horizon to 2036. </w:t>
      </w:r>
      <w:r>
        <w:rPr>
          <w:rFonts w:ascii="Arial" w:cs="Arial" w:eastAsia="Arial" w:hAnsi="Arial"/>
          <w:color w:val="424242"/>
          <w:sz w:val="21"/>
          <w:szCs w:val="21"/>
        </w:rPr>
        <w:t xml:space="preserve">The path model already supports configurable years. Change path_years from [2026-2030] to [2026-2036]. This requires updating the diffusion curve calculations but no architectural changes.</w:t>
      </w:r>
    </w:p>
    <w:p>
      <w:pPr>
        <w:spacing w:after="120"/>
      </w:pPr>
      <w:r>
        <w:rPr>
          <w:rFonts w:ascii="Arial" w:cs="Arial" w:eastAsia="Arial" w:hAnsi="Arial"/>
          <w:b/>
          <w:bCs/>
          <w:color w:val="424242"/>
          <w:sz w:val="21"/>
          <w:szCs w:val="21"/>
        </w:rPr>
        <w:t xml:space="preserve">3. Run a Delphi round on the 24 new trends. </w:t>
      </w:r>
      <w:r>
        <w:rPr>
          <w:rFonts w:ascii="Arial" w:cs="Arial" w:eastAsia="Arial" w:hAnsi="Arial"/>
          <w:color w:val="424242"/>
          <w:sz w:val="21"/>
          <w:szCs w:val="21"/>
        </w:rPr>
        <w:t xml:space="preserve">Before the CEO presentation, the new trends need expert calibration. The Delphi module is production-ready. Schedule a 2-day scoring workshop with the 20-person team.</w:t>
      </w:r>
    </w:p>
    <w:p>
      <w:pPr>
        <w:spacing w:after="40"/>
      </w:pPr>
    </w:p>
    <w:p>
      <w:pPr>
        <w:pStyle w:val="Heading2"/>
        <w:spacing w:after="160" w:before="280"/>
      </w:pPr>
      <w:r>
        <w:rPr>
          <w:rFonts w:ascii="Arial" w:cs="Arial" w:eastAsia="Arial" w:hAnsi="Arial"/>
          <w:b/>
          <w:bCs/>
          <w:color w:val="1A237E"/>
          <w:sz w:val="26"/>
          <w:szCs w:val="26"/>
        </w:rPr>
        <w:t xml:space="preserve">6.2 Three Things to Do Before the Board Presentation (Next 90 Days)</w:t>
      </w:r>
    </w:p>
    <w:p>
      <w:pPr>
        <w:spacing w:after="20"/>
      </w:pPr>
    </w:p>
    <w:p>
      <w:pPr>
        <w:spacing w:after="120"/>
      </w:pPr>
      <w:r>
        <w:rPr>
          <w:rFonts w:ascii="Arial" w:cs="Arial" w:eastAsia="Arial" w:hAnsi="Arial"/>
          <w:b/>
          <w:bCs/>
          <w:color w:val="424242"/>
          <w:sz w:val="21"/>
          <w:szCs w:val="21"/>
        </w:rPr>
        <w:t xml:space="preserve">1. Build an Agentic Commerce response strategy. </w:t>
      </w:r>
      <w:r>
        <w:rPr>
          <w:rFonts w:ascii="Arial" w:cs="Arial" w:eastAsia="Arial" w:hAnsi="Arial"/>
          <w:color w:val="424242"/>
          <w:sz w:val="21"/>
          <w:szCs w:val="21"/>
        </w:rPr>
        <w:t xml:space="preserve">This is the single most consequential trend we identified. Assign a dedicated workstream to map Henkel’s AI agent readiness: product data quality, LLM citation optimization, Smartwash integration with agent protocols, and first-party data strategy.</w:t>
      </w:r>
    </w:p>
    <w:p>
      <w:pPr>
        <w:spacing w:after="120"/>
      </w:pPr>
      <w:r>
        <w:rPr>
          <w:rFonts w:ascii="Arial" w:cs="Arial" w:eastAsia="Arial" w:hAnsi="Arial"/>
          <w:b/>
          <w:bCs/>
          <w:color w:val="424242"/>
          <w:sz w:val="21"/>
          <w:szCs w:val="21"/>
        </w:rPr>
        <w:t xml:space="preserve">2. Commission a Sub-Saharan Africa market entry study. </w:t>
      </w:r>
      <w:r>
        <w:rPr>
          <w:rFonts w:ascii="Arial" w:cs="Arial" w:eastAsia="Arial" w:hAnsi="Arial"/>
          <w:color w:val="424242"/>
          <w:sz w:val="21"/>
          <w:szCs w:val="21"/>
        </w:rPr>
        <w:t xml:space="preserve">Africa is a 5–10 year build. The Board needs to see the size of the prize and the investment required. Use the PRISM Shift Matrix to model Africa-specific scenarios.</w:t>
      </w:r>
    </w:p>
    <w:p>
      <w:pPr>
        <w:spacing w:after="120"/>
      </w:pPr>
      <w:r>
        <w:rPr>
          <w:rFonts w:ascii="Arial" w:cs="Arial" w:eastAsia="Arial" w:hAnsi="Arial"/>
          <w:b/>
          <w:bCs/>
          <w:color w:val="424242"/>
          <w:sz w:val="21"/>
          <w:szCs w:val="21"/>
        </w:rPr>
        <w:t xml:space="preserve">3. Accelerate precision fermentation partnerships. </w:t>
      </w:r>
      <w:r>
        <w:rPr>
          <w:rFonts w:ascii="Arial" w:cs="Arial" w:eastAsia="Arial" w:hAnsi="Arial"/>
          <w:color w:val="424242"/>
          <w:sz w:val="21"/>
          <w:szCs w:val="21"/>
        </w:rPr>
        <w:t xml:space="preserve">Henkel’s &gt;80% palm-derived surfactant dependency is a strategic vulnerability. Begin reformulation pilots with fermented surfactants for Persil and Schwarzkopf shampoo. Target cost parity by 2030.</w:t>
      </w:r>
    </w:p>
    <w:p>
      <w:pPr>
        <w:spacing w:after="60"/>
      </w:pPr>
    </w:p>
    <w:p>
      <w:pPr>
        <w:pStyle w:val="Heading2"/>
        <w:spacing w:after="160" w:before="280"/>
      </w:pPr>
      <w:r>
        <w:rPr>
          <w:rFonts w:ascii="Arial" w:cs="Arial" w:eastAsia="Arial" w:hAnsi="Arial"/>
          <w:b/>
          <w:bCs/>
          <w:color w:val="1A237E"/>
          <w:sz w:val="26"/>
          <w:szCs w:val="26"/>
        </w:rPr>
        <w:t xml:space="preserve">6.3 The Ambition Test</w:t>
      </w:r>
    </w:p>
    <w:p>
      <w:pPr>
        <w:spacing w:after="120"/>
        <w:jc w:val="left"/>
      </w:pPr>
      <w:r>
        <w:rPr>
          <w:rFonts w:ascii="Arial" w:cs="Arial" w:eastAsia="Arial" w:hAnsi="Arial"/>
          <w:color w:val="424242"/>
          <w:sz w:val="21"/>
          <w:szCs w:val="21"/>
        </w:rPr>
        <w:t xml:space="preserve">We asked ourselves: if we presented this trend database to the CEOs of P&amp;G, Unilever, and L’Oréal, would they learn something they don’t already know? With the original 61 trends, the answer is probably not—it’s thorough but conventional. With the expanded 83-trend database covering agentic commerce, precision fermentation, longevity medicine, and the Africa frontier, the answer is yes. That’s the standard for a CEO-facing strategic intelligence platform.</w:t>
      </w:r>
    </w:p>
    <w:p>
      <w:pPr>
        <w:spacing w:after="100"/>
      </w:pPr>
    </w:p>
    <w:p>
      <w:pPr>
        <w:jc w:val="center"/>
      </w:pPr>
      <w:r>
        <w:rPr>
          <w:rFonts w:ascii="Arial" w:cs="Arial" w:eastAsia="Arial" w:hAnsi="Arial"/>
          <w:i/>
          <w:iCs/>
          <w:color w:val="757575"/>
          <w:sz w:val="22"/>
          <w:szCs w:val="22"/>
        </w:rPr>
        <w:t xml:space="preserve">— End of Report —</w:t>
      </w:r>
    </w:p>
    <w:p>
      <w:pPr>
        <w:spacing w:after="40"/>
      </w:pPr>
    </w:p>
    <w:p>
      <w:pPr>
        <w:jc w:val="center"/>
      </w:pPr>
      <w:r>
        <w:rPr>
          <w:rFonts w:ascii="Arial" w:cs="Arial" w:eastAsia="Arial" w:hAnsi="Arial"/>
          <w:color w:val="757575"/>
          <w:sz w:val="20"/>
          <w:szCs w:val="20"/>
        </w:rPr>
        <w:t xml:space="preserve">Bain &amp; Company | Consumer Products Practice | April 2026</w:t>
      </w:r>
    </w:p>
    <w:p>
      <w:pPr>
        <w:jc w:val="center"/>
      </w:pPr>
      <w:r>
        <w:rPr>
          <w:rFonts w:ascii="Arial" w:cs="Arial" w:eastAsia="Arial" w:hAnsi="Arial"/>
          <w:color w:val="757575"/>
          <w:sz w:val="20"/>
          <w:szCs w:val="20"/>
        </w:rPr>
        <w:t xml:space="preserve">Team: 20 Senior Consultants | 4-Week Engagement | Next Step: Delphi Calibration Workshop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6"/>
        <w:szCs w:val="16"/>
      </w:rPr>
      <w:t xml:space="preserve">Bain &amp; Company | 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6" w:space="4"/>
      </w:pBdr>
      <w:tabs>
        <w:tab w:val="right" w:pos="9360"/>
      </w:tabs>
    </w:pPr>
    <w:r>
      <w:rPr>
        <w:rFonts w:ascii="Arial" w:cs="Arial" w:eastAsia="Arial" w:hAnsi="Arial"/>
        <w:color w:val="757575"/>
        <w:sz w:val="16"/>
        <w:szCs w:val="16"/>
      </w:rPr>
      <w:t xml:space="preserve">PRISM Trend Database Strategic Review</w:t>
    </w:r>
    <w:r>
      <w:t xml:space="preserve">	</w:t>
    </w:r>
    <w:r>
      <w:rPr>
        <w:rFonts w:ascii="Arial" w:cs="Arial" w:eastAsia="Arial" w:hAnsi="Arial"/>
        <w:b/>
        <w:bCs/>
        <w:color w:val="C6282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237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2026-04-15T19:12:02.078Z</dcterms:created>
  <dcterms:modified xsi:type="dcterms:W3CDTF">2026-04-15T19:12:02.078Z</dcterms:modified>
</cp:coreProperties>
</file>

<file path=docProps/custom.xml><?xml version="1.0" encoding="utf-8"?>
<Properties xmlns="http://schemas.openxmlformats.org/officeDocument/2006/custom-properties" xmlns:vt="http://schemas.openxmlformats.org/officeDocument/2006/docPropsVTypes"/>
</file>