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56"/>
          <w:szCs w:val="56"/>
        </w:rPr>
        <w:t xml:space="preserve">PRISM</w:t>
      </w:r>
    </w:p>
    <w:p>
      <w:pPr>
        <w:spacing w:after="40"/>
        <w:jc w:val="center"/>
      </w:pPr>
      <w:r>
        <w:rPr>
          <w:rFonts w:ascii="Arial" w:cs="Arial" w:eastAsia="Arial" w:hAnsi="Arial"/>
          <w:color w:val="4F46E5"/>
          <w:sz w:val="24"/>
          <w:szCs w:val="24"/>
        </w:rPr>
        <w:t xml:space="preserve">Profit Pool Risk &amp; Intelligence Simulation Model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Consumer Journey Dashboard Review</w:t>
      </w:r>
    </w:p>
    <w:p>
      <w:pPr>
        <w:spacing w:after="4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Gap Analysis, Trend Coverage Audit &amp; PRISM Analysis Enhancement Plan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4F46E5"/>
          <w:sz w:val="22"/>
          <w:szCs w:val="22"/>
        </w:rPr>
        <w:t xml:space="preserve">Laundry &amp; Home Care  |  Hair Consumer Business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April 9, 2026</w:t>
      </w:r>
    </w:p>
    <w:p>
      <w:pPr>
        <w:spacing w:after="60"/>
        <w:jc w:val="center"/>
      </w:pPr>
      <w:r>
        <w:rPr>
          <w:rFonts w:ascii="Arial" w:cs="Arial" w:eastAsia="Arial" w:hAnsi="Arial"/>
          <w:color w:val="6B7280"/>
          <w:sz w:val="20"/>
          <w:szCs w:val="20"/>
        </w:rPr>
        <w:t xml:space="preserve">Prepared for: CEO, Henkel AG &amp; Co. KGaA</w:t>
      </w: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DC2626"/>
          <w:sz w:val="18"/>
          <w:szCs w:val="18"/>
        </w:rPr>
        <w:t xml:space="preserve">Classification: CONFIDENTIAL — Internal Use Only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Executive Summary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report delivers a Senior Partner-level review of the PRISM Consumer Journey dashboards for Laundry &amp; Home Care (LHC) and Hair Consumer Business (HCB). The review addresses three mandates from the CEO: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Toggle relabeling: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Hair tab currently reads "Beauty" — this must be changed to "Hair" to align with Henkel’s organizational nomenclature (Hair Consumer Business, not Beauty).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Gap analysis: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Systematic cross-referencing of all 55 PRISM trends against every journey stage reveals 23 missing elements across LHC and 18 across Hair that should be added to provide complete profit pool coverage.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PRISM analysis quality: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current generatePrismAnalysis() function produces generic, template-driven text that is interchangeable across products and stages. This report provides 12 exemplary rewrites demonstrating the Henkel Consumer Brands-specific depth required.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Bottom line: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consumer journey dashboards are architecturally sound and strategically valuable. The gaps identified are addressable through targeted additions, not structural redesign. The PRISM analysis text, however, requires a fundamental rewrite from template-driven to Henkel-specific narrative. This report provides the complete blueprint for both.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1"/>
      </w:pPr>
      <w:r>
        <w:rPr>
          <w:rFonts w:ascii="Arial" w:cs="Arial" w:eastAsia="Arial" w:hAnsi="Arial"/>
        </w:rPr>
        <w:t xml:space="preserve">1. Toggle Label: "Beauty" → "Hair"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current toggle in ConsumerJourney.tsx line 646 reads: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4F46E5"/>
          <w:sz w:val="19"/>
          <w:szCs w:val="19"/>
        </w:rPr>
        <w:t xml:space="preserve">{tab === 'lhc' ? 'Laundry &amp; Home Care' : 'Beauty'}</w:t>
      </w:r>
    </w:p>
    <w:p>
      <w:pPr>
        <w:spacing w:after="120" w:before="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should read </w:t>
      </w: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'Hair'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(or </w:t>
      </w: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'Hair Consumer Business'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 if space permits). “Beauty” is the legacy Beauty Care division name. Post-merger, the correct organizational term is Hair Consumer Business (HCB). Using “Beauty” risks confusion, especially when presenting to ExCo, where the organizational terminology is precise.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LHC Journey: Gap Analysis — Missing Elements by Stage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LHC journey covers 13 stages with solid foundational coverage. However, systematic cross-referencing against all 55 trends reveals gaps where significant profit pool impact is unrepresented. Below are the additions recommended per stage, with the specific trend driver and rationale.</w:t>
      </w:r>
    </w:p>
    <w:p>
      <w:pPr>
        <w:pStyle w:val="Heading3"/>
      </w:pPr>
      <w:r>
        <w:rPr>
          <w:rFonts w:ascii="Arial" w:cs="Arial" w:eastAsia="Arial" w:hAnsi="Arial"/>
        </w:rPr>
        <w:t xml:space="preserve">Stage 1: Sorting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Current coverage is strong on AI/tech. Missing elements: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Digital Product Passport scanners (G-07):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DPP mandates QR-coded product data from 2027. Sorting becomes the first consumer touchpoint for digital traceability — Henkel can embed DPP into garment scanning apps as a Distinctive Brand Asset.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Silver-friendly large-print care labels (C-05):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With 25%+ of EU population over 65 by 2030, accessibility of garment care instructions is a growing consumer need. Henkel can lead with inclusive design in any sorting/care advisory tool.</w:t>
      </w:r>
    </w:p>
    <w:p>
      <w:pPr>
        <w:pStyle w:val="Heading3"/>
      </w:pPr>
      <w:r>
        <w:rPr>
          <w:rFonts w:ascii="Arial" w:cs="Arial" w:eastAsia="Arial" w:hAnsi="Arial"/>
        </w:rPr>
        <w:t xml:space="preserve">Stage 2: Pre-Treating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Good coverage of bio-chemistry and regulatory contraction.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Private-label stain remover encroachment (C-01, benefiting row – negatively impacted):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At 42% PL share, retailers now offer premium-tier stain removers. Aldi’s Tandil and dm’s Denkmit compete directly with Henkel’s pre-treatment range. This is the single largest profit pool threat in this stage and is currently absent.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Refill-format stain removal concentrates (M-05,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Refill &amp; Reuse Economy trend (growing 12%+ CAGR) creates an opportunity for concentrated stain remover refills — lower per-use cost, higher margin, aligned with PPWR.</w:t>
      </w:r>
    </w:p>
    <w:p>
      <w:pPr>
        <w:pStyle w:val="Heading3"/>
      </w:pPr>
      <w:r>
        <w:rPr>
          <w:rFonts w:ascii="Arial" w:cs="Arial" w:eastAsia="Arial" w:hAnsi="Arial"/>
        </w:rPr>
        <w:t xml:space="preserve">Stage 3: Loading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Adequate coverage. One addition: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EU-mandated microfibre capture filters (G-02, benefiting, upgrade intensity to 3):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France already mandates microfibre filters on new machines from 2025. EU-wide Phase 2 will extend this. The regulatory tailwind is stronger than currently reflected — this creates a product category from zero.</w:t>
      </w:r>
    </w:p>
    <w:p>
      <w:pPr>
        <w:pStyle w:val="Heading3"/>
      </w:pPr>
      <w:r>
        <w:rPr>
          <w:rFonts w:ascii="Arial" w:cs="Arial" w:eastAsia="Arial" w:hAnsi="Arial"/>
        </w:rPr>
        <w:t xml:space="preserve">Stage 4: Add Products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Henkel’s profit pool fortress — Persil, Pril, Vernel live here. Strong coverage exists, but critical gaps remain: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Private label detergent category threat (C-01,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most consequential single trend affecting this stage (gp1_pct_affected: 25%, probability: 5/5) has no representation in the negatively-impacted row. Aldi/Lidl PL detergents at 42% share directly compress Persil’s profit pool — this omission is critical.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Cost-of-living downtrading in detergent (C-06,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70%+ of EU consumers trading down. The current contraction row mentions DIY detergent kits but not the systemic downtrading from branded Persil to mid-tier/PL alternatives. This is the #2 contraction force in detergent.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Discount retail exclusive formats (K-01,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With Aldi/Lidl at 25-35% grocery share, Henkel must develop exclusive value formats for discount retail. This is a “defensive expansion” — protecting shelf space by creating formats that justify branded presence in discount.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Henkel Smartwash auto-dosing cartridges (T-08,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Henkel’s most differentiated LHC innovation (launched CES 2025) is absent from the journey. Auto-dosing cartridges are the “Add Products” moment for connected machines — the cartridge IS the product addition. gp1_pct_affected: 5%, but with platform lock-in potential.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Tariff/trade war raw material cost pass-through (G-08,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25%+ US tariffs and EU retaliatory measures drive 5-15% raw material cost increases that compress GP1 in the core detergent category.</w:t>
      </w:r>
    </w:p>
    <w:p>
      <w:pPr>
        <w:pStyle w:val="Heading3"/>
      </w:pPr>
      <w:r>
        <w:rPr>
          <w:rFonts w:ascii="Arial" w:cs="Arial" w:eastAsia="Arial" w:hAnsi="Arial"/>
        </w:rPr>
        <w:t xml:space="preserve">Stages 5-6: Select Wash Settings &amp; Washing Cycle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Good tech coverage. Missing the competitive dimension: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Reckitt Essential Home transition opportunity (X-01,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Advent’s acquisition of Calgon, Woolite, and Vanish creates a 2-3 year window for Henkel to capture share in adjacent wash-cycle products. PE ownership typically means reduced brand investment — shelf space is up for grabs.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Energy cost impact on wash behavior (E-07, contraction for hot-wash):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European energy costs at 2-3x US levels structurally shift consumer behavior toward cold wash, reducing demand for traditional hot-wash detergent formulations.</w:t>
      </w:r>
    </w:p>
    <w:p>
      <w:pPr>
        <w:pStyle w:val="Heading3"/>
      </w:pPr>
      <w:r>
        <w:rPr>
          <w:rFonts w:ascii="Arial" w:cs="Arial" w:eastAsia="Arial" w:hAnsi="Arial"/>
        </w:rPr>
        <w:t xml:space="preserve">Stages 7-8: Unloading &amp; Drying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Reasonable coverage. Key addition: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Fragrance premiumization in dryer/unloading products (C-09, benefiting, upgrade):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Luxury fragrance entering mainstream home care at 15%+ growth in Southern Europe. Dryer sheets with premium scent boosters (currently intensity 2) should be intensity 3 — this is Vernel’s premiumization path against PL in fabric care.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Textile longevity care products (CJ-02, benefiting in Drying):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EU Circular Textiles Strategy mandates durability standards. Gentle drying products that demonstrably extend garment life are a new product category — Henkel can position Vernel as a ‘garment longevity partner.’</w:t>
      </w:r>
    </w:p>
    <w:p>
      <w:pPr>
        <w:pStyle w:val="Heading3"/>
      </w:pPr>
      <w:r>
        <w:rPr>
          <w:rFonts w:ascii="Arial" w:cs="Arial" w:eastAsia="Arial" w:hAnsi="Arial"/>
        </w:rPr>
        <w:t xml:space="preserve">Stage 9: Ironing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Good coverage of steamer displacement trend. One addition: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Silver economy ease-of-use ironing solutions (C-05,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Aging population needs lightweight, ergonomic garment care tools. Anti-wrinkle spray-and-wear solutions that eliminate ironing entirely are a Silver Economy play — absent from current mapping.</w:t>
      </w:r>
    </w:p>
    <w:p>
      <w:pPr>
        <w:pStyle w:val="Heading3"/>
      </w:pPr>
      <w:r>
        <w:rPr>
          <w:rFonts w:ascii="Arial" w:cs="Arial" w:eastAsia="Arial" w:hAnsi="Arial"/>
        </w:rPr>
        <w:t xml:space="preserve">Stage 10: Folding &amp; Storing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Adequate. One enhancement: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Climate-driven pest protection expansion (E-05,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Tiger mosquitoes now established in Southern Germany/France. Extended warm seasons drive demand for garment/closet protection products against a wider pest range. Currently E-05 only maps to FFI category but storage-stage protection products are a natural extension.</w:t>
      </w:r>
    </w:p>
    <w:p>
      <w:pPr>
        <w:pStyle w:val="Heading3"/>
      </w:pPr>
      <w:r>
        <w:rPr>
          <w:rFonts w:ascii="Arial" w:cs="Arial" w:eastAsia="Arial" w:hAnsi="Arial"/>
        </w:rPr>
        <w:t xml:space="preserve">Stages 11-12: Taking Out &amp; Wearing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Solid. Key additions: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Textile longevity repair and protection (CJ-02, benefiting in Wearing):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Fabric protection nano-coatings, enzyme-based pilling removers, and color-restore treatments are all expanding under EU Circular Textiles Strategy. Currently underrepresented.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GLP-1 impact on apparel care (C-02, indirectly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GLP-1 consumers invest more in premium self-care. Extended garment lifecycle care (protecting investment clothing) is a beneficiary — a subtle but real spending reallocation effect.</w:t>
      </w:r>
    </w:p>
    <w:p>
      <w:pPr>
        <w:pStyle w:val="Heading3"/>
      </w:pPr>
      <w:r>
        <w:rPr>
          <w:rFonts w:ascii="Arial" w:cs="Arial" w:eastAsia="Arial" w:hAnsi="Arial"/>
        </w:rPr>
        <w:t xml:space="preserve">Stage 13: Between Washes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is Henkel’s #1 White Spot (score 0.82 in PRISM). Coverage is good but still misses: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Febreze-equivalent fabric refresh brand (CJ-01, benefiting, intensity 3):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Henkel has zero presence in fabric refresh. Febreze is a $1B+ P&amp;G brand. This trend (gp1_pct_affected: 6%) represents the highest-priority product development gap. Needs explicit representation as a whitespace call-out.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Post-COVID hygiene persistence for between-wash sanitizing (C-12/S-09,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UV garment sanitizers are listed but the broader hygiene persistence trend (surface disinfectant at $8.1B, 7.8% CAGR) isn’t connected. Between-wash sanitizing sprays for clothing are a natural extension.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Hair Journey: Gap Analysis — Missing Elements by Stage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Hair journey covers 8 stages. Coverage is generally strong on premiumization and AI, but several structural trends are underrepresented.</w:t>
      </w:r>
    </w:p>
    <w:p>
      <w:pPr>
        <w:pStyle w:val="Heading3"/>
      </w:pPr>
      <w:r>
        <w:rPr>
          <w:rFonts w:ascii="Arial" w:cs="Arial" w:eastAsia="Arial" w:hAnsi="Arial"/>
        </w:rPr>
        <w:t xml:space="preserve">Stage 1: Inspire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Good digital/social commerce coverage.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Generative AI product discovery disruption (M-01,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35% of US consumers now use AI for product discovery vs. 13.6% using search engines. This fundamentally disrupts how consumers find Schwarzkopf — if Claude, ChatGPT, or Perplexity don’t recommend Schwarzkopf in their responses, the brand loses consideration before the shopper reaches the shelf. GEO (Generative Engine Optimization) is the new SEO.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Gen AI marketing content efficiency (M-04,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40-60% cost reduction in content production enables Schwarzkopf to produce more inspiration content at scale — localized shade guides, creator partnerships, social assets — at near-zero marginal cost.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L’Oréal Modiface competitive threat at Inspire (X-07/S-04,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L’Oréal’s AI beauty platform (Modiface) is the benchmark for AR shade try-on. With €1.7B R&amp;D spend, L’Oréal is redefining the Inspire stage from chemistry to tech-beauty. Schwarzkopf must match or lose the top-of-funnel.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Chinese FMCG brand entry via TikTok (X-05,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Florasis and Perfect Diary entering Europe via TikTok Shop with extreme value positioning. Early-warning signal — mirrors Shein disruption pattern. The Inspire stage is where TikTok-native brands first capture attention.</w:t>
      </w:r>
    </w:p>
    <w:p>
      <w:pPr>
        <w:pStyle w:val="Heading3"/>
      </w:pPr>
      <w:r>
        <w:rPr>
          <w:rFonts w:ascii="Arial" w:cs="Arial" w:eastAsia="Arial" w:hAnsi="Arial"/>
        </w:rPr>
        <w:t xml:space="preserve">Stage 2: Diagnose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Strong AI diagnostic coverage.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Male grooming diagnostic entry (C-08,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European male grooming at $23.6B, 7.65% CAGR. Male-specific hair diagnostics (thinning pattern analysis, scalp health for shorter hair) is entirely unrepresented. got2b could own this space.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GLP-1 impact on hair health diagnostics (C-02,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GLP-1 drugs cause reported hair thinning side effects, creating a new diagnostic need — “is my hair loss from GLP-1 or other causes?” Clinical diagnostic services and hair health monitoring post-GLP-1 are an emerging opportunity.</w:t>
      </w:r>
    </w:p>
    <w:p>
      <w:pPr>
        <w:pStyle w:val="Heading3"/>
      </w:pPr>
      <w:r>
        <w:rPr>
          <w:rFonts w:ascii="Arial" w:cs="Arial" w:eastAsia="Arial" w:hAnsi="Arial"/>
        </w:rPr>
        <w:t xml:space="preserve">Stage 3: Prepare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Excellent coverage of bond builders and protectants. Minor gap: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Cosmetics Regulation VII/VIII impact on pre-treatment ingredients (G-03,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SCCS rolling restrictions on UV filters and preservatives directly affect pre-treatment formulations. Henkel’s Heat &amp; UV protectants may require reformulation under tightening ingredient allowances — this regulatory pressure is absent.</w:t>
      </w:r>
    </w:p>
    <w:p>
      <w:pPr>
        <w:pStyle w:val="Heading3"/>
      </w:pPr>
      <w:r>
        <w:rPr>
          <w:rFonts w:ascii="Arial" w:cs="Arial" w:eastAsia="Arial" w:hAnsi="Arial"/>
        </w:rPr>
        <w:t xml:space="preserve">Stage 4: Remedy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Comprehensive. One strategic addition: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DTC/indie brand competitive pressure in remedy (X-04,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K18, Olaplex, and Virtue Labs have captured the premium remedy sub-segment. Collectively eroding the premiumization growth that Schwarzkopf needs. The Remedy stage is where indie brands have the strongest clinical credibility advantage.</w:t>
      </w:r>
    </w:p>
    <w:p>
      <w:pPr>
        <w:pStyle w:val="Heading3"/>
      </w:pPr>
      <w:r>
        <w:rPr>
          <w:rFonts w:ascii="Arial" w:cs="Arial" w:eastAsia="Arial" w:hAnsi="Arial"/>
        </w:rPr>
        <w:t xml:space="preserve">Stage 5: Transform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Strong core coverage. Key additions: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Unilever Beauty &amp; Wellbeing offensive (X-02,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Unilever targeting 66% revenue from Beauty &amp; Wellbeing by 2030, with Dove delivering double-digit growth. The Transform stage — permanent color, professional treatments — is the primary battleground. €50.5B Unilever is massively outspending Henkel in this space.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Salon-to-consumer crossover acceleration (S-10/K-07, benefiting, upgrade):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Professional hair care at $23.4B, B2C now 63% of share. Schwarzkopf Professional’s salon expertise is the company’s most defensible competitive advantage for the Transform stage. This is Henkel’s defining moment — needs intensity 3 across all Transform products.</w:t>
      </w:r>
    </w:p>
    <w:p>
      <w:pPr>
        <w:pStyle w:val="Heading3"/>
      </w:pPr>
      <w:r>
        <w:rPr>
          <w:rFonts w:ascii="Arial" w:cs="Arial" w:eastAsia="Arial" w:hAnsi="Arial"/>
        </w:rPr>
        <w:t xml:space="preserve">Stage 6: Lock &amp; Finish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Well-populated.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Green Claims Directive impact on “natural” finishing products (G-05,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Products positioned as “natural color lock” or “eco color stabilizer” will require robust substantiation from September 2026. Currently no regulatory pressure represented in Lock &amp; Finish.</w:t>
      </w:r>
    </w:p>
    <w:p>
      <w:pPr>
        <w:pStyle w:val="Heading3"/>
      </w:pPr>
      <w:r>
        <w:rPr>
          <w:rFonts w:ascii="Arial" w:cs="Arial" w:eastAsia="Arial" w:hAnsi="Arial"/>
        </w:rPr>
        <w:t xml:space="preserve">Stage 7: Maintain &amp; Optimize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Good subscription and treatment coverage. Gaps: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Retail media margin extraction (T-06,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Retail media hit $184B globally, FMCG at 39% of ad spend. For subscription and maintain products sold online, retail media is a direct margin extraction layer that compresses GP1. This stage’s e-commerce-heavy products are disproportionately exposed.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E-commerce profit pool maturation (K-02, contraction):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Pay-to-play economics for maintain/optimize products on Amazon (Subscribe &amp; Save, sponsored listings) are converging with offline margin pressure. Absent from current mapping.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Emerging Markets growth opportunity (X-06,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IMEA delivered 12.1% organic growth for Henkel FY2025. Hair maintain/optimize products in India, Middle East, and Africa represent a structural growth driver entirely absent from the Hair journey.</w:t>
      </w:r>
    </w:p>
    <w:p>
      <w:pPr>
        <w:pStyle w:val="Heading3"/>
      </w:pPr>
      <w:r>
        <w:rPr>
          <w:rFonts w:ascii="Arial" w:cs="Arial" w:eastAsia="Arial" w:hAnsi="Arial"/>
        </w:rPr>
        <w:t xml:space="preserve">Stage 8: Refresh / In-Between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Strong dry shampoo and scalp care coverage. Missing: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Between-wash styling as standalone occasion (CJ-03, benefiting, upgrade to intensity 3):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Dry shampoo growing 7%+ CAGR, texture sprays are fastest-growing Hair sub-segment. Batiste dominates with 40%+ share. got2b has presence but is underleveraged. This is PRISM’s designated category creation trend and should be the headline of this stage.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Male between-wash styling products (C-08, benefiting):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Male grooming at $23.6B, under-penetrated in Hair. Between-wash products (texture sprays, dry styling, volume refresh) are the fastest path to new male occasions for got2b.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Trend Coverage Summary — Trends Currently Absent from Both Journeys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trends from the 55-trend PRISM database have zero or minimal representation in the consumer journey dashboards. These are not all missing by accident — some are supply-side trends that don’t map neatly to consumer journey stages. But several should be added.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3200"/>
        <w:gridCol w:w="1200"/>
        <w:gridCol w:w="4120"/>
      </w:tblGrid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Name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Priority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Recommendation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Private Label Structural Penetration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 (LHC), Transform (Hair) as contraction. Highest gp1_pct_affected at 25%.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C-06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Cost-of-Living Squeeze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18"/>
                <w:szCs w:val="18"/>
              </w:rPr>
              <w:t xml:space="preserve">CRITICAL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 (LHC), Transform (Hair) as contraction. Second-highest macro force.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Discount Retail Channel Expansion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 (LHC) as both contraction and defensive expansion. 25-35% grocery share.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K-03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Retailer Consolidation &amp; Power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 (LHC), Transform (Hair). Listing fee pressure on shelf economics.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 AI Disrupts Product Discovery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Inspire (Hair), Sorting (LHC). Fundamentally changes top-of-funnel discovery.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M-04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Gen AI Marketing Efficiency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Inspire (Hair) as expansion. 40-60% content cost reduction.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G-08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Tariffs/Trade Wars/Deglobalization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 (LHC) as contraction. 5-15% raw material cost increase.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E-07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Energy Cost Volatility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Washing Cycle, Drying (LHC). Structural COGS disadvantage for EU mfg.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X-01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Reckitt Essential Home Divestiture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Add Products, Washing Cycle (LHC). 2-3 year share capture window.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X-02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Unilever Beauty &amp; Wellbeing Pivot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18"/>
                <w:szCs w:val="18"/>
              </w:rPr>
              <w:t xml:space="preserve">HIGH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Transform, Maintain (Hair). €50.5B competitor intensifying Hair overlap.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T-06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Retail Media Networks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6A34A"/>
                <w:sz w:val="18"/>
                <w:szCs w:val="18"/>
              </w:rPr>
              <w:t xml:space="preserve">MEDIUM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Add to Maintain (Hair), Add Products (LHC). Margin extraction layer.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E-01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Palm Oil Supply Chain Disruption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Supply-side; not consumer-journey-facing. No action needed.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E-03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Carbon Border Adjustment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Supply-side compliance cost. No direct consumer journey impact.</w:t>
            </w:r>
          </w:p>
        </w:tc>
      </w:tr>
      <w:tr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74151"/>
                <w:sz w:val="18"/>
                <w:szCs w:val="18"/>
              </w:rPr>
              <w:t xml:space="preserve">G-06</w:t>
            </w:r>
          </w:p>
        </w:tc>
        <w:tc>
          <w:tcPr>
            <w:tcW w:type="dxa" w:w="3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EU Deforestation Regulation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6B7280"/>
                <w:sz w:val="18"/>
                <w:szCs w:val="18"/>
              </w:rPr>
              <w:t xml:space="preserve">LOW</w:t>
            </w:r>
          </w:p>
        </w:tc>
        <w:tc>
          <w:tcPr>
            <w:tcW w:type="dxa" w:w="41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Supply chain traceability. Not consumer-facing.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Color &amp; Intensity Evaluation — Profit Pool Impact Calibration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dashboard uses intensity scores (1-3) to size and visually weight each element. Color is binary: green (expansion) or red (contraction). The intensity should reflect the magnitude of profit pool impact based on the underlying PRISM trend’s gp1_pct_affected parameter and probability score. Several current intensities need recalibration:</w:t>
      </w:r>
    </w:p>
    <w:p>
      <w:pPr>
        <w:pStyle w:val="Heading3"/>
      </w:pPr>
      <w:r>
        <w:rPr>
          <w:rFonts w:ascii="Arial" w:cs="Arial" w:eastAsia="Arial" w:hAnsi="Arial"/>
        </w:rPr>
        <w:t xml:space="preserve">Upgrades Required (Current intensity too low)</w:t>
      </w:r>
    </w:p>
    <w:tbl>
      <w:tblPr>
        <w:tblW w:type="dxa" w:w="972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800"/>
        <w:gridCol w:w="800"/>
        <w:gridCol w:w="2920"/>
      </w:tblGrid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Element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Stage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Journey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Current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Should Be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1A1A2E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Rationale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Dryer sheets with scent boosters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Drying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LHC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C-09 Fragrance Premiumization growing 15%+. Vernel’s #1 premiumization lever.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Salon coloration &amp; blending services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Transform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Correct. Professional salon crossover at $23.4B validates intensity 3.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Dry shampoo (volume &amp; convenience)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Refresh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Correct. CJ-03 at 7%+ CAGR, Batiste at $1B+. Validates intensity 3.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Anti-wrinkle post-cycle sprays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Unloading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LHC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Correct. Small category, no standalone trend driver.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UV garment sanitizers (portable)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Between Washes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LHC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C-12 Post-COVID hygiene persistence at $8.1B/7.8% CAGR justifies upgrade.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Climate-adaptive protection shields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Maintain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Hair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E2E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1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FEF3C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2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E-05 Climate Pest Shifts expanding demand windows. Underrated.</w:t>
            </w:r>
          </w:p>
        </w:tc>
      </w:tr>
      <w:tr>
        <w:tc>
          <w:tcPr>
            <w:tcW w:type="dxa" w:w="2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Standalone fabric softeners (liquid)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Unloading</w:t>
            </w:r>
          </w:p>
        </w:tc>
        <w:tc>
          <w:tcPr>
            <w:tcW w:type="dxa" w:w="12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LHC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80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shd w:fill="DCFCE7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3</w:t>
            </w:r>
          </w:p>
        </w:tc>
        <w:tc>
          <w:tcPr>
            <w:tcW w:type="dxa" w:w="2920"/>
            <w:tcBorders>
              <w:top w:val="single" w:color="E5E7EB" w:sz="1"/>
              <w:left w:val="single" w:color="E5E7EB" w:sz="1"/>
              <w:bottom w:val="single" w:color="E5E7EB" w:sz="1"/>
              <w:right w:val="single" w:color="E5E7E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color w:val="374151"/>
                <w:sz w:val="18"/>
                <w:szCs w:val="18"/>
              </w:rPr>
              <w:t xml:space="preserve">Correct. Concentrated pods cannibalizing standalone Vernel.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/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Overall, the intensity calibration is reasonably accurate. The most material recalibration is adding currently-absent high-impact elements (C-01, C-06, K-01) at intensity 3, which will change the visual weight of several stages significantly.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PRISM Analysis Text — From Generic to Henkel-Specific</w:t>
      </w:r>
    </w:p>
    <w:p>
      <w:pPr>
        <w:pStyle w:val="Heading2"/>
      </w:pPr>
      <w:r>
        <w:rPr>
          <w:rFonts w:ascii="Arial" w:cs="Arial" w:eastAsia="Arial" w:hAnsi="Arial"/>
        </w:rPr>
        <w:t xml:space="preserve">6.1 Diagnosis: Why the Current Text Falls Short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current generatePrismAnalysis() function (lines 467-489) produces text using a template pattern: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"PRISM's force assessment identifies [product name] as a [growth opportunity / decline risk] within the [stage] stage... The primary driver — [trend code] — creates a tailwind... Strategic implication: This represents an addressable whitespace for innovation investment..."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has three critical deficiencies: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Not Henkel-specific: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The text never mentions Persil, Schwarzkopf, Vernel, got2b, or any Henkel brand. It never references Henkel’s actual competitive position, R&amp;D capabilities, or strategic priorities. A P&amp;G strategist could paste the same text into their tool.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Not causally explanatory: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It states that a trend “creates a tailwind” but never explains WHY — through what mechanism, with what time dynamics, affecting which part of Henkel’s P&amp;L.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Identical strategic implications: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Every expansion item gets “addressable whitespace for innovation investment” and every contraction gets “portfolio exposure should be actively managed.” These are true but useless — they don’t tell the CEO anything actionable.</w:t>
      </w:r>
    </w:p>
    <w:p>
      <w:pPr>
        <w:pStyle w:val="Heading2"/>
      </w:pPr>
      <w:r>
        <w:rPr>
          <w:rFonts w:ascii="Arial" w:cs="Arial" w:eastAsia="Arial" w:hAnsi="Arial"/>
        </w:rPr>
        <w:t xml:space="preserve">6.2 The Target: What World-Class PRISM Analysis Looks Like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Below are 12 exemplary rewrites showing the depth required. Each follows the structure: Trend Impact Mechanism → Henkel-Specific Exposure → Quantified Scope → Strategic Action.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1: Concentrated Detergent Sheets &amp; Pods (LHC → Add Products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Current text: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"PRISM’s force assessment identifies ‘Detergent sheets &amp; pods’ as a growth opportunity within the ‘Add Products’ stage... Primary driver T-03 Concentrated Formats creates a tailwind... addressable whitespace for innovation investment."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"Concentrated and solid format innovation (PRISM T-03, probability 4/5, 7% of GP1 exposed) is restructuring the ‘Add Products’ stage of the laundry journey from volume-based to per-dose economics. For Henkel, this is existential and opportunity simultaneously: Persil Discs are already a core format platform, but the transition to sheets and ultra-concentrated pods creates a 40-60% logistics cost reduction while enabling premium per-dose pricing (typically 2-3x the per-wash cost of liquid).
The convergence with PPWR packaging regulation (G-04, effective August 2026) creates a regulatory tailwind — concentrated formats inherently reduce packaging weight, lowering EPR fees and eco-modulation penalties. Persil’s established concentrated platform is 18-24 months ahead of Private Label in this format transition, providing a rare window where Henkel can premiumize while PL struggles with format economics.
Strategic action: Accelerate Persil sheet format roll-out into dm and Rossmann before PL launches competing sheets. Target 15% format share within concentrated by 2028. Pair with Smartwash auto-dosing cartridge integration for platform lock-in."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2: Traditional Bulk Powder Detergent (LHC → Add Products → Contraction)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Current text: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"PRISM’s force assessment flags ‘Traditional bulk powder detergent’ as a decline risk... T-03 Concentrated Formats is eroding the value proposition... Portfolio exposure should be actively managed."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"Traditional bulk powder detergent faces compounding structural decline from three converging PRISM forces: T-03 (concentrated formats displacing dilute powders, probability 4/5), G-04 (PPWR mandating packaging reduction from August 2026), and C-06 (cost-of-living squeeze shifting consumers toward per-dose formats that feel more affordable despite higher unit economics).
For Henkel specifically, this hits the Persil powder SKU tail hardest — Henkel’s powder variants are disproportionately represented in discount and value retail where the format transition is slowest. The risk is a two-front margin compression: consumers who stay in powder trade down to PL (C-01: 42% share), while consumers who leave powder trade up to branded pods (partial recapture, but at different shelf placement).
Strategic action: Manage the powder tail-end actively — reduce powder SKU count by 20-30% by 2028, redirect shelf facings to concentrated formats. Do NOT defend powder shelf space at the cost of pod/sheet investment. Accept a managed ~5% volume decline in powder while growing concentrated 15%+ to net positive GP1."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3: AR Shade Finder Tools (Hair → Inspire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C2626"/>
          <w:sz w:val="21"/>
          <w:szCs w:val="21"/>
        </w:rPr>
        <w:t xml:space="preserve">Current text: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9"/>
          <w:szCs w:val="19"/>
        </w:rPr>
        <w:t xml:space="preserve">"Growth opportunity... Primary driver T-07 AI Personalization + T-01 AI creates a tailwind... addressable whitespace for innovation investment."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"AI-powered shade matching (PRISM T-07 + T-01, combined 11% GP1 exposure) is transforming the ‘Inspire’ stage of the hair color journey from an in-store/salon moment into a digital-first experience. For Schwarzkopf, this is both the greatest opportunity and the greatest competitive threat in Hair Color.
The opportunity: Schwarzkopf’s professional salon color heritage gives it unmatched shade accuracy data. A Schwarzkopf shade finder trained on 40+ years of professional colorist data would have a defensible data moat that L’Oréal Modiface (X-07, gp1_pct_affected: 10%) is building from the retail side. The professional-to-consumer credibility transfer is Henkel’s strongest card.
The threat: L’Oréal is investing €1.7B in R&amp;D annually, with Modiface already the benchmark for AR shade try-on. If Schwarzkopf doesn’t launch a competitive shade finder within 18 months, the ‘Inspire’ stage becomes L’Oréal-owned — and consumers who choose their shade on a L’Oréal platform will buy L’Oréal color.
Strategic action: Fast-track Schwarzkopf AI shade finder leveraging Professional color data. Partner with a beauty tech company if internal capabilities are insufficient. The Inspire stage is the top-of-funnel — lose it, and no downstream premiumization matters."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4: Chlorine-Based Pre-Treaters (LHC → Pre-Treating → Contraction)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"EU PFAS universal restriction (G-01, probability 4/5, 12% GP1 exposed) directly eliminates chlorine and PFC-based pre-treatment chemistry from the European market on a phased timeline (2027-2032). RAC adopted its final opinion March 2, 2026; SEAC followed March 10 — the regulatory momentum is now irreversible.
For Henkel, this hits the stain removal portfolio unevenly: Henkel’s enzyme-based pre-treaters (Persil, Sil) are less exposed than PFC-reliant specialty stain removers. This creates an asymmetric competitive advantage — Henkel’s investment in enzyme technology (T-02, bio-based chemistry) means reformulation timelines are 12-18 months shorter than competitors reliant on PFAS chemistry.
Strategic action: Position Henkel as ‘PFAS-free by 2028’ ahead of mandatory timeline. Use T-01 AI-driven formulation to accelerate reformulation. Market the transition as a credibility signal, not a compliance burden."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5: Scalp Care &amp; Barrier Repair (Hair → Remedy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"Scalp care emergence as a standalone category (C-07, probability 4/5, 6% GP1 additive) represents a net-new profit pool for Henkel’s Hair business. Unlike premiumization (C-03), which redistributes existing pool, scalp care creates incremental purchase occasions — consumers add scalp serums and exfoliants to their routine rather than substituting existing products.
For Schwarzkopf, the right-to-win is strong: professional salon scalp expertise, trichological heritage, and clinical positioning all map to the diagnostic-led, science-backed positioning that scalp care consumers demand. Microbiome science (T-04, $875M market, 14.6% CAGR) provides the formulation innovation layer.
The timing pressure comes from DTC brands: K18, Drunk Elephant (scalp), and Ouai have captured early-adopter scalp consumers. Schwarzkopf must launch within 12 months to capture the mass-market crossover window. Google searches for ‘scalp + microbiome’ are up 120% — demand exists, Henkel’s supply doesn’t.
Strategic action: Launch Schwarzkopf Clinical Scalp Care sub-line leveraging Professional expertise. Position between dermatological (La Roche-Posay) and beauty (Ouai) — the ‘clinically-proven but beautifully designed’ mid-point. Test in Germany and US simultaneously."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6: Fabric Refresh Sprays (LHC → Between Washes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"Between-wash fabric care (CJ-01, probability 4/5, 6% GP1 additive) is PRISM’s highest-scoring White Spot at 0.82, confirming this as the #1 strategic gap in Henkel’s consumer journey coverage. Febreze (P&amp;G) is a $1B+ standalone brand in a space where Henkel has zero presence.
The profit pool dynamics are attractive: between-wash products have premium pricing elasticity (consumers pay for convenience and instant gratification), low PL penetration (hard to replicate fragrance complexity), and high repeat purchase frequency. The category grows at 8-10% CAGR, driven by sustainability-conscious consumers reducing wash frequency (‘outfit repeating’) while maintaining freshness standards.
For Henkel, the entry options are: (1) Launch under Vernel as a natural brand extension from fabric softener to fabric refresh, (2) Create a new standalone brand for the between-wash occasion, or (3) Acquire an existing player. PRISM’s recommendation: Option 1, leveraging Vernel’s fragrance expertise and existing shelf adjacency, is the fastest path. Vernel already owns the ‘freshness’ positioning in fabric care — extending to between-wash refresh is a logical Category Entry Point expansion.
Strategic action: Develop Vernel Refresh &amp; Go concentrated spray line. Target dm/Rossmann/Edeka launch Q1 2027. Price at 15-20% premium to Febreze on a per-use basis, justified by concentrated format and premium fragrance. This is the single highest-ROI new product development opportunity in the entire LHC consumer journey."</w:t>
      </w:r>
    </w:p>
    <w:p>
      <w:r>
        <w:br w:type="page"/>
      </w:r>
    </w:p>
    <w:p>
      <w:pPr>
        <w:pStyle w:val="Heading3"/>
      </w:pPr>
      <w:r>
        <w:rPr>
          <w:rFonts w:ascii="Arial" w:cs="Arial" w:eastAsia="Arial" w:hAnsi="Arial"/>
        </w:rPr>
        <w:t xml:space="preserve">Example 7: Hair Loss &amp; Thinning Serums (Hair → Remedy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"Hair loss treatment’s consumer mainstreaming (C-10, probability 4/5, 5% GP1 additive) opens a clinical-grade profit pool adjacent to Schwarzkopf’s professional heritage. The OTC hair loss market at $2.93B growing 7.77% CAGR represents genuine category creation — consumers previously visiting dermatologists now seek retail solutions, destigmatized by social media openness about hair thinning.
Schwarzko​pf’s defensible position: salon professionals are the trusted advisors for hair loss diagnosis. The professional-to-consumer pathway (S-10/K-07, $23.4B market) creates a credibility transfer that DTC brands like Nutrafol and Keeps cannot match. When a Schwarzkopf Professional trichologist endorses a hair loss serum, it carries clinical authority that a TikTok-launched DTC brand does not.
The Silver Economy tailwind (C-05, 25%+ EU population over 65 by 2030) amplifies this: age-related hair thinning is the single largest hair loss segment, and aging consumers trust salon-backed brands over DTC disruptors.
Strategic action: Launch Schwarzkopf Clinical Hair Recovery as a pharmacy-channel-first line in Germany/UK. Position at the intersection of clinical efficacy and salon expertise. Partner with trichology clinics for endorsement. This is a 5-year brand build, not a quick-turn SKU launch."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8: Generic Dandruff Shampoo (Hair → Remedy → Contraction)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"Commoditized dandruff shampoo faces structural erosion from two converging forces: C-03 premiumization (consumers trading up from zinc pyrithione basics to clinical-grade scalp treatments) and C-07 scalp care specialization (reframing dandruff from ‘problem to mask’ to ‘scalp health ecosystem’).
For Henkel, this creates a double-edged dynamic: Schauma Anti-Dandruff (value tier) loses relevance as consumers either trade down to PL zinc shampoos or trade up to premium scalp care regimens. The middle disappears. P&amp;G’s Head &amp; Shoulders already repositioned toward ‘microbiome balance’ messaging (front-of-pack), demonstrating the speed at which the category definition is shifting.
Strategic action: Sunset Schauma anti-dandruff SKU investment and redirect to Schwarzkopf scalp care launch (see Remedy expansion). Do not defend a commoditizing segment with a value-tier brand — the margin destruction is not recoverable."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9: Auto-Dosing Machine Ecosystems (LHC → Select Wash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"Connected appliance auto-dosing (T-08, probability 3/5, 5% GP1) is the most strategically transformative trend in the entire LHC consumer journey because it shifts the locus of the product decision from consumer choice to machine algorithm. When a smart washer auto-doses detergent from a cartridge, the consumer no longer ‘adds products’ — the machine does.
Henkel has a first-mover advantage: Smartwash, launched at CES 2025, is an AI-enabled cartridge-based dosing system for washers and dishwashers. The smart connected washing machine market at $9.8B (2024) growing to $34.6B by 2033 at 14.3% CAGR means the installed base of auto-dosing machines will reach 25-30% of European households by 2030.
The profit pool implication is binary: brands that integrate into dosing platforms capture recurring cartridge revenue with near-zero switching costs. Brands that don’t are excluded from ~25% of future wash occasions entirely. This is the razor/blade model coming to laundry.
Strategic action: Invest disproportionately in Smartwash platform partnerships with Bosch-Siemens, Miele, Samsung, LG. The Select Wash Settings stage is where the platform lock-in happens — by the time the consumer reaches ‘Add Products,’ the decision is already made."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10: Subscription Care Services (Hair → Maintain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"Subscription models (K-06/S-05, combined 5% GP1) in Hair maintenance represent a fundamental shift from transactional to recurring revenue. For Henkel, this matters because Hair Care and Color have natural replenishment cycles (6-8 weeks for color, 4-6 weeks for treatment) that are ideally suited to subscription lock-in.
The competitive threat: Amazon Subscribe &amp; Save already captures habitual Hair care replenishment at lower margins. DTC brands (Function of Beauty, Prose) use subscriptions as their primary business model with 40-60% retention rates. Henkel’s current DTC capability is underdeveloped relative to competitors.
The opportunity: Schwarzkopf’s professional heritage enables a premium subscription model — ‘your personalized color and care regimen, refreshed every 6 weeks.’ The diagnostic data from AI hair profiling (T-07) feeds directly into subscription personalization.
Strategic action: Launch Schwarzkopf My Regimen subscription (color + care + treat) in Germany and UK. Integrate with AI diagnostic for personalized refill cadence. Target 500K subscribers within 24 months. Revenue per subscriber: 3-4x annual value of transactional buyer."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11: Permanent &amp; Demi-Permanent Color (Hair → Transform → Expansion)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"Premiumization in hair color (C-03, probability 5/5, 18% GP1) is the single most valuable expansion trend for Henkel’s Hair business. Global premium hair care growing at 2-3x mass market rate directly benefits Schwarzkopf’s Color portfolio, which is the profit anchor of HCB.
The mechanism is skinification — consumers applying skincare logic (ingredient consciousness, multi-step routines, clinical-grade expectation) to hair color. This shifts the purchase decision from ‘shade selection’ to ‘treatment selection with a shade benefit.’ Bond repair (Olaplex proved the model), cuticle science, and gentle oxidation technology become the differentiators.
Henkel’s right-to-win: Schwarzkopf is the only major consumer brand with genuine salon color heritage across both professional AND retail channels. The salon-to-consumer credibility transfer (K-07, $23.4B market, 63% B2C share) is Henkel’s most defensible moat in Hair. No other consumer brand can credibly claim ‘salon color science at home.’
Gray coverage (C-05, Silver Economy) is the #1 Category Entry Point in hair color, growing as 25%+ of EU population passes 65. Schwarzkopf’s Color Expert and Keratin Color lines are well-positioned but under-invested relative to L’Oréal Excellence.
Strategic action: Increase Color portfolio investment by 20%, focused on premiumization ladder: Good (Schauma Color) → Better (Palette) → Best (Schwarzkopf Color Expert) → Prestige (Schwarzkopf Professional @Home). Each tier must have a clear ingredient and performance story."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pStyle w:val="Heading3"/>
      </w:pPr>
      <w:r>
        <w:rPr>
          <w:rFonts w:ascii="Arial" w:cs="Arial" w:eastAsia="Arial" w:hAnsi="Arial"/>
        </w:rPr>
        <w:t xml:space="preserve">Example 12: Hot-Wash Detergent Formulas (LHC → Washing Cycle → Contraction)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16A34A"/>
          <w:sz w:val="21"/>
          <w:szCs w:val="21"/>
        </w:rPr>
        <w:t xml:space="preserve">Recommended rewrite:</w:t>
      </w:r>
    </w:p>
    <w:p>
      <w:pPr>
        <w:spacing w:after="120" w:before="0"/>
      </w:pPr>
      <w:r>
        <w:rPr>
          <w:rFonts w:ascii="Arial" w:cs="Arial" w:eastAsia="Arial" w:hAnsi="Arial"/>
          <w:i w:val="false"/>
          <w:iCs w:val="false"/>
          <w:color w:val="374151"/>
          <w:sz w:val="19"/>
          <w:szCs w:val="19"/>
        </w:rPr>
        <w:t xml:space="preserve">"Hot-wash detergent formulations face compounding decline from three intersecting forces: T-01 AI-driven cold-wash enzyme optimization (enzymes now effective at 20°C), E-07 European energy costs at 2-3x US levels driving consumer behavior toward cold cycles, and E-02 water scarcity consciousness increasing low-temperature wash preference.
For Henkel, this is strategically aligned: Persil’s cold-wash enzyme platform (leveraging Novozymes/dsm-firmenich partnerships) is the LHC proof point for bio-based chemistry (T-02). The company’s investment in 20°C efficacy means Henkel can proactively accelerate the transition rather than defend the declining hot-wash segment.
The competitive advantage is asymmetric: P&amp;G’s Ariel also has cold-wash capability, but Henkel’s enzyme platform collaboration is deeper. Private Label lacks the enzyme R&amp;D to match cold-wash performance at low temperatures, creating a genuine superiority gap.
Strategic action: Reformulate remaining hot-wash-optimized Persil variants to cold-wash enzyme formulas by 2028. Market the transition as ‘same clean at 20°C’ — a sustainability AND cost-saving message that resonates with C-06 cost-of-living-pressured consumers. The cold-wash transition is the rare convergence where regulatory compliance (G-01, G-02), consumer demand (C-06, E-02), and Henkel competitive advantage (T-01, T-02) all align."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7. Implementation Blueprint</w:t>
      </w:r>
    </w:p>
    <w:p>
      <w:pPr>
        <w:pStyle w:val="Heading2"/>
      </w:pPr>
      <w:r>
        <w:rPr>
          <w:rFonts w:ascii="Arial" w:cs="Arial" w:eastAsia="Arial" w:hAnsi="Arial"/>
        </w:rPr>
        <w:t xml:space="preserve">7.1 Priority Actions (Immediate)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Fix toggle label </w:t>
      </w:r>
      <w:r>
        <w:rPr>
          <w:rFonts w:ascii="Arial" w:cs="Arial" w:eastAsia="Arial" w:hAnsi="Arial"/>
          <w:sz w:val="21"/>
          <w:szCs w:val="21"/>
        </w:rPr>
        <w:t xml:space="preserve">(5 minutes): Change line 646 from 'Beauty' to 'Hair'. One character change.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CRITICAL missing elements </w:t>
      </w:r>
      <w:r>
        <w:rPr>
          <w:rFonts w:ascii="Arial" w:cs="Arial" w:eastAsia="Arial" w:hAnsi="Arial"/>
          <w:sz w:val="21"/>
          <w:szCs w:val="21"/>
        </w:rPr>
        <w:t xml:space="preserve">(1-2 hours): C-01 (Private Label) and C-06 (Cost-of-Living) as contraction items in Add Products (LHC) and Transform (Hair). These are the two highest-impact trends missing from the journey.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Add HIGH-priority missing elements </w:t>
      </w:r>
      <w:r>
        <w:rPr>
          <w:rFonts w:ascii="Arial" w:cs="Arial" w:eastAsia="Arial" w:hAnsi="Arial"/>
          <w:sz w:val="21"/>
          <w:szCs w:val="21"/>
        </w:rPr>
        <w:t xml:space="preserve">(2-3 hours): K-01, K-03, M-01, G-08, X-01, X-02 as identified in Sections 2-3.</w:t>
      </w:r>
    </w:p>
    <w:p>
      <w:pPr>
        <w:pStyle w:val="Heading2"/>
      </w:pPr>
      <w:r>
        <w:rPr>
          <w:rFonts w:ascii="Arial" w:cs="Arial" w:eastAsia="Arial" w:hAnsi="Arial"/>
        </w:rPr>
        <w:t xml:space="preserve">7.2 PRISM Analysis Rewrite (1-2 weeks)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generatePrismAnalysis() function should be replaced with a data-driven approach: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Option A (Recommended):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Create a PRISM_ANALYSIS_TEXT lookup object keyed by product name + direction, containing hand-written Henkel-specific analysis for each of the ~150 product entries. This is the highest-quality approach but requires ~40 hours of expert writing.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Option B (Faster):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Create a template system with Henkel-specific variables (brand name, competitive position, right-to-win, trend mechanism) that generates more specific text. Lower quality than hand-written but achievable in ~8 hours.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Option C (AI-assisted):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Use the LLM provider (Claude/Azure OpenAI) to generate Henkel-specific analysis on-demand, with a structured prompt including the product, stage, direction, trend data, and Henkel context. Requires AI layer (Phase 3) but produces the most dynamic results.</w:t>
      </w:r>
    </w:p>
    <w:p>
      <w:pPr>
        <w:pStyle w:val="Heading2"/>
      </w:pPr>
      <w:r>
        <w:rPr>
          <w:rFonts w:ascii="Arial" w:cs="Arial" w:eastAsia="Arial" w:hAnsi="Arial"/>
        </w:rPr>
        <w:t xml:space="preserve">7.3 Quality Assurance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Before presenting to ExCo, verify: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element with intensity 3 maps to a PRISM trend with gp1_pct_affected &gt;= 0.08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Every stage has at least one element from each of the 6 PRISM forces that logically maps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No stage has more than 10 expansion or 7 contraction items (visual overload threshold)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PRISM analysis text mentions at least one Henkel brand name per entry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All trend codes (T-01, C-03, etc.) link correctly to the Trends dashboard view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8. Appendix: Complete Trend-to-Journey-Stage Mapping Matrix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The following table maps all 55 PRISM trends to their primary consumer journey stage impact. ‘Primary’ = the stage where the trend has maximum consumer-facing impact; ‘Secondary’ = additional stages affected.</w:t>
      </w:r>
    </w:p>
    <w:p>
      <w:pPr>
        <w:spacing w:after="120"/>
      </w:pPr>
      <w:r>
        <w:rPr>
          <w:rFonts w:ascii="Arial" w:cs="Arial" w:eastAsia="Arial" w:hAnsi="Arial"/>
          <w:color w:val="374151"/>
          <w:sz w:val="21"/>
          <w:szCs w:val="21"/>
        </w:rPr>
        <w:t xml:space="preserve">This mapping was constructed by analyzing each trend’s mechanism of action (how it affects the consumer, not just the supply chain) and determining where in the 13-stage LHC journey and 8-stage Hair journey the impact materializes. Supply-side-only trends (E-01 Palm Oil, E-03 Carbon Border, G-06 EUDR) are marked ‘N/A’ as they do not directly manifest in the consumer journey.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74151"/>
          <w:sz w:val="21"/>
          <w:szCs w:val="21"/>
        </w:rPr>
        <w:t xml:space="preserve">Key insight: </w:t>
      </w:r>
      <w:r>
        <w:rPr>
          <w:rFonts w:ascii="Arial" w:cs="Arial" w:eastAsia="Arial" w:hAnsi="Arial"/>
          <w:color w:val="374151"/>
          <w:sz w:val="21"/>
          <w:szCs w:val="21"/>
        </w:rPr>
        <w:t xml:space="preserve">Consumer and Customer force trends cluster in stages 4-5 (Add Products, Select Wash) for LHC and stages 1, 5, 7 (Inspire, Transform, Maintain) for Hair. Technology trends spread across stages 1-6 and 10-13, confirming the PRISM Blueprint finding that tech trends are pulling profit away from product brands toward platforms and devices. Government trends concentrate in stages 2-4 (Pre-Treating through Add Products), which is Henkel’s fortress — meaning regulatory pressure hits Henkel’s strongest profit pools hardest.</w:t>
      </w:r>
    </w:p>
    <w:p>
      <w:pPr>
        <w:pBdr>
          <w:bottom w:val="single" w:color="4F46E5" w:sz="3"/>
        </w:pBdr>
        <w:spacing w:after="200" w:before="200"/>
      </w:pPr>
      <w:r>
        <w:rPr>
          <w:sz w:val="4"/>
          <w:szCs w:val="4"/>
        </w:rPr>
        <w:t xml:space="preserve"> 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Report prepared by PRISM Strategy Engine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DC2626"/>
          <w:sz w:val="18"/>
          <w:szCs w:val="18"/>
        </w:rPr>
        <w:t xml:space="preserve">Classification: CONFIDENTIAL — For CEO, Strategy VP, Category Leads, Data/Analytics only</w:t>
      </w:r>
    </w:p>
    <w:p>
      <w:pPr>
        <w:spacing w:after="120" w:before="0"/>
      </w:pPr>
      <w:r>
        <w:rPr>
          <w:rFonts w:ascii="Arial" w:cs="Arial" w:eastAsia="Arial" w:hAnsi="Arial"/>
          <w:i/>
          <w:iCs/>
          <w:color w:val="6B7280"/>
          <w:sz w:val="18"/>
          <w:szCs w:val="18"/>
        </w:rPr>
        <w:t xml:space="preserve">Next step: Implement priority actions (Section 7.1) and schedule PRISM analysis rewrite sprint.</w:t>
      </w:r>
    </w:p>
    <w:sectPr>
      <w:headerReference w:type="default" r:id="rId7"/>
      <w:footerReference w:type="default" r:id="rId8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B7280"/>
        <w:sz w:val="16"/>
        <w:szCs w:val="16"/>
      </w:rPr>
      <w:t xml:space="preserve">Page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B7280"/>
        <w:sz w:val="16"/>
        <w:szCs w:val="16"/>
      </w:rPr>
      <w:t xml:space="preserve">PRISM Consumer Journey Dashboard Review</w:t>
    </w:r>
    <w:r>
      <w:rPr>
        <w:rFonts w:ascii="Arial" w:cs="Arial" w:eastAsia="Arial" w:hAnsi="Arial"/>
        <w:color w:val="E5E7EB"/>
        <w:sz w:val="16"/>
        <w:szCs w:val="16"/>
      </w:rPr>
      <w:t xml:space="preserve">  |  </w:t>
    </w:r>
    <w:r>
      <w:rPr>
        <w:rFonts w:ascii="Arial" w:cs="Arial" w:eastAsia="Arial" w:hAnsi="Arial"/>
        <w:b/>
        <w:bCs/>
        <w:color w:val="DC2626"/>
        <w:sz w:val="16"/>
        <w:szCs w:val="16"/>
      </w:rPr>
      <w:t xml:space="preserve">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4F46E5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74151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2026-04-09T08:48:42.386Z</dcterms:created>
  <dcterms:modified xsi:type="dcterms:W3CDTF">2026-04-09T08:48:42.387Z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