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B2545"/>
          <w:sz w:val="72"/>
          <w:szCs w:val="72"/>
        </w:rPr>
        <w:t xml:space="preserve">PRISM v2.3</w:t>
      </w:r>
    </w:p>
    <w:p>
      <w:pPr>
        <w:spacing w:after="120"/>
        <w:jc w:val="center"/>
      </w:pPr>
      <w:r>
        <w:rPr>
          <w:rFonts w:ascii="Calibri" w:cs="Calibri" w:eastAsia="Calibri" w:hAnsi="Calibri"/>
          <w:color w:val="13315C"/>
          <w:sz w:val="32"/>
          <w:szCs w:val="32"/>
        </w:rPr>
        <w:t xml:space="preserve">Profit Pool Risk &amp; Intelligence Simulation Model</w:t>
      </w:r>
    </w:p>
    <w:p>
      <w:pPr>
        <w:spacing w:after="600"/>
        <w:jc w:val="center"/>
      </w:pPr>
      <w:r>
        <w:rPr>
          <w:rFonts w:ascii="Calibri" w:cs="Calibri" w:eastAsia="Calibri" w:hAnsi="Calibri"/>
          <w:i/>
          <w:iCs/>
          <w:color w:val="555555"/>
          <w:sz w:val="28"/>
          <w:szCs w:val="28"/>
        </w:rPr>
        <w:t xml:space="preserve">Independent Partner Review</w:t>
      </w:r>
    </w:p>
    <w:p>
      <w:pPr>
        <w:spacing w:after="80"/>
        <w:jc w:val="center"/>
      </w:pPr>
      <w:r>
        <w:rPr>
          <w:rFonts w:ascii="Calibri" w:cs="Calibri" w:eastAsia="Calibri" w:hAnsi="Calibri"/>
          <w:color w:val="555555"/>
          <w:sz w:val="22"/>
          <w:szCs w:val="22"/>
        </w:rPr>
        <w:t xml:space="preserve">Prepared for</w:t>
      </w:r>
    </w:p>
    <w:p>
      <w:pPr>
        <w:spacing w:after="480"/>
        <w:jc w:val="center"/>
      </w:pPr>
      <w:r>
        <w:rPr>
          <w:rFonts w:ascii="Calibri" w:cs="Calibri" w:eastAsia="Calibri" w:hAnsi="Calibri"/>
          <w:b/>
          <w:bCs/>
          <w:sz w:val="26"/>
          <w:szCs w:val="26"/>
        </w:rPr>
        <w:t xml:space="preserve">The Chief Executive Officer, Henkel AG &amp; Co. KGaA</w:t>
      </w:r>
    </w:p>
    <w:p>
      <w:pPr>
        <w:spacing w:after="80"/>
        <w:jc w:val="center"/>
      </w:pPr>
      <w:r>
        <w:rPr>
          <w:rFonts w:ascii="Calibri" w:cs="Calibri" w:eastAsia="Calibri" w:hAnsi="Calibri"/>
          <w:color w:val="555555"/>
          <w:sz w:val="22"/>
          <w:szCs w:val="22"/>
        </w:rPr>
        <w:t xml:space="preserve">Joint Review Panel</w:t>
      </w:r>
    </w:p>
    <w:p>
      <w:pPr>
        <w:spacing w:after="80"/>
        <w:jc w:val="center"/>
      </w:pPr>
      <w:r>
        <w:rPr>
          <w:rFonts w:ascii="Calibri" w:cs="Calibri" w:eastAsia="Calibri" w:hAnsi="Calibri"/>
          <w:sz w:val="22"/>
          <w:szCs w:val="22"/>
        </w:rPr>
        <w:t xml:space="preserve">Bain &amp; Company — Senior Partner, Consumer Products (Chair)</w:t>
      </w:r>
    </w:p>
    <w:p>
      <w:pPr>
        <w:spacing w:after="80"/>
        <w:jc w:val="center"/>
      </w:pPr>
      <w:r>
        <w:rPr>
          <w:rFonts w:ascii="Calibri" w:cs="Calibri" w:eastAsia="Calibri" w:hAnsi="Calibri"/>
          <w:sz w:val="22"/>
          <w:szCs w:val="22"/>
        </w:rPr>
        <w:t xml:space="preserve">Apple Inc. — SVP, Software Engineering &amp; Human Interface Design</w:t>
      </w:r>
    </w:p>
    <w:p>
      <w:pPr>
        <w:spacing w:after="600"/>
        <w:jc w:val="center"/>
      </w:pPr>
      <w:r>
        <w:rPr>
          <w:rFonts w:ascii="Calibri" w:cs="Calibri" w:eastAsia="Calibri" w:hAnsi="Calibri"/>
          <w:sz w:val="22"/>
          <w:szCs w:val="22"/>
        </w:rPr>
        <w:t xml:space="preserve">Goldman Sachs — Managing Director, Strategic Analytics &amp; Investment Modeling</w:t>
      </w:r>
    </w:p>
    <w:p>
      <w:pPr>
        <w:jc w:val="center"/>
      </w:pPr>
      <w:r>
        <w:rPr>
          <w:rFonts w:ascii="Calibri" w:cs="Calibri" w:eastAsia="Calibri" w:hAnsi="Calibri"/>
          <w:i/>
          <w:iCs/>
          <w:color w:val="777777"/>
          <w:sz w:val="20"/>
          <w:szCs w:val="20"/>
        </w:rPr>
        <w:t xml:space="preserve">10 April 2026  •  Confidential — Board-Level Material</w:t>
      </w:r>
    </w:p>
    <w:p>
      <w:pPr>
        <w:pStyle w:val="Heading1"/>
        <w:pageBreakBefore/>
        <w:spacing w:after="200" w:before="360"/>
      </w:pPr>
      <w:r>
        <w:rPr>
          <w:rFonts w:ascii="Calibri" w:cs="Calibri" w:eastAsia="Calibri" w:hAnsi="Calibri"/>
          <w:b/>
          <w:bCs/>
          <w:color w:val="0B2545"/>
          <w:sz w:val="36"/>
          <w:szCs w:val="36"/>
        </w:rPr>
        <w:t xml:space="preserve">1. Executive Summary</w:t>
      </w:r>
    </w:p>
    <w:p>
      <w:pPr>
        <w:spacing w:after="120" w:line="300"/>
        <w:jc w:val="both"/>
      </w:pPr>
      <w:r>
        <w:rPr>
          <w:rFonts w:ascii="Calibri" w:cs="Calibri" w:eastAsia="Calibri" w:hAnsi="Calibri"/>
          <w:sz w:val="22"/>
          <w:szCs w:val="22"/>
        </w:rPr>
        <w:t xml:space="preserve">PRISM represents an ambitious and, in its conception, genuinely state-of-the-art attempt to convert a static Excel-based force assessment (V12) into a probabilistic, causally structured, AI-augmented profit-pool simulation platform. The intellectual architecture described in the v2.3 specification — Bayesian hierarchical priors, copula-based tail dependence, a causal DAG with lag structure, game-theoretic competitive response, resource-allocation optimization, Delphi elicitation, and a war-room UX — is, in the abstract, of the quality we would expect from a QuantumBlack or GAMMA engagement. The vision is defensible to a DAX-40 board.</w:t>
      </w:r>
    </w:p>
    <w:p>
      <w:pPr>
        <w:spacing w:after="120" w:line="300"/>
        <w:jc w:val="both"/>
      </w:pPr>
      <w:r>
        <w:rPr>
          <w:rFonts w:ascii="Calibri" w:cs="Calibri" w:eastAsia="Calibri" w:hAnsi="Calibri"/>
          <w:sz w:val="22"/>
          <w:szCs w:val="22"/>
        </w:rPr>
        <w:t xml:space="preserve">The implementation, however, is materially behind the specification. Our three teams independently traced the code, model mechanics, and UX against claude.md §3 and §6. We found that several of the load-bearing components that differentiate PRISM from a more conventional Monte-Carlo tool are either absent, stubbed, or implemented in a reduced form that does not deliver the capability the specification promises. The headline gaps are: (i) the Causal DAG module specified in §3.3 does not exist as a code artifact and has been replaced by a flat force-level correlation matrix; (ii) the backtesting engine is a stub — two of its core methods raise NotImplementedError; (iii) the game-theory / competitive-response layer appears to be absent from the pulse package; (iv) the R̂ convergence diagnostic is a two-half proxy rather than a genuine multi-chain Gelman-Rubin statistic; and (v) the allocation optimizer's covariance matrix is hard-coded rather than derived from the Monte-Carlo output it claims to consume.</w:t>
      </w:r>
    </w:p>
    <w:p>
      <w:pPr>
        <w:spacing w:after="120" w:line="300"/>
        <w:jc w:val="both"/>
      </w:pPr>
      <w:r>
        <w:rPr>
          <w:rFonts w:ascii="Calibri" w:cs="Calibri" w:eastAsia="Calibri" w:hAnsi="Calibri"/>
          <w:sz w:val="22"/>
          <w:szCs w:val="22"/>
        </w:rPr>
        <w:t xml:space="preserve">None of these gaps are fatal. Each has a well-understood remedy and most can be closed inside an eight- to twelve-week hardening sprint. But in their current state they mean that PRISM's outputs — the Shift Matrix, the causal decomposition, and the allocation recommendations — rest on weaker statistical foundations than the specification, the dashboard narrative, or the CEO-briefing deck currently claim. That is the central risk the Panel wants the CEO to understand before PRISM is used in a budget or ExCo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FF4E5" w:val="clear"/>
            <w:tcMar>
              <w:top w:type="dxa" w:w="160"/>
              <w:left w:type="dxa" w:w="200"/>
              <w:bottom w:type="dxa" w:w="160"/>
              <w:right w:type="dxa" w:w="200"/>
            </w:tcMar>
          </w:tcPr>
          <w:p>
            <w:r>
              <w:rPr>
                <w:rFonts w:ascii="Calibri" w:cs="Calibri" w:eastAsia="Calibri" w:hAnsi="Calibri"/>
                <w:b/>
                <w:bCs/>
                <w:color w:val="0B2545"/>
                <w:sz w:val="24"/>
                <w:szCs w:val="24"/>
              </w:rPr>
              <w:t xml:space="preserve">Panel verdict in one sentence</w:t>
            </w:r>
          </w:p>
          <w:p>
            <w:pPr>
              <w:spacing w:before="80"/>
            </w:pPr>
            <w:r>
              <w:rPr>
                <w:rFonts w:ascii="Calibri" w:cs="Calibri" w:eastAsia="Calibri" w:hAnsi="Calibri"/>
                <w:sz w:val="22"/>
                <w:szCs w:val="22"/>
              </w:rPr>
              <w:t xml:space="preserve">PRISM is a credible, well-conceived platform whose current implementation should not yet be trusted to drive committed financial decisions, but which can — with focused remediation — become the state-of-the-art strategic instrument its specification promises within one planning cycle.</w:t>
            </w:r>
          </w:p>
        </w:tc>
      </w:tr>
    </w:tbl>
    <w:p>
      <w:pPr>
        <w:pStyle w:val="Heading2"/>
        <w:spacing w:after="140" w:before="280"/>
      </w:pPr>
      <w:r>
        <w:rPr>
          <w:rFonts w:ascii="Calibri" w:cs="Calibri" w:eastAsia="Calibri" w:hAnsi="Calibri"/>
          <w:b/>
          <w:bCs/>
          <w:color w:val="13315C"/>
          <w:sz w:val="28"/>
          <w:szCs w:val="28"/>
        </w:rPr>
        <w:t xml:space="preserve">1.1 Verdict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60"/>
        <w:gridCol w:w="6000"/>
      </w:tblGrid>
      <w:tr>
        <w:trPr>
          <w:tblHeader/>
        </w:trPr>
        <w:tc>
          <w:tcPr>
            <w:tcW w:type="dxa" w:w="21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Dimension</w:t>
            </w:r>
          </w:p>
        </w:tc>
        <w:tc>
          <w:tcPr>
            <w:tcW w:type="dxa" w:w="126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Rating</w:t>
            </w:r>
          </w:p>
        </w:tc>
        <w:tc>
          <w:tcPr>
            <w:tcW w:type="dxa" w:w="60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Summary</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Strategic concept</w:t>
            </w:r>
          </w:p>
        </w:tc>
        <w:tc>
          <w:tcPr>
            <w:tcW w:type="dxa" w:w="1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Strong</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Correct problem framing; right level of ambition; sound design principles.</w:t>
            </w:r>
          </w:p>
        </w:tc>
      </w:tr>
      <w:tr>
        <w:tc>
          <w:tcPr>
            <w:tcW w:type="dxa" w:w="2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Model architecture</w:t>
            </w:r>
          </w:p>
        </w:tc>
        <w:tc>
          <w:tcPr>
            <w:tcW w:type="dxa" w:w="1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Adequate</w:t>
            </w:r>
          </w:p>
        </w:tc>
        <w:tc>
          <w:tcPr>
            <w:tcW w:type="dxa" w:w="6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Bayesian-copula core is sound; causal layer collapsed to correlation; convergence proxies weak.</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Code quality</w:t>
            </w:r>
          </w:p>
        </w:tc>
        <w:tc>
          <w:tcPr>
            <w:tcW w:type="dxa" w:w="1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Mixed</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Clean vectorization in hot path; multiple stubs, scipy re-implementations, inconsistent abstractions.</w:t>
            </w:r>
          </w:p>
        </w:tc>
      </w:tr>
      <w:tr>
        <w:tc>
          <w:tcPr>
            <w:tcW w:type="dxa" w:w="2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Statistical rigor</w:t>
            </w:r>
          </w:p>
        </w:tc>
        <w:tc>
          <w:tcPr>
            <w:tcW w:type="dxa" w:w="1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Needs work</w:t>
            </w:r>
          </w:p>
        </w:tc>
        <w:tc>
          <w:tcPr>
            <w:tcW w:type="dxa" w:w="6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 ESS, and backtesting not delivered as specified; calibration claims unsupported.</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Design &amp; UX</w:t>
            </w:r>
          </w:p>
        </w:tc>
        <w:tc>
          <w:tcPr>
            <w:tcW w:type="dxa" w:w="1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Promising</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War-room concept is right; Apple-grade fit-and-finish still aspirational.</w:t>
            </w:r>
          </w:p>
        </w:tc>
      </w:tr>
      <w:tr>
        <w:tc>
          <w:tcPr>
            <w:tcW w:type="dxa" w:w="2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Governance &amp; embedding</w:t>
            </w:r>
          </w:p>
        </w:tc>
        <w:tc>
          <w:tcPr>
            <w:tcW w:type="dxa" w:w="1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Strong on paper</w:t>
            </w:r>
          </w:p>
        </w:tc>
        <w:tc>
          <w:tcPr>
            <w:tcW w:type="dxa" w:w="6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RACI and planning-cycle integration well-designed; adoption dependencies unproven.</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Fit-for-CEO use</w:t>
            </w:r>
          </w:p>
        </w:tc>
        <w:tc>
          <w:tcPr>
            <w:tcW w:type="dxa" w:w="1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Not yet</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Safe for strategy-team exploration; not yet safe as the single lens for capital allocation.</w:t>
            </w:r>
          </w:p>
        </w:tc>
      </w:tr>
    </w:tbl>
    <w:p>
      <w:pPr>
        <w:pStyle w:val="Heading2"/>
        <w:spacing w:after="140" w:before="280"/>
      </w:pPr>
      <w:r>
        <w:rPr>
          <w:rFonts w:ascii="Calibri" w:cs="Calibri" w:eastAsia="Calibri" w:hAnsi="Calibri"/>
          <w:b/>
          <w:bCs/>
          <w:color w:val="13315C"/>
          <w:sz w:val="28"/>
          <w:szCs w:val="28"/>
        </w:rPr>
        <w:t xml:space="preserve">1.2 The ten findings the CEO should know</w:t>
      </w:r>
    </w:p>
    <w:p>
      <w:pPr>
        <w:pStyle w:val="ListParagraph"/>
        <w:numPr>
          <w:ilvl w:val="0"/>
          <w:numId w:val="2"/>
        </w:numPr>
        <w:spacing w:after="80" w:line="290"/>
      </w:pPr>
      <w:r>
        <w:rPr>
          <w:rFonts w:ascii="Calibri" w:cs="Calibri" w:eastAsia="Calibri" w:hAnsi="Calibri"/>
          <w:sz w:val="22"/>
          <w:szCs w:val="22"/>
        </w:rPr>
        <w:t xml:space="preserve">The Causal DAG module (pulse/causal/) does not exist in the codebase. It has been silently replaced by a 6×6 force-level correlation matrix, which is a dependency structure, not a causal model.</w:t>
      </w:r>
    </w:p>
    <w:p>
      <w:pPr>
        <w:pStyle w:val="ListParagraph"/>
        <w:numPr>
          <w:ilvl w:val="0"/>
          <w:numId w:val="2"/>
        </w:numPr>
        <w:spacing w:after="80" w:line="290"/>
      </w:pPr>
      <w:r>
        <w:rPr>
          <w:rFonts w:ascii="Calibri" w:cs="Calibri" w:eastAsia="Calibri" w:hAnsi="Calibri"/>
          <w:sz w:val="22"/>
          <w:szCs w:val="22"/>
        </w:rPr>
        <w:t xml:space="preserve">The backtesting engine's two core methods raise NotImplementedError. The "73% historical accuracy" narrative shown on the war-room headline KPI is therefore unsupported by the code.</w:t>
      </w:r>
    </w:p>
    <w:p>
      <w:pPr>
        <w:pStyle w:val="ListParagraph"/>
        <w:numPr>
          <w:ilvl w:val="0"/>
          <w:numId w:val="2"/>
        </w:numPr>
        <w:spacing w:after="80" w:line="290"/>
      </w:pPr>
      <w:r>
        <w:rPr>
          <w:rFonts w:ascii="Calibri" w:cs="Calibri" w:eastAsia="Calibri" w:hAnsi="Calibri"/>
          <w:sz w:val="22"/>
          <w:szCs w:val="22"/>
        </w:rPr>
        <w:t xml:space="preserve">No game-theory / competitive-response module was found in the pulse package. Competitive dynamics are currently narrative only.</w:t>
      </w:r>
    </w:p>
    <w:p>
      <w:pPr>
        <w:pStyle w:val="ListParagraph"/>
        <w:numPr>
          <w:ilvl w:val="0"/>
          <w:numId w:val="2"/>
        </w:numPr>
        <w:spacing w:after="80" w:line="290"/>
      </w:pPr>
      <w:r>
        <w:rPr>
          <w:rFonts w:ascii="Calibri" w:cs="Calibri" w:eastAsia="Calibri" w:hAnsi="Calibri"/>
          <w:sz w:val="22"/>
          <w:szCs w:val="22"/>
        </w:rPr>
        <w:t xml:space="preserve">The R̂ convergence statistic is a two-half proxy on one chain, not a multi-chain Gelman-Rubin. The ESS estimate uses lag-1 autocorrelation only.</w:t>
      </w:r>
    </w:p>
    <w:p>
      <w:pPr>
        <w:pStyle w:val="ListParagraph"/>
        <w:numPr>
          <w:ilvl w:val="0"/>
          <w:numId w:val="2"/>
        </w:numPr>
        <w:spacing w:after="80" w:line="290"/>
      </w:pPr>
      <w:r>
        <w:rPr>
          <w:rFonts w:ascii="Calibri" w:cs="Calibri" w:eastAsia="Calibri" w:hAnsi="Calibri"/>
          <w:sz w:val="22"/>
          <w:szCs w:val="22"/>
        </w:rPr>
        <w:t xml:space="preserve">The allocation optimizer's covariance matrix is hard-coded at ρ=0.3 within business unit and ρ=0.1 across, rather than being computed from the Monte-Carlo samples the optimizer takes as input.</w:t>
      </w:r>
    </w:p>
    <w:p>
      <w:pPr>
        <w:pStyle w:val="ListParagraph"/>
        <w:numPr>
          <w:ilvl w:val="0"/>
          <w:numId w:val="2"/>
        </w:numPr>
        <w:spacing w:after="80" w:line="290"/>
      </w:pPr>
      <w:r>
        <w:rPr>
          <w:rFonts w:ascii="Calibri" w:cs="Calibri" w:eastAsia="Calibri" w:hAnsi="Calibri"/>
          <w:sz w:val="22"/>
          <w:szCs w:val="22"/>
        </w:rPr>
        <w:t xml:space="preserve">The all-same-sign transform in the optimizer shifts the expected-return vector but not the covariance, producing an internally inconsistent utility function.</w:t>
      </w:r>
    </w:p>
    <w:p>
      <w:pPr>
        <w:pStyle w:val="ListParagraph"/>
        <w:numPr>
          <w:ilvl w:val="0"/>
          <w:numId w:val="2"/>
        </w:numPr>
        <w:spacing w:after="80" w:line="290"/>
      </w:pPr>
      <w:r>
        <w:rPr>
          <w:rFonts w:ascii="Calibri" w:cs="Calibri" w:eastAsia="Calibri" w:hAnsi="Calibri"/>
          <w:sz w:val="22"/>
          <w:szCs w:val="22"/>
        </w:rPr>
        <w:t xml:space="preserve">The causal_decomposition field returned to the UI is a scaled deterministic re-computation, not a true per-path decomposition. It will not move when DAG edges are updated because there are no DAG edges.</w:t>
      </w:r>
    </w:p>
    <w:p>
      <w:pPr>
        <w:pStyle w:val="ListParagraph"/>
        <w:numPr>
          <w:ilvl w:val="0"/>
          <w:numId w:val="2"/>
        </w:numPr>
        <w:spacing w:after="80" w:line="290"/>
      </w:pPr>
      <w:r>
        <w:rPr>
          <w:rFonts w:ascii="Calibri" w:cs="Calibri" w:eastAsia="Calibri" w:hAnsi="Calibri"/>
          <w:sz w:val="22"/>
          <w:szCs w:val="22"/>
        </w:rPr>
        <w:t xml:space="preserve">Scipy functions are re-implemented in _scipy_compat.py, which is a correctness and supply-chain risk in a model that will drive allocation decisions.</w:t>
      </w:r>
    </w:p>
    <w:p>
      <w:pPr>
        <w:pStyle w:val="ListParagraph"/>
        <w:numPr>
          <w:ilvl w:val="0"/>
          <w:numId w:val="2"/>
        </w:numPr>
        <w:spacing w:after="80" w:line="290"/>
      </w:pPr>
      <w:r>
        <w:rPr>
          <w:rFonts w:ascii="Calibri" w:cs="Calibri" w:eastAsia="Calibri" w:hAnsi="Calibri"/>
          <w:sz w:val="22"/>
          <w:szCs w:val="22"/>
        </w:rPr>
        <w:t xml:space="preserve">Delphi and AI layers are built out, but the two-dimensional scoring (probability × gp1_pct_affected) is not yet end-to-end enforced; a fallback continues when gp1 is missing, which silently drops trends from the simulation.</w:t>
      </w:r>
    </w:p>
    <w:p>
      <w:pPr>
        <w:pStyle w:val="ListParagraph"/>
        <w:numPr>
          <w:ilvl w:val="0"/>
          <w:numId w:val="2"/>
        </w:numPr>
        <w:spacing w:after="80" w:line="290"/>
      </w:pPr>
      <w:r>
        <w:rPr>
          <w:rFonts w:ascii="Calibri" w:cs="Calibri" w:eastAsia="Calibri" w:hAnsi="Calibri"/>
          <w:sz w:val="22"/>
          <w:szCs w:val="22"/>
        </w:rPr>
        <w:t xml:space="preserve">The Shift Matrix → Power BI contract is specified but the join-key integrity test described in §9 cannot be run against the current code and the export path is not exercised in the test suite.</w:t>
      </w:r>
    </w:p>
    <w:p>
      <w:pPr>
        <w:pStyle w:val="Heading2"/>
        <w:spacing w:after="140" w:before="280"/>
      </w:pPr>
      <w:r>
        <w:rPr>
          <w:rFonts w:ascii="Calibri" w:cs="Calibri" w:eastAsia="Calibri" w:hAnsi="Calibri"/>
          <w:b/>
          <w:bCs/>
          <w:color w:val="13315C"/>
          <w:sz w:val="28"/>
          <w:szCs w:val="28"/>
        </w:rPr>
        <w:t xml:space="preserve">1.3 Recommendation to the CEO</w:t>
      </w:r>
    </w:p>
    <w:p>
      <w:pPr>
        <w:spacing w:after="120" w:line="300"/>
        <w:jc w:val="both"/>
      </w:pPr>
      <w:r>
        <w:rPr>
          <w:rFonts w:ascii="Calibri" w:cs="Calibri" w:eastAsia="Calibri" w:hAnsi="Calibri"/>
          <w:sz w:val="22"/>
          <w:szCs w:val="22"/>
        </w:rPr>
        <w:t xml:space="preserve">We recommend a three-step path. First, pause any use of PRISM as the primary input to the FY27 budget dialogue and any external communication of its accuracy metrics. Second, commission a twelve-week "Credibility Sprint" scoped around the ten findings above, owned jointly by the Data &amp; Analytics team and an external quantitative partner, with pre-agreed exit criteria. Third, run a controlled Q3 parallel pilot on two categories — one Hair, one LHC — where PRISM outputs are compared weekly against the unchanged V12 process, with the Strategy VP as accountable sponsor. Only after that pilot, and conditional on the Credibility Sprint exit criteria being met, should PRISM become a standard input to ExCo strategy material. We believe this path protects the considerable investment already made in PRISM while removing the reputational risk of presenting under-supported quantitative claims to the Supervisory Board.</w:t>
      </w:r>
    </w:p>
    <w:p>
      <w:pPr>
        <w:pStyle w:val="Heading1"/>
        <w:pageBreakBefore/>
        <w:spacing w:after="200" w:before="360"/>
      </w:pPr>
      <w:r>
        <w:rPr>
          <w:rFonts w:ascii="Calibri" w:cs="Calibri" w:eastAsia="Calibri" w:hAnsi="Calibri"/>
          <w:b/>
          <w:bCs/>
          <w:color w:val="0B2545"/>
          <w:sz w:val="36"/>
          <w:szCs w:val="36"/>
        </w:rPr>
        <w:t xml:space="preserve">2. Scope, Method, and How to Read This Review</w:t>
      </w:r>
    </w:p>
    <w:p>
      <w:pPr>
        <w:pStyle w:val="Heading2"/>
        <w:spacing w:after="140" w:before="280"/>
      </w:pPr>
      <w:r>
        <w:rPr>
          <w:rFonts w:ascii="Calibri" w:cs="Calibri" w:eastAsia="Calibri" w:hAnsi="Calibri"/>
          <w:b/>
          <w:bCs/>
          <w:color w:val="13315C"/>
          <w:sz w:val="28"/>
          <w:szCs w:val="28"/>
        </w:rPr>
        <w:t xml:space="preserve">2.1 Panel composition and division of labor</w:t>
      </w:r>
    </w:p>
    <w:p>
      <w:pPr>
        <w:spacing w:after="120" w:line="300"/>
        <w:jc w:val="both"/>
      </w:pPr>
      <w:r>
        <w:rPr>
          <w:rFonts w:ascii="Calibri" w:cs="Calibri" w:eastAsia="Calibri" w:hAnsi="Calibri"/>
          <w:sz w:val="22"/>
          <w:szCs w:val="22"/>
        </w:rPr>
        <w:t xml:space="preserve">This review was conducted jointly by three partners, each leading an independent work stream and then reconciling findings in a single voice. The Bain Senior Partner led the strategic-concept and organizational-embedding streams, the Apple SVP led the code, architecture, and design-and-UX streams, and the Goldman Sachs Managing Director led the statistical, quantitative-finance, and decision-support streams. Every finding in this document was cross-examined by at least two of the three partners; where we disagreed, we have recorded the disagreement explicitly rather than papering over it.</w:t>
      </w:r>
    </w:p>
    <w:p>
      <w:pPr>
        <w:pStyle w:val="Heading2"/>
        <w:spacing w:after="140" w:before="280"/>
      </w:pPr>
      <w:r>
        <w:rPr>
          <w:rFonts w:ascii="Calibri" w:cs="Calibri" w:eastAsia="Calibri" w:hAnsi="Calibri"/>
          <w:b/>
          <w:bCs/>
          <w:color w:val="13315C"/>
          <w:sz w:val="28"/>
          <w:szCs w:val="28"/>
        </w:rPr>
        <w:t xml:space="preserve">2.2 What we reviewed</w:t>
      </w:r>
    </w:p>
    <w:p>
      <w:pPr>
        <w:pStyle w:val="ListParagraph"/>
        <w:numPr>
          <w:ilvl w:val="0"/>
          <w:numId w:val="3"/>
        </w:numPr>
        <w:spacing w:after="80" w:line="290"/>
      </w:pPr>
      <w:r>
        <w:rPr>
          <w:rFonts w:ascii="Calibri" w:cs="Calibri" w:eastAsia="Calibri" w:hAnsi="Calibri"/>
          <w:sz w:val="22"/>
          <w:szCs w:val="22"/>
        </w:rPr>
        <w:t xml:space="preserve">The PRISM v2.3 specification document (claude.md) in full, including the v2.0, v2.1, v2.2, v2.3 and v2.3.1 change histories.</w:t>
      </w:r>
    </w:p>
    <w:p>
      <w:pPr>
        <w:pStyle w:val="ListParagraph"/>
        <w:numPr>
          <w:ilvl w:val="0"/>
          <w:numId w:val="3"/>
        </w:numPr>
        <w:spacing w:after="80" w:line="290"/>
      </w:pPr>
      <w:r>
        <w:rPr>
          <w:rFonts w:ascii="Calibri" w:cs="Calibri" w:eastAsia="Calibri" w:hAnsi="Calibri"/>
          <w:sz w:val="22"/>
          <w:szCs w:val="22"/>
        </w:rPr>
        <w:t xml:space="preserve">The pulse/ Python package on disk: ingestion, simulation, optimizer, backtesting, elicitation, ai, api, audit, excel_bridge, dashboard.</w:t>
      </w:r>
    </w:p>
    <w:p>
      <w:pPr>
        <w:pStyle w:val="ListParagraph"/>
        <w:numPr>
          <w:ilvl w:val="0"/>
          <w:numId w:val="3"/>
        </w:numPr>
        <w:spacing w:after="80" w:line="290"/>
      </w:pPr>
      <w:r>
        <w:rPr>
          <w:rFonts w:ascii="Calibri" w:cs="Calibri" w:eastAsia="Calibri" w:hAnsi="Calibri"/>
          <w:sz w:val="22"/>
          <w:szCs w:val="22"/>
        </w:rPr>
        <w:t xml:space="preserve">The test suite under tests/ and the referenced test descriptions in TEST_SUITE_SUMMARY.md.</w:t>
      </w:r>
    </w:p>
    <w:p>
      <w:pPr>
        <w:pStyle w:val="ListParagraph"/>
        <w:numPr>
          <w:ilvl w:val="0"/>
          <w:numId w:val="3"/>
        </w:numPr>
        <w:spacing w:after="80" w:line="290"/>
      </w:pPr>
      <w:r>
        <w:rPr>
          <w:rFonts w:ascii="Calibri" w:cs="Calibri" w:eastAsia="Calibri" w:hAnsi="Calibri"/>
          <w:sz w:val="22"/>
          <w:szCs w:val="22"/>
        </w:rPr>
        <w:t xml:space="preserve">The claim set in the CEO briefing material (PULSE_CEO_Deck_v5.pptx, PULSE_Strategy_Deck.pptx) compared against what the code actually produces.</w:t>
      </w:r>
    </w:p>
    <w:p>
      <w:pPr>
        <w:pStyle w:val="ListParagraph"/>
        <w:numPr>
          <w:ilvl w:val="0"/>
          <w:numId w:val="3"/>
        </w:numPr>
        <w:spacing w:after="80" w:line="290"/>
      </w:pPr>
      <w:r>
        <w:rPr>
          <w:rFonts w:ascii="Calibri" w:cs="Calibri" w:eastAsia="Calibri" w:hAnsi="Calibri"/>
          <w:sz w:val="22"/>
          <w:szCs w:val="22"/>
        </w:rPr>
        <w:t xml:space="preserve">The war-room React dashboard structure and the Power BI export contract described in §2 and §7 of the spec.</w:t>
      </w:r>
    </w:p>
    <w:p>
      <w:pPr>
        <w:pStyle w:val="Heading2"/>
        <w:spacing w:after="140" w:before="280"/>
      </w:pPr>
      <w:r>
        <w:rPr>
          <w:rFonts w:ascii="Calibri" w:cs="Calibri" w:eastAsia="Calibri" w:hAnsi="Calibri"/>
          <w:b/>
          <w:bCs/>
          <w:color w:val="13315C"/>
          <w:sz w:val="28"/>
          <w:szCs w:val="28"/>
        </w:rPr>
        <w:t xml:space="preserve">2.3 What we did not review</w:t>
      </w:r>
    </w:p>
    <w:p>
      <w:pPr>
        <w:spacing w:after="120" w:line="300"/>
        <w:jc w:val="both"/>
      </w:pPr>
      <w:r>
        <w:rPr>
          <w:rFonts w:ascii="Calibri" w:cs="Calibri" w:eastAsia="Calibri" w:hAnsi="Calibri"/>
          <w:sz w:val="22"/>
          <w:szCs w:val="22"/>
        </w:rPr>
        <w:t xml:space="preserve">We did not re-run the model on live V12 data, we did not audit the 55-trend database for factual accuracy, and we did not attempt penetration testing of the deployment. We did not review the MCP/LLM-provider security posture beyond the architectural description, and we did not validate the Power BI semantic model. Each of these is a separate body of work that we recommend commissioning before any external certification of PRISM.</w:t>
      </w:r>
    </w:p>
    <w:p>
      <w:pPr>
        <w:pStyle w:val="Heading2"/>
        <w:spacing w:after="140" w:before="280"/>
      </w:pPr>
      <w:r>
        <w:rPr>
          <w:rFonts w:ascii="Calibri" w:cs="Calibri" w:eastAsia="Calibri" w:hAnsi="Calibri"/>
          <w:b/>
          <w:bCs/>
          <w:color w:val="13315C"/>
          <w:sz w:val="28"/>
          <w:szCs w:val="28"/>
        </w:rPr>
        <w:t xml:space="preserve">2.4 How to read this review</w:t>
      </w:r>
    </w:p>
    <w:p>
      <w:pPr>
        <w:spacing w:after="120" w:line="300"/>
        <w:jc w:val="both"/>
      </w:pPr>
      <w:r>
        <w:rPr>
          <w:rFonts w:ascii="Calibri" w:cs="Calibri" w:eastAsia="Calibri" w:hAnsi="Calibri"/>
          <w:sz w:val="22"/>
          <w:szCs w:val="22"/>
        </w:rPr>
        <w:t xml:space="preserve">The report is deliberately long because it is intended to be the single reference document that all three functions — Strategy, Data &amp; Analytics, and the CFO office — work from during remediation. The CEO can, however, read only Sections 1 (Executive Summary), 11 (Risks &amp; Mitigations), and 12 (Recommendation) and have the full decision picture. Sections 3–10 are intended for the teams that will own the remediation work and provide the evidence base for the executive sections. Every finding is tagged F# in the right margin and flows through to the consolidated Findings Register in Appendix A.</w:t>
      </w:r>
    </w:p>
    <w:p>
      <w:pPr>
        <w:pStyle w:val="Heading1"/>
        <w:pageBreakBefore/>
        <w:spacing w:after="200" w:before="360"/>
      </w:pPr>
      <w:r>
        <w:rPr>
          <w:rFonts w:ascii="Calibri" w:cs="Calibri" w:eastAsia="Calibri" w:hAnsi="Calibri"/>
          <w:b/>
          <w:bCs/>
          <w:color w:val="0B2545"/>
          <w:sz w:val="36"/>
          <w:szCs w:val="36"/>
        </w:rPr>
        <w:t xml:space="preserve">3. Strategic Concept Review (Bain lens)</w:t>
      </w:r>
    </w:p>
    <w:p>
      <w:pPr>
        <w:pStyle w:val="Heading2"/>
        <w:spacing w:after="140" w:before="280"/>
      </w:pPr>
      <w:r>
        <w:rPr>
          <w:rFonts w:ascii="Calibri" w:cs="Calibri" w:eastAsia="Calibri" w:hAnsi="Calibri"/>
          <w:b/>
          <w:bCs/>
          <w:color w:val="13315C"/>
          <w:sz w:val="28"/>
          <w:szCs w:val="28"/>
        </w:rPr>
        <w:t xml:space="preserve">3.1 Problem framing</w:t>
      </w:r>
    </w:p>
    <w:p>
      <w:pPr>
        <w:spacing w:after="120" w:line="300"/>
        <w:jc w:val="both"/>
      </w:pPr>
      <w:r>
        <w:rPr>
          <w:rFonts w:ascii="Calibri" w:cs="Calibri" w:eastAsia="Calibri" w:hAnsi="Calibri"/>
          <w:sz w:val="22"/>
          <w:szCs w:val="22"/>
        </w:rPr>
        <w:t xml:space="preserve">PRISM correctly identifies the central failure mode of a traditional force-assessment exercise in a large consumer-goods business: once the assessment is baked into a static Excel, it decays, it loses its probabilistic texture, and it stops interacting with actual strategic decisions. The choice to treat the output as a Shift Matrix of percentage changes rather than absolute euros — and to keep financial data firmly in Excel and Power BI — is, in our view, the single most important design decision in the entire document. It is the decision that makes PRISM shareable across a large organization without creating an information-security incident, and it is the decision that makes PRISM composable with whatever financial planning tools Henkel already operates. The Panel commends this choice unreservedly.</w:t>
      </w:r>
    </w:p>
    <w:p>
      <w:pPr>
        <w:pStyle w:val="Heading2"/>
        <w:spacing w:after="140" w:before="280"/>
      </w:pPr>
      <w:r>
        <w:rPr>
          <w:rFonts w:ascii="Calibri" w:cs="Calibri" w:eastAsia="Calibri" w:hAnsi="Calibri"/>
          <w:b/>
          <w:bCs/>
          <w:color w:val="13315C"/>
          <w:sz w:val="28"/>
          <w:szCs w:val="28"/>
        </w:rPr>
        <w:t xml:space="preserve">3.2 The "ten upgrades" from v1.2 to v2.0</w:t>
      </w:r>
    </w:p>
    <w:p>
      <w:pPr>
        <w:spacing w:after="120" w:line="300"/>
        <w:jc w:val="both"/>
      </w:pPr>
      <w:r>
        <w:rPr>
          <w:rFonts w:ascii="Calibri" w:cs="Calibri" w:eastAsia="Calibri" w:hAnsi="Calibri"/>
          <w:sz w:val="22"/>
          <w:szCs w:val="22"/>
        </w:rPr>
        <w:t xml:space="preserve">The ten upgrades listed at the top of claude.md (Bayesian hierarchical models, copulas, Phase-0 backtesting, causal DAG, game theory, allocation optimizer, organizational embedding, continuous paths, Delphi, war-room UX) are exactly the list a Bain Quant engagement would produce if asked to elevate a typical force-assessment tool to institutional grade. Each upgrade is individually defensible and the combination is coherent. Our concern is not with the list but with how many items on the list have actually been built versus documented. We address this in detail in §4 and §5.</w:t>
      </w:r>
    </w:p>
    <w:p>
      <w:pPr>
        <w:pStyle w:val="Heading2"/>
        <w:spacing w:after="140" w:before="280"/>
      </w:pPr>
      <w:r>
        <w:rPr>
          <w:rFonts w:ascii="Calibri" w:cs="Calibri" w:eastAsia="Calibri" w:hAnsi="Calibri"/>
          <w:b/>
          <w:bCs/>
          <w:color w:val="13315C"/>
          <w:sz w:val="28"/>
          <w:szCs w:val="28"/>
        </w:rPr>
        <w:t xml:space="preserve">3.3 Is the strategic question the right one?</w:t>
      </w:r>
    </w:p>
    <w:p>
      <w:pPr>
        <w:spacing w:after="120" w:line="300"/>
        <w:jc w:val="both"/>
      </w:pPr>
      <w:r>
        <w:rPr>
          <w:rFonts w:ascii="Calibri" w:cs="Calibri" w:eastAsia="Calibri" w:hAnsi="Calibri"/>
          <w:sz w:val="22"/>
          <w:szCs w:val="22"/>
        </w:rPr>
        <w:t xml:space="preserve">The specification frames the question as: "how will the profit pool shift by category over 2026–2030, and what does that imply for relative investment?" This is the right question for a CPG portfolio of Henkel's scale, and the category × force × time structure is the right decomposition. We would, however, encourage two framing refinements before CEO rollout. First, the model is presently silent on the geographic dimension — the 55-trend database is largely Europe-centric, yet the profit pool decision for Hair Color and LHC is inseparable from emerging-market dynamics. Second, the model treats the profit pool as exogenous to Henkel's own actions; there is no explicit feedback loop from an allocation decision back into the shift. For a FY27 budget conversation this is acceptable; for a strategic-review conversation it is not, and the Panel would want to see the feedback loop modelled before PRISM is used to set 2028+ ambitions.</w:t>
      </w:r>
    </w:p>
    <w:p>
      <w:pPr>
        <w:pStyle w:val="Heading2"/>
        <w:spacing w:after="140" w:before="280"/>
      </w:pPr>
      <w:r>
        <w:rPr>
          <w:rFonts w:ascii="Calibri" w:cs="Calibri" w:eastAsia="Calibri" w:hAnsi="Calibri"/>
          <w:b/>
          <w:bCs/>
          <w:color w:val="13315C"/>
          <w:sz w:val="28"/>
          <w:szCs w:val="28"/>
        </w:rPr>
        <w:t xml:space="preserve">3.4 Positioning against the competitive landscape</w:t>
      </w:r>
    </w:p>
    <w:p>
      <w:pPr>
        <w:spacing w:after="120" w:line="300"/>
        <w:jc w:val="both"/>
      </w:pPr>
      <w:r>
        <w:rPr>
          <w:rFonts w:ascii="Calibri" w:cs="Calibri" w:eastAsia="Calibri" w:hAnsi="Calibri"/>
          <w:sz w:val="22"/>
          <w:szCs w:val="22"/>
        </w:rPr>
        <w:t xml:space="preserve">We benchmarked PRISM conceptually against (a) McKinsey QuantumBlack's portfolio-dynamics tools, (b) BCG GAMMA's category-share simulators, and (c) Bain's own vector-of-growth toolkit. PRISM's specification is at, or slightly above, the published capability of all three. Its implementation, on the evidence of the codebase, is roughly at the level of a well-executed tier-2 consulting asset — good, but not yet differentiated. The gap between spec and implementation is the main thing that prevents us from describing PRISM as "state-of-the-art in this asset class" without qualification.</w:t>
      </w:r>
    </w:p>
    <w:p>
      <w:pPr>
        <w:pStyle w:val="Heading1"/>
        <w:pageBreakBefore/>
        <w:spacing w:after="200" w:before="360"/>
      </w:pPr>
      <w:r>
        <w:rPr>
          <w:rFonts w:ascii="Calibri" w:cs="Calibri" w:eastAsia="Calibri" w:hAnsi="Calibri"/>
          <w:b/>
          <w:bCs/>
          <w:color w:val="0B2545"/>
          <w:sz w:val="36"/>
          <w:szCs w:val="36"/>
        </w:rPr>
        <w:t xml:space="preserve">4. Model Mechanics Review (Goldman lens)</w:t>
      </w:r>
    </w:p>
    <w:p>
      <w:pPr>
        <w:spacing w:after="120" w:line="300"/>
        <w:jc w:val="both"/>
      </w:pPr>
      <w:r>
        <w:rPr>
          <w:rFonts w:ascii="Calibri" w:cs="Calibri" w:eastAsia="Calibri" w:hAnsi="Calibri"/>
          <w:sz w:val="22"/>
          <w:szCs w:val="22"/>
        </w:rPr>
        <w:t xml:space="preserve">This section is the heart of the review for the CFO office. It walks through the simulation engine, the dependency structure, the path model, the causal layer, the optimizer, and the backtesting engine, and for each component states (a) what the specification claims, (b) what the code actually does, and (c) what the Panel believes the gap costs.</w:t>
      </w:r>
    </w:p>
    <w:p>
      <w:pPr>
        <w:pStyle w:val="Heading2"/>
        <w:spacing w:after="140" w:before="280"/>
      </w:pPr>
      <w:r>
        <w:rPr>
          <w:rFonts w:ascii="Calibri" w:cs="Calibri" w:eastAsia="Calibri" w:hAnsi="Calibri"/>
          <w:b/>
          <w:bCs/>
          <w:color w:val="13315C"/>
          <w:sz w:val="28"/>
          <w:szCs w:val="28"/>
        </w:rPr>
        <w:t xml:space="preserve">4.1 The Bayesian-Monte-Carlo core</w:t>
      </w:r>
    </w:p>
    <w:p>
      <w:pPr>
        <w:spacing w:after="120" w:line="300"/>
        <w:jc w:val="both"/>
      </w:pPr>
      <w:r>
        <w:rPr>
          <w:rFonts w:ascii="Calibri" w:cs="Calibri" w:eastAsia="Calibri" w:hAnsi="Calibri"/>
          <w:sz w:val="22"/>
          <w:szCs w:val="22"/>
        </w:rPr>
        <w:t xml:space="preserve">The core engine in pulse/simulation/bayesian_mc.py is the strongest single component in the codebase. The vectorized hot path in _compute_all_paths_vectorized is cleanly written, correctly broadcasts across (iterations × trends × categories × years), and applies force weights and multiplicative compounding in a numerically sensible order. The copula step generates correlated latent variables via t-copula with configurable degrees of freedom, transforms them to uniforms through the t-CDF, and maps them to per-trend Beta distributions. This is textbook-correct and is the kind of implementation we would expect from a quant team with real derivatives experience.</w:t>
      </w:r>
    </w:p>
    <w:p>
      <w:pPr>
        <w:spacing w:after="120" w:line="300"/>
        <w:jc w:val="both"/>
      </w:pPr>
      <w:r>
        <w:rPr>
          <w:rFonts w:ascii="Calibri" w:cs="Calibri" w:eastAsia="Calibri" w:hAnsi="Calibri"/>
          <w:sz w:val="22"/>
          <w:szCs w:val="22"/>
        </w:rPr>
        <w:t xml:space="preserve">The scoring formula — normalized_score = probability × gp1_pct_affected × direction_sign — is a clean two-dimensional decomposition and is an improvement on the v2.2 three-dimensional formulation that conflated probability and impact. The removal of the impact variable in v2.3 is a good call.</w:t>
      </w:r>
    </w:p>
    <w:p>
      <w:pPr>
        <w:spacing w:after="120" w:line="300"/>
        <w:jc w:val="both"/>
      </w:pPr>
      <w:r>
        <w:rPr>
          <w:rFonts w:ascii="Calibri" w:cs="Calibri" w:eastAsia="Calibri" w:hAnsi="Calibri"/>
          <w:sz w:val="22"/>
          <w:szCs w:val="22"/>
        </w:rPr>
        <w:t xml:space="preserve">There are, however, four concerns.</w:t>
      </w:r>
    </w:p>
    <w:p>
      <w:pPr>
        <w:pStyle w:val="ListParagraph"/>
        <w:numPr>
          <w:ilvl w:val="0"/>
          <w:numId w:val="3"/>
        </w:numPr>
        <w:spacing w:after="80" w:line="290"/>
      </w:pPr>
      <w:r>
        <w:rPr>
          <w:rFonts w:ascii="Calibri" w:cs="Calibri" w:eastAsia="Calibri" w:hAnsi="Calibri"/>
          <w:b/>
          <w:bCs/>
          <w:sz w:val="22"/>
          <w:szCs w:val="22"/>
        </w:rPr>
        <w:t xml:space="preserve">Prior specification leaks. </w:t>
      </w:r>
      <w:r>
        <w:rPr>
          <w:rFonts w:ascii="Calibri" w:cs="Calibri" w:eastAsia="Calibri" w:hAnsi="Calibri"/>
          <w:sz w:val="22"/>
          <w:szCs w:val="22"/>
        </w:rPr>
        <w:t xml:space="preserve">The Beta posterior parameters (alpha, beta) come directly from the trend's probability_posterior tuple, which is built from the expert-assigned probability score (1–5). In the absence of backtesting data — which is the case today — this means the Bayesian update is purely notional; the priors are, effectively, point estimates dressed up as distributions. This is acceptable if it is clearly labelled, but the war-room headline KPI ("80% CI") implies an empirically-calibrated posterior that does not exist.</w:t>
      </w:r>
    </w:p>
    <w:p>
      <w:pPr>
        <w:pStyle w:val="ListParagraph"/>
        <w:numPr>
          <w:ilvl w:val="0"/>
          <w:numId w:val="3"/>
        </w:numPr>
        <w:spacing w:after="80" w:line="290"/>
      </w:pPr>
      <w:r>
        <w:rPr>
          <w:rFonts w:ascii="Calibri" w:cs="Calibri" w:eastAsia="Calibri" w:hAnsi="Calibri"/>
          <w:b/>
          <w:bCs/>
          <w:sz w:val="22"/>
          <w:szCs w:val="22"/>
        </w:rPr>
        <w:t xml:space="preserve">Correlation matrix repair is silent. </w:t>
      </w:r>
      <w:r>
        <w:rPr>
          <w:rFonts w:ascii="Calibri" w:cs="Calibri" w:eastAsia="Calibri" w:hAnsi="Calibri"/>
          <w:sz w:val="22"/>
          <w:szCs w:val="22"/>
        </w:rPr>
        <w:t xml:space="preserve">When the assembled correlation matrix is not positive-definite, the code adds a multiple of the identity and renormalizes. This is a defensible nearest-PD fix, but it happens with a single WARN log and no downstream flag. In a Monte-Carlo that will drive capital allocation we would want a hard configurable tolerance, an audit-log entry, and a visual flag in the UI.</w:t>
      </w:r>
    </w:p>
    <w:p>
      <w:pPr>
        <w:pStyle w:val="ListParagraph"/>
        <w:numPr>
          <w:ilvl w:val="0"/>
          <w:numId w:val="3"/>
        </w:numPr>
        <w:spacing w:after="80" w:line="290"/>
      </w:pPr>
      <w:r>
        <w:rPr>
          <w:rFonts w:ascii="Calibri" w:cs="Calibri" w:eastAsia="Calibri" w:hAnsi="Calibri"/>
          <w:b/>
          <w:bCs/>
          <w:sz w:val="22"/>
          <w:szCs w:val="22"/>
        </w:rPr>
        <w:t xml:space="preserve">Silent trend drop. </w:t>
      </w:r>
      <w:r>
        <w:rPr>
          <w:rFonts w:ascii="Calibri" w:cs="Calibri" w:eastAsia="Calibri" w:hAnsi="Calibri"/>
          <w:sz w:val="22"/>
          <w:szCs w:val="22"/>
        </w:rPr>
        <w:t xml:space="preserve">When a trend has no gp1_pct_affected, the code logs a warning and continues. Because this is inside the copula-sampling loop, the consequence is that the trend's row in the samples matrix stays at zero and the correlation structure is silently degraded (the trend no longer co-moves with anything). This should be a hard error or at minimum a documented data-quality gate before run time.</w:t>
      </w:r>
    </w:p>
    <w:p>
      <w:pPr>
        <w:pStyle w:val="ListParagraph"/>
        <w:numPr>
          <w:ilvl w:val="0"/>
          <w:numId w:val="3"/>
        </w:numPr>
        <w:spacing w:after="80" w:line="290"/>
      </w:pPr>
      <w:r>
        <w:rPr>
          <w:rFonts w:ascii="Calibri" w:cs="Calibri" w:eastAsia="Calibri" w:hAnsi="Calibri"/>
          <w:b/>
          <w:bCs/>
          <w:sz w:val="22"/>
          <w:szCs w:val="22"/>
        </w:rPr>
        <w:t xml:space="preserve">Seeding. </w:t>
      </w:r>
      <w:r>
        <w:rPr>
          <w:rFonts w:ascii="Calibri" w:cs="Calibri" w:eastAsia="Calibri" w:hAnsi="Calibri"/>
          <w:sz w:val="22"/>
          <w:szCs w:val="22"/>
        </w:rPr>
        <w:t xml:space="preserve">The RNG is seeded once at construction (seed=42). For production strategy work we would recommend (i) exposing the seed as a run parameter, (ii) logging it in the audit trail, and (iii) running at least three independent seeds for any result that is shown to ExCo, so that seed-sensitivity is visible.</w:t>
      </w:r>
    </w:p>
    <w:p>
      <w:pPr>
        <w:pStyle w:val="Heading2"/>
        <w:spacing w:after="140" w:before="280"/>
      </w:pPr>
      <w:r>
        <w:rPr>
          <w:rFonts w:ascii="Calibri" w:cs="Calibri" w:eastAsia="Calibri" w:hAnsi="Calibri"/>
          <w:b/>
          <w:bCs/>
          <w:color w:val="13315C"/>
          <w:sz w:val="28"/>
          <w:szCs w:val="28"/>
        </w:rPr>
        <w:t xml:space="preserve">4.2 Dependency structure — copula or correlation?</w:t>
      </w:r>
    </w:p>
    <w:p>
      <w:pPr>
        <w:spacing w:after="120" w:line="300"/>
        <w:jc w:val="both"/>
      </w:pPr>
      <w:r>
        <w:rPr>
          <w:rFonts w:ascii="Calibri" w:cs="Calibri" w:eastAsia="Calibri" w:hAnsi="Calibri"/>
          <w:sz w:val="22"/>
          <w:szCs w:val="22"/>
        </w:rPr>
        <w:t xml:space="preserve">The specification is careful to distinguish two things: (i) a correlation structure that captures how forces move together under normal and crisis conditions, and (ii) a causal DAG that captures directional propagation (e.g., Government regulation → Technology reformulation cost → Customer shelf-price → Consumer purchase behaviour). These are different objects with different uses. The code has built (i) and omitted (ii). Specifically, _build_correlation_matrix reads a force_correlation_matrix dict from config and falls back to a residual cross-force ρ when no value is present. There is no directed edge, no lag, no propagation, no acyclicity check, and no CausalDAG class.</w:t>
      </w:r>
    </w:p>
    <w:p>
      <w:pPr>
        <w:spacing w:after="120" w:line="300"/>
        <w:jc w:val="both"/>
      </w:pPr>
      <w:r>
        <w:rPr>
          <w:rFonts w:ascii="Calibri" w:cs="Calibri" w:eastAsia="Calibri" w:hAnsi="Calibri"/>
          <w:sz w:val="22"/>
          <w:szCs w:val="22"/>
        </w:rPr>
        <w:t xml:space="preserve">This is the single most consequential gap between spec and code. Every scenario described in §3 of claude.md — Green Squeeze, Regulatory Cascade, Perfect Storm, Tech Disruption — depends on propagating a shock through a DAG with lag structure. Without the DAG, those scenarios collapse to correlated shocks, which is strictly less informative and in particular cannot answer the "why" question ("40% of the FCN contraction is the propagated effect of Government regulation on Technology") that the AI narrator claims to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DEEF2" w:val="clear"/>
            <w:tcMar>
              <w:top w:type="dxa" w:w="160"/>
              <w:left w:type="dxa" w:w="200"/>
              <w:bottom w:type="dxa" w:w="160"/>
              <w:right w:type="dxa" w:w="200"/>
            </w:tcMar>
          </w:tcPr>
          <w:p>
            <w:r>
              <w:rPr>
                <w:rFonts w:ascii="Calibri" w:cs="Calibri" w:eastAsia="Calibri" w:hAnsi="Calibri"/>
                <w:b/>
                <w:bCs/>
                <w:color w:val="0B2545"/>
                <w:sz w:val="24"/>
                <w:szCs w:val="24"/>
              </w:rPr>
              <w:t xml:space="preserve">Implication for the CEO</w:t>
            </w:r>
          </w:p>
          <w:p>
            <w:pPr>
              <w:spacing w:before="80"/>
            </w:pPr>
            <w:r>
              <w:rPr>
                <w:rFonts w:ascii="Calibri" w:cs="Calibri" w:eastAsia="Calibri" w:hAnsi="Calibri"/>
                <w:sz w:val="22"/>
                <w:szCs w:val="22"/>
              </w:rPr>
              <w:t xml:space="preserve">The causal narratives the dashboard shows are, at present, generated by the narrator module from a correlation-based simulation. They should be read as plausible explanations, not as decompositions earned from the model. This must be corrected before PRISM narratives are used in ExCo or Board material.</w:t>
            </w:r>
          </w:p>
        </w:tc>
      </w:tr>
    </w:tbl>
    <w:p>
      <w:pPr>
        <w:pStyle w:val="Heading2"/>
        <w:spacing w:after="140" w:before="280"/>
      </w:pPr>
      <w:r>
        <w:rPr>
          <w:rFonts w:ascii="Calibri" w:cs="Calibri" w:eastAsia="Calibri" w:hAnsi="Calibri"/>
          <w:b/>
          <w:bCs/>
          <w:color w:val="13315C"/>
          <w:sz w:val="28"/>
          <w:szCs w:val="28"/>
        </w:rPr>
        <w:t xml:space="preserve">4.3 The continuous path model</w:t>
      </w:r>
    </w:p>
    <w:p>
      <w:pPr>
        <w:spacing w:after="120" w:line="300"/>
        <w:jc w:val="both"/>
      </w:pPr>
      <w:r>
        <w:rPr>
          <w:rFonts w:ascii="Calibri" w:cs="Calibri" w:eastAsia="Calibri" w:hAnsi="Calibri"/>
          <w:sz w:val="22"/>
          <w:szCs w:val="22"/>
        </w:rPr>
        <w:t xml:space="preserve">The path module in pulse/simulation/paths.py and the per-trend materialization schedule in config.compute_materialization_schedule together deliver the continuous-path capability described in §3.2c. The mechanism — each trend has a peak_year and a diffusion_curve, yielding a per-trend materialization fraction per year — is genuinely novel relative to tools we have seen in the wild, and we think it is the second-strongest design decision in the document after the Shift-Matrix interface. We have three observations.</w:t>
      </w:r>
    </w:p>
    <w:p>
      <w:pPr>
        <w:pStyle w:val="ListParagraph"/>
        <w:numPr>
          <w:ilvl w:val="0"/>
          <w:numId w:val="3"/>
        </w:numPr>
        <w:spacing w:after="80" w:line="290"/>
      </w:pPr>
      <w:r>
        <w:rPr>
          <w:rFonts w:ascii="Calibri" w:cs="Calibri" w:eastAsia="Calibri" w:hAnsi="Calibri"/>
          <w:sz w:val="22"/>
          <w:szCs w:val="22"/>
        </w:rPr>
        <w:t xml:space="preserve">The fallback hierarchy (per-trend → force-level override → global default) is sensible but is not exposed in the UI, so an analyst cannot tell whether a particular shift path reflects a calibrated curve or a default.</w:t>
      </w:r>
    </w:p>
    <w:p>
      <w:pPr>
        <w:pStyle w:val="ListParagraph"/>
        <w:numPr>
          <w:ilvl w:val="0"/>
          <w:numId w:val="3"/>
        </w:numPr>
        <w:spacing w:after="80" w:line="290"/>
      </w:pPr>
      <w:r>
        <w:rPr>
          <w:rFonts w:ascii="Calibri" w:cs="Calibri" w:eastAsia="Calibri" w:hAnsi="Calibri"/>
          <w:sz w:val="22"/>
          <w:szCs w:val="22"/>
        </w:rPr>
        <w:t xml:space="preserve">Velocity is computed as a simple first difference of medians. For the early-warning triggers to be trustworthy at p10/p90 levels, velocity should be computed on the per-iteration path and then percentiled, not on the percentile path. These are not the same object.</w:t>
      </w:r>
    </w:p>
    <w:p>
      <w:pPr>
        <w:pStyle w:val="ListParagraph"/>
        <w:numPr>
          <w:ilvl w:val="0"/>
          <w:numId w:val="3"/>
        </w:numPr>
        <w:spacing w:after="80" w:line="290"/>
      </w:pPr>
      <w:r>
        <w:rPr>
          <w:rFonts w:ascii="Calibri" w:cs="Calibri" w:eastAsia="Calibri" w:hAnsi="Calibri"/>
          <w:sz w:val="22"/>
          <w:szCs w:val="22"/>
        </w:rPr>
        <w:t xml:space="preserve">There is no explicit check that the materialization schedule is monotonically non-decreasing. A mis-specified diffusion curve could produce a path that moves backwards, which would be silently accepted. A validation gate at config-load time would close this.</w:t>
      </w:r>
    </w:p>
    <w:p>
      <w:pPr>
        <w:pStyle w:val="Heading2"/>
        <w:spacing w:after="140" w:before="280"/>
      </w:pPr>
      <w:r>
        <w:rPr>
          <w:rFonts w:ascii="Calibri" w:cs="Calibri" w:eastAsia="Calibri" w:hAnsi="Calibri"/>
          <w:b/>
          <w:bCs/>
          <w:color w:val="13315C"/>
          <w:sz w:val="28"/>
          <w:szCs w:val="28"/>
        </w:rPr>
        <w:t xml:space="preserve">4.4 The causal layer — absent</w:t>
      </w:r>
    </w:p>
    <w:p>
      <w:pPr>
        <w:spacing w:after="120" w:line="300"/>
        <w:jc w:val="both"/>
      </w:pPr>
      <w:r>
        <w:rPr>
          <w:rFonts w:ascii="Calibri" w:cs="Calibri" w:eastAsia="Calibri" w:hAnsi="Calibri"/>
          <w:sz w:val="22"/>
          <w:szCs w:val="22"/>
        </w:rPr>
        <w:t xml:space="preserve">There is no pulse/causal/ directory and no CausalDAG class in the package. The CAUSAL_DAG literal in the specification, with its 16 directed edges and lag structure, is not instantiated anywhere in the code. The bayesian_mc._compile_results function produces a causal_decomposition field, but inspection shows it is a scaled reconstruction of the deterministic force-level contribution, normalized so that per-force sums equal the Monte-Carlo median at the last year. That is a force attribution, not a causal decomposition.</w:t>
      </w:r>
    </w:p>
    <w:p>
      <w:pPr>
        <w:spacing w:after="120" w:line="300"/>
        <w:jc w:val="both"/>
      </w:pPr>
      <w:r>
        <w:rPr>
          <w:rFonts w:ascii="Calibri" w:cs="Calibri" w:eastAsia="Calibri" w:hAnsi="Calibri"/>
          <w:sz w:val="22"/>
          <w:szCs w:val="22"/>
        </w:rPr>
        <w:t xml:space="preserve">The remedy is well understood. A minimum-viable CausalDAG implementation is (a) a networkx.DiGraph with edges carrying (weight, lag) attributes, (b) a propagate_shock method that walks the graph with lag-aware accumulation, (c) a get_propagation_weight used by the copula builder to populate cross-force correlations from the DAG rather than from a flat matrix, and (d) an integration point in the scenario engine so that Green Squeeze and friends actually shock a node and propagate. We estimate four developer-weeks for a disciplined implementation and a further two weeks for testing. This is the highest-leverage single piece of remediation on the list.</w:t>
      </w:r>
    </w:p>
    <w:p>
      <w:pPr>
        <w:pStyle w:val="Heading2"/>
        <w:spacing w:after="140" w:before="280"/>
      </w:pPr>
      <w:r>
        <w:rPr>
          <w:rFonts w:ascii="Calibri" w:cs="Calibri" w:eastAsia="Calibri" w:hAnsi="Calibri"/>
          <w:b/>
          <w:bCs/>
          <w:color w:val="13315C"/>
          <w:sz w:val="28"/>
          <w:szCs w:val="28"/>
        </w:rPr>
        <w:t xml:space="preserve">4.5 The allocation optimizer</w:t>
      </w:r>
    </w:p>
    <w:p>
      <w:pPr>
        <w:spacing w:after="120" w:line="300"/>
        <w:jc w:val="both"/>
      </w:pPr>
      <w:r>
        <w:rPr>
          <w:rFonts w:ascii="Calibri" w:cs="Calibri" w:eastAsia="Calibri" w:hAnsi="Calibri"/>
          <w:sz w:val="22"/>
          <w:szCs w:val="22"/>
        </w:rPr>
        <w:t xml:space="preserve">The optimizer in pulse/optimizer/allocation.py solves a mean-variance problem with SLSQP, turnover constraints, and an efficient-frontier sweep. The API and the constraint structure are correct. There are, however, two issues that the Goldman team considers disqualifying for production use without remediation.</w:t>
      </w:r>
    </w:p>
    <w:p>
      <w:pPr>
        <w:pStyle w:val="ListParagraph"/>
        <w:numPr>
          <w:ilvl w:val="0"/>
          <w:numId w:val="3"/>
        </w:numPr>
        <w:spacing w:after="80" w:line="290"/>
      </w:pPr>
      <w:r>
        <w:rPr>
          <w:rFonts w:ascii="Calibri" w:cs="Calibri" w:eastAsia="Calibri" w:hAnsi="Calibri"/>
          <w:b/>
          <w:bCs/>
          <w:sz w:val="22"/>
          <w:szCs w:val="22"/>
        </w:rPr>
        <w:t xml:space="preserve">The covariance matrix is hard-coded. </w:t>
      </w:r>
      <w:r>
        <w:rPr>
          <w:rFonts w:ascii="Calibri" w:cs="Calibri" w:eastAsia="Calibri" w:hAnsi="Calibri"/>
          <w:sz w:val="22"/>
          <w:szCs w:val="22"/>
        </w:rPr>
        <w:t xml:space="preserve">Lines 101–110 build cov as a diagonal of per-category variances plus a fixed 0.3 within-business-unit and 0.1 across-business-unit cross term. The Monte-Carlo samples the function takes as input — which contain the actual category-level covariance structure from the simulation — are never used. The consequence is that the optimizer's risk estimate is disconnected from the simulation that is supposed to feed it. A two-line change (np.cov on the raw_samples slice) would fix this.</w:t>
      </w:r>
    </w:p>
    <w:p>
      <w:pPr>
        <w:pStyle w:val="ListParagraph"/>
        <w:numPr>
          <w:ilvl w:val="0"/>
          <w:numId w:val="3"/>
        </w:numPr>
        <w:spacing w:after="80" w:line="290"/>
      </w:pPr>
      <w:r>
        <w:rPr>
          <w:rFonts w:ascii="Calibri" w:cs="Calibri" w:eastAsia="Calibri" w:hAnsi="Calibri"/>
          <w:b/>
          <w:bCs/>
          <w:sz w:val="22"/>
          <w:szCs w:val="22"/>
        </w:rPr>
        <w:t xml:space="preserve">The all-same-sign transform is inconsistent. </w:t>
      </w:r>
      <w:r>
        <w:rPr>
          <w:rFonts w:ascii="Calibri" w:cs="Calibri" w:eastAsia="Calibri" w:hAnsi="Calibri"/>
          <w:sz w:val="22"/>
          <w:szCs w:val="22"/>
        </w:rPr>
        <w:t xml:space="preserve">When every category is contracting, the code shifts mu by subtracting its minimum so the optimizer can rank "least bad" categories. This is a reasonable trick, but cov is not transformed alongside mu. The utility function that is optimized, -(mu_relative @ w - λ w'Cw), is therefore not a consistent mean-variance objective in the transformed space. The right fix is either to (i) transform mu and leave the constraint structure alone so that the level of mu does not enter the utility, or (ii) use a pure "rank" objective (e.g., linear programming on ordinal ranks) when the all-same-sign flag fires, and label the output accordingly.</w:t>
      </w:r>
    </w:p>
    <w:p>
      <w:pPr>
        <w:spacing w:after="120" w:line="300"/>
        <w:jc w:val="both"/>
      </w:pPr>
      <w:r>
        <w:rPr>
          <w:rFonts w:ascii="Calibri" w:cs="Calibri" w:eastAsia="Calibri" w:hAnsi="Calibri"/>
          <w:sz w:val="22"/>
          <w:szCs w:val="22"/>
        </w:rPr>
        <w:t xml:space="preserve">Secondary observations: the efficient-frontier sweep runs a fresh SLSQP per risk-aversion point rather than parameterizing the KKT conditions, which is wasteful but tolerable at 13 categories; the bounds [0.02, 0.25] are configured per call but not audit-logged; and the "invest_more / reduce" thresholds are hard-coded at ±0.01 from equal weight, which should be data-driven.</w:t>
      </w:r>
    </w:p>
    <w:p>
      <w:pPr>
        <w:pStyle w:val="Heading2"/>
        <w:spacing w:after="140" w:before="280"/>
      </w:pPr>
      <w:r>
        <w:rPr>
          <w:rFonts w:ascii="Calibri" w:cs="Calibri" w:eastAsia="Calibri" w:hAnsi="Calibri"/>
          <w:b/>
          <w:bCs/>
          <w:color w:val="13315C"/>
          <w:sz w:val="28"/>
          <w:szCs w:val="28"/>
        </w:rPr>
        <w:t xml:space="preserve">4.6 The backtesting engine — stubbed</w:t>
      </w:r>
    </w:p>
    <w:p>
      <w:pPr>
        <w:spacing w:after="120" w:line="300"/>
        <w:jc w:val="both"/>
      </w:pPr>
      <w:r>
        <w:rPr>
          <w:rFonts w:ascii="Calibri" w:cs="Calibri" w:eastAsia="Calibri" w:hAnsi="Calibri"/>
          <w:sz w:val="22"/>
          <w:szCs w:val="22"/>
        </w:rPr>
        <w:t xml:space="preserve">The specification places backtesting in Phase 0 — "the model earns credibility before it makes predictions." The codebase contains pulse/backtesting/engine.py with a BacktestingEngine class, a CalibrationResult dataclass, and a nicely formatted Markdown report generator. Two of the three functions that actually do the work, however, raise NotImplementedError (_backtest_single_period at line 155 and the inner loop of _calibrate_attenuation at line 189), and the calibrate_distributions and calibrate_dag_weights methods return placeholder dictionaries.</w:t>
      </w:r>
    </w:p>
    <w:p>
      <w:pPr>
        <w:spacing w:after="120" w:line="300"/>
        <w:jc w:val="both"/>
      </w:pPr>
      <w:r>
        <w:rPr>
          <w:rFonts w:ascii="Calibri" w:cs="Calibri" w:eastAsia="Calibri" w:hAnsi="Calibri"/>
          <w:sz w:val="22"/>
          <w:szCs w:val="22"/>
        </w:rPr>
        <w:t xml:space="preserve">The practical consequence is that any headline figure of the form "PRISM predicted X% of historical shifts within the 80% CI" — including the "73%" shown in the sample shift-matrix JSON in the specification and reproduced on the war-room headline KPI — is not supported by the code. We have no reason to believe that figure is dishonest; we believe it was aspirational language that was never retracted. It must be retracted or earned before any external use.</w:t>
      </w:r>
    </w:p>
    <w:p>
      <w:pPr>
        <w:pStyle w:val="Heading2"/>
        <w:spacing w:after="140" w:before="280"/>
      </w:pPr>
      <w:r>
        <w:rPr>
          <w:rFonts w:ascii="Calibri" w:cs="Calibri" w:eastAsia="Calibri" w:hAnsi="Calibri"/>
          <w:b/>
          <w:bCs/>
          <w:color w:val="13315C"/>
          <w:sz w:val="28"/>
          <w:szCs w:val="28"/>
        </w:rPr>
        <w:t xml:space="preserve">4.7 Game theory / competitive response — absent in code</w:t>
      </w:r>
    </w:p>
    <w:p>
      <w:pPr>
        <w:spacing w:after="120" w:line="300"/>
        <w:jc w:val="both"/>
      </w:pPr>
      <w:r>
        <w:rPr>
          <w:rFonts w:ascii="Calibri" w:cs="Calibri" w:eastAsia="Calibri" w:hAnsi="Calibri"/>
          <w:sz w:val="22"/>
          <w:szCs w:val="22"/>
        </w:rPr>
        <w:t xml:space="preserve">The specification describes a CompetitiveResponseModel in pulse/game_theory/competitive.py with archetypes, response functions, and an iterative equilibrium. We did not find a game_theory module in the package listing. If the module exists under a different name we apologise for the oversight; if it does not, then every reference to "competitive response" in the dashboard and narrator should be labelled "qualitative commentary, not modelled."</w:t>
      </w:r>
    </w:p>
    <w:p>
      <w:pPr>
        <w:pStyle w:val="Heading2"/>
        <w:spacing w:after="140" w:before="280"/>
      </w:pPr>
      <w:r>
        <w:rPr>
          <w:rFonts w:ascii="Calibri" w:cs="Calibri" w:eastAsia="Calibri" w:hAnsi="Calibri"/>
          <w:b/>
          <w:bCs/>
          <w:color w:val="13315C"/>
          <w:sz w:val="28"/>
          <w:szCs w:val="28"/>
        </w:rPr>
        <w:t xml:space="preserve">4.8 Convergence diagnostics</w:t>
      </w:r>
    </w:p>
    <w:p>
      <w:pPr>
        <w:spacing w:after="120" w:line="300"/>
        <w:jc w:val="both"/>
      </w:pPr>
      <w:r>
        <w:rPr>
          <w:rFonts w:ascii="Calibri" w:cs="Calibri" w:eastAsia="Calibri" w:hAnsi="Calibri"/>
          <w:sz w:val="22"/>
          <w:szCs w:val="22"/>
        </w:rPr>
        <w:t xml:space="preserve">Gelman-Rubin R̂ requires multiple independent chains — the "between-chain" variance is the point of the statistic. The current implementation splits a single chain into two halves and computes the ratio, which is a within-chain consistency check and is strictly weaker than what the specification claims. The ESS estimate uses lag-1 autocorrelation only, which under-corrects for slow-mixing chains. For the convergence claim to be defensible we recommend (i) running ≥3 chains with different seeds, (ii) computing split-R̂ à la Vehtari et al. (2021), and (iii) using an integrated-autocorrelation-time ESS.</w:t>
      </w:r>
    </w:p>
    <w:p>
      <w:pPr>
        <w:pStyle w:val="Heading1"/>
        <w:pageBreakBefore/>
        <w:spacing w:after="200" w:before="360"/>
      </w:pPr>
      <w:r>
        <w:rPr>
          <w:rFonts w:ascii="Calibri" w:cs="Calibri" w:eastAsia="Calibri" w:hAnsi="Calibri"/>
          <w:b/>
          <w:bCs/>
          <w:color w:val="0B2545"/>
          <w:sz w:val="36"/>
          <w:szCs w:val="36"/>
        </w:rPr>
        <w:t xml:space="preserve">5. Code and Architecture Review (Apple lens)</w:t>
      </w:r>
    </w:p>
    <w:p>
      <w:pPr>
        <w:pStyle w:val="Heading2"/>
        <w:spacing w:after="140" w:before="280"/>
      </w:pPr>
      <w:r>
        <w:rPr>
          <w:rFonts w:ascii="Calibri" w:cs="Calibri" w:eastAsia="Calibri" w:hAnsi="Calibri"/>
          <w:b/>
          <w:bCs/>
          <w:color w:val="13315C"/>
          <w:sz w:val="28"/>
          <w:szCs w:val="28"/>
        </w:rPr>
        <w:t xml:space="preserve">5.1 Overall package shape</w:t>
      </w:r>
    </w:p>
    <w:p>
      <w:pPr>
        <w:spacing w:after="120" w:line="300"/>
        <w:jc w:val="both"/>
      </w:pPr>
      <w:r>
        <w:rPr>
          <w:rFonts w:ascii="Calibri" w:cs="Calibri" w:eastAsia="Calibri" w:hAnsi="Calibri"/>
          <w:sz w:val="22"/>
          <w:szCs w:val="22"/>
        </w:rPr>
        <w:t xml:space="preserve">The pulse package is structured roughly along the lines the specification calls for. Ingestion, simulation, optimizer, backtesting, elicitation, ai, audit, excel_bridge, api and dashboard are all present. What is missing versus §3 of the spec is the causal/ subpackage and the game_theory/ subpackage. This is the single biggest structural gap between spec and code.</w:t>
      </w:r>
    </w:p>
    <w:p>
      <w:pPr>
        <w:pStyle w:val="Heading2"/>
        <w:spacing w:after="140" w:before="280"/>
      </w:pPr>
      <w:r>
        <w:rPr>
          <w:rFonts w:ascii="Calibri" w:cs="Calibri" w:eastAsia="Calibri" w:hAnsi="Calibri"/>
          <w:b/>
          <w:bCs/>
          <w:color w:val="13315C"/>
          <w:sz w:val="28"/>
          <w:szCs w:val="28"/>
        </w:rPr>
        <w:t xml:space="preserve">5.2 Correctness and robustness</w:t>
      </w:r>
    </w:p>
    <w:p>
      <w:pPr>
        <w:spacing w:after="120" w:line="300"/>
        <w:jc w:val="both"/>
      </w:pPr>
      <w:r>
        <w:rPr>
          <w:rFonts w:ascii="Calibri" w:cs="Calibri" w:eastAsia="Calibri" w:hAnsi="Calibri"/>
          <w:sz w:val="22"/>
          <w:szCs w:val="22"/>
        </w:rPr>
        <w:t xml:space="preserve">The hot path of the simulation is well-vectorized and the code avoids the most common numpy pitfalls (no accidental broadcasting, no int/float confusion in the power operators). The ingestion and excel-bridge modules are conventional openpyxl code and we saw no obvious correctness issues in the sampling we read. Our concerns are concentrated in three places.</w:t>
      </w:r>
    </w:p>
    <w:p>
      <w:pPr>
        <w:pStyle w:val="ListParagraph"/>
        <w:numPr>
          <w:ilvl w:val="0"/>
          <w:numId w:val="3"/>
        </w:numPr>
        <w:spacing w:after="80" w:line="290"/>
      </w:pPr>
      <w:r>
        <w:rPr>
          <w:rFonts w:ascii="Calibri" w:cs="Calibri" w:eastAsia="Calibri" w:hAnsi="Calibri"/>
          <w:b/>
          <w:bCs/>
          <w:sz w:val="22"/>
          <w:szCs w:val="22"/>
        </w:rPr>
        <w:t xml:space="preserve">The _scipy_compat.py shim. </w:t>
      </w:r>
      <w:r>
        <w:rPr>
          <w:rFonts w:ascii="Calibri" w:cs="Calibri" w:eastAsia="Calibri" w:hAnsi="Calibri"/>
          <w:sz w:val="22"/>
          <w:szCs w:val="22"/>
        </w:rPr>
        <w:t xml:space="preserve">The simulation engine imports cholesky, beta_ppf, t_cdf, minimize and minimize_scalar from a local compatibility layer rather than from scipy directly. A 188-line re-implementation of scipy primitives is a correctness and supply-chain risk in a model that will feed capital allocation. We recommend making scipy a hard dependency, deleting the shim, and adding a CI check that the simulation module imports from scipy.</w:t>
      </w:r>
    </w:p>
    <w:p>
      <w:pPr>
        <w:pStyle w:val="ListParagraph"/>
        <w:numPr>
          <w:ilvl w:val="0"/>
          <w:numId w:val="3"/>
        </w:numPr>
        <w:spacing w:after="80" w:line="290"/>
      </w:pPr>
      <w:r>
        <w:rPr>
          <w:rFonts w:ascii="Calibri" w:cs="Calibri" w:eastAsia="Calibri" w:hAnsi="Calibri"/>
          <w:b/>
          <w:bCs/>
          <w:sz w:val="22"/>
          <w:szCs w:val="22"/>
        </w:rPr>
        <w:t xml:space="preserve">Silent-continue error paths. </w:t>
      </w:r>
      <w:r>
        <w:rPr>
          <w:rFonts w:ascii="Calibri" w:cs="Calibri" w:eastAsia="Calibri" w:hAnsi="Calibri"/>
          <w:sz w:val="22"/>
          <w:szCs w:val="22"/>
        </w:rPr>
        <w:t xml:space="preserve">Multiple places (trend missing gp1_pct_affected, optimizer falling back to equal weights on exception, correlation-matrix repair) handle errors by logging a warning and continuing. For a strategy-critical model we strongly prefer to (a) refuse to run with bad inputs and (b) surface any runtime repair into the UI and the audit log.</w:t>
      </w:r>
    </w:p>
    <w:p>
      <w:pPr>
        <w:pStyle w:val="ListParagraph"/>
        <w:numPr>
          <w:ilvl w:val="0"/>
          <w:numId w:val="3"/>
        </w:numPr>
        <w:spacing w:after="80" w:line="290"/>
      </w:pPr>
      <w:r>
        <w:rPr>
          <w:rFonts w:ascii="Calibri" w:cs="Calibri" w:eastAsia="Calibri" w:hAnsi="Calibri"/>
          <w:b/>
          <w:bCs/>
          <w:sz w:val="22"/>
          <w:szCs w:val="22"/>
        </w:rPr>
        <w:t xml:space="preserve">Config is a mutable dataclass passed by reference. </w:t>
      </w:r>
      <w:r>
        <w:rPr>
          <w:rFonts w:ascii="Calibri" w:cs="Calibri" w:eastAsia="Calibri" w:hAnsi="Calibri"/>
          <w:sz w:val="22"/>
          <w:szCs w:val="22"/>
        </w:rPr>
        <w:t xml:space="preserve">BacktestingEngine._calibrate_attenuation assigns to self.config.attenuation during its search loop. If a concurrent request hits the same config instance, this produces a race. Config should be immutable (frozen dataclass or pydantic BaseModel with allow_mutation=False) and the calibrator should operate on copies.</w:t>
      </w:r>
    </w:p>
    <w:p>
      <w:pPr>
        <w:pStyle w:val="Heading2"/>
        <w:spacing w:after="140" w:before="280"/>
      </w:pPr>
      <w:r>
        <w:rPr>
          <w:rFonts w:ascii="Calibri" w:cs="Calibri" w:eastAsia="Calibri" w:hAnsi="Calibri"/>
          <w:b/>
          <w:bCs/>
          <w:color w:val="13315C"/>
          <w:sz w:val="28"/>
          <w:szCs w:val="28"/>
        </w:rPr>
        <w:t xml:space="preserve">5.3 Test coverage</w:t>
      </w:r>
    </w:p>
    <w:p>
      <w:pPr>
        <w:spacing w:after="120" w:line="300"/>
        <w:jc w:val="both"/>
      </w:pPr>
      <w:r>
        <w:rPr>
          <w:rFonts w:ascii="Calibri" w:cs="Calibri" w:eastAsia="Calibri" w:hAnsi="Calibri"/>
          <w:sz w:val="22"/>
          <w:szCs w:val="22"/>
        </w:rPr>
        <w:t xml:space="preserve">The tests/ directory contains eleven test modules covering the Bayesian MC engine, CVaR, reverse stress, sensitivity, Sobol, tipping points, the optimizer, scanner routes, and the API. The test suite is non-trivial and is a credit to the team. We have three concerns about what is not tested.</w:t>
      </w:r>
    </w:p>
    <w:p>
      <w:pPr>
        <w:pStyle w:val="ListParagraph"/>
        <w:numPr>
          <w:ilvl w:val="0"/>
          <w:numId w:val="3"/>
        </w:numPr>
        <w:spacing w:after="80" w:line="290"/>
      </w:pPr>
      <w:r>
        <w:rPr>
          <w:rFonts w:ascii="Calibri" w:cs="Calibri" w:eastAsia="Calibri" w:hAnsi="Calibri"/>
          <w:sz w:val="22"/>
          <w:szCs w:val="22"/>
        </w:rPr>
        <w:t xml:space="preserve">There is no integration test that exercises the full ingest → simulate → optimize → export pipeline against a fixed reference V12 and compares every cell of the Shift Matrix to a golden file. Without this, regressions in any of the seven modules will escape detection.</w:t>
      </w:r>
    </w:p>
    <w:p>
      <w:pPr>
        <w:pStyle w:val="ListParagraph"/>
        <w:numPr>
          <w:ilvl w:val="0"/>
          <w:numId w:val="3"/>
        </w:numPr>
        <w:spacing w:after="80" w:line="290"/>
      </w:pPr>
      <w:r>
        <w:rPr>
          <w:rFonts w:ascii="Calibri" w:cs="Calibri" w:eastAsia="Calibri" w:hAnsi="Calibri"/>
          <w:sz w:val="22"/>
          <w:szCs w:val="22"/>
        </w:rPr>
        <w:t xml:space="preserve">The Power BI export contract described in §9 of the spec has no test. test_shift_matrix_to_powerbi_format and test_powerbi_dag_join_key_consistency do not exist in the tests directory we inspected.</w:t>
      </w:r>
    </w:p>
    <w:p>
      <w:pPr>
        <w:pStyle w:val="ListParagraph"/>
        <w:numPr>
          <w:ilvl w:val="0"/>
          <w:numId w:val="3"/>
        </w:numPr>
        <w:spacing w:after="80" w:line="290"/>
      </w:pPr>
      <w:r>
        <w:rPr>
          <w:rFonts w:ascii="Calibri" w:cs="Calibri" w:eastAsia="Calibri" w:hAnsi="Calibri"/>
          <w:sz w:val="22"/>
          <w:szCs w:val="22"/>
        </w:rPr>
        <w:t xml:space="preserve">Property-based tests (hypothesis is in the requirements) are not being used in the quantitative modules. Property tests — e.g., "the median of the shift samples is monotonic in attenuation" or "multiplicative compounding is invariant under force ordering" — would catch classes of bugs that example-based tests will not.</w:t>
      </w:r>
    </w:p>
    <w:p>
      <w:pPr>
        <w:pStyle w:val="Heading2"/>
        <w:spacing w:after="140" w:before="280"/>
      </w:pPr>
      <w:r>
        <w:rPr>
          <w:rFonts w:ascii="Calibri" w:cs="Calibri" w:eastAsia="Calibri" w:hAnsi="Calibri"/>
          <w:b/>
          <w:bCs/>
          <w:color w:val="13315C"/>
          <w:sz w:val="28"/>
          <w:szCs w:val="28"/>
        </w:rPr>
        <w:t xml:space="preserve">5.4 API design and surface area</w:t>
      </w:r>
    </w:p>
    <w:p>
      <w:pPr>
        <w:spacing w:after="120" w:line="300"/>
        <w:jc w:val="both"/>
      </w:pPr>
      <w:r>
        <w:rPr>
          <w:rFonts w:ascii="Calibri" w:cs="Calibri" w:eastAsia="Calibri" w:hAnsi="Calibri"/>
          <w:sz w:val="22"/>
          <w:szCs w:val="22"/>
        </w:rPr>
        <w:t xml:space="preserve">The FastAPI surface is broadly aligned with the specification. We noted that /config is a single PUT endpoint that accepts a free-form dict; we recommend pydantic validation per field with an explicit allow-list, versioned config snapshots on every change, and a dry-run mode that reports what would invalidate cached simulations without actually invalidating them.</w:t>
      </w:r>
    </w:p>
    <w:p>
      <w:pPr>
        <w:pStyle w:val="Heading2"/>
        <w:spacing w:after="140" w:before="280"/>
      </w:pPr>
      <w:r>
        <w:rPr>
          <w:rFonts w:ascii="Calibri" w:cs="Calibri" w:eastAsia="Calibri" w:hAnsi="Calibri"/>
          <w:b/>
          <w:bCs/>
          <w:color w:val="13315C"/>
          <w:sz w:val="28"/>
          <w:szCs w:val="28"/>
        </w:rPr>
        <w:t xml:space="preserve">5.5 Documentation and code hygiene</w:t>
      </w:r>
    </w:p>
    <w:p>
      <w:pPr>
        <w:spacing w:after="120" w:line="300"/>
        <w:jc w:val="both"/>
      </w:pPr>
      <w:r>
        <w:rPr>
          <w:rFonts w:ascii="Calibri" w:cs="Calibri" w:eastAsia="Calibri" w:hAnsi="Calibri"/>
          <w:sz w:val="22"/>
          <w:szCs w:val="22"/>
        </w:rPr>
        <w:t xml:space="preserve">Module-level docstrings are present and informative. Class and function docstrings are uneven — the hot-path functions in bayesian_mc.py are well documented, the optimizer functions less so, and several AI-layer modules have docstrings that describe an earlier API. Type hints are present in most signatures but inconsistent in return types. We recommend a single pass to (i) unify return-type annotations, (ii) remove documentation for behaviours the code no longer has, and (iii) add "raises" sections wherever a function can terminate early.</w:t>
      </w:r>
    </w:p>
    <w:p>
      <w:pPr>
        <w:pStyle w:val="Heading1"/>
        <w:pageBreakBefore/>
        <w:spacing w:after="200" w:before="360"/>
      </w:pPr>
      <w:r>
        <w:rPr>
          <w:rFonts w:ascii="Calibri" w:cs="Calibri" w:eastAsia="Calibri" w:hAnsi="Calibri"/>
          <w:b/>
          <w:bCs/>
          <w:color w:val="0B2545"/>
          <w:sz w:val="36"/>
          <w:szCs w:val="36"/>
        </w:rPr>
        <w:t xml:space="preserve">6. Design &amp; UX Review (Apple lens)</w:t>
      </w:r>
    </w:p>
    <w:p>
      <w:pPr>
        <w:pStyle w:val="Heading2"/>
        <w:spacing w:after="140" w:before="280"/>
      </w:pPr>
      <w:r>
        <w:rPr>
          <w:rFonts w:ascii="Calibri" w:cs="Calibri" w:eastAsia="Calibri" w:hAnsi="Calibri"/>
          <w:b/>
          <w:bCs/>
          <w:color w:val="13315C"/>
          <w:sz w:val="28"/>
          <w:szCs w:val="28"/>
        </w:rPr>
        <w:t xml:space="preserve">6.1 The war-room concept</w:t>
      </w:r>
    </w:p>
    <w:p>
      <w:pPr>
        <w:spacing w:after="120" w:line="300"/>
        <w:jc w:val="both"/>
      </w:pPr>
      <w:r>
        <w:rPr>
          <w:rFonts w:ascii="Calibri" w:cs="Calibri" w:eastAsia="Calibri" w:hAnsi="Calibri"/>
          <w:sz w:val="22"/>
          <w:szCs w:val="22"/>
        </w:rPr>
        <w:t xml:space="preserve">The single-page war-room with contextual drill-down is the right answer for an executive audience. Eight tabs would be wrong for this user; one screen that tells the story, with panels that slide in on demand, is right. The Apple team endorses the concept unreservedly.</w:t>
      </w:r>
    </w:p>
    <w:p>
      <w:pPr>
        <w:pStyle w:val="Heading2"/>
        <w:spacing w:after="140" w:before="280"/>
      </w:pPr>
      <w:r>
        <w:rPr>
          <w:rFonts w:ascii="Calibri" w:cs="Calibri" w:eastAsia="Calibri" w:hAnsi="Calibri"/>
          <w:b/>
          <w:bCs/>
          <w:color w:val="13315C"/>
          <w:sz w:val="28"/>
          <w:szCs w:val="28"/>
        </w:rPr>
        <w:t xml:space="preserve">6.2 Where the design is strong</w:t>
      </w:r>
    </w:p>
    <w:p>
      <w:pPr>
        <w:pStyle w:val="ListParagraph"/>
        <w:numPr>
          <w:ilvl w:val="0"/>
          <w:numId w:val="3"/>
        </w:numPr>
        <w:spacing w:after="80" w:line="290"/>
      </w:pPr>
      <w:r>
        <w:rPr>
          <w:rFonts w:ascii="Calibri" w:cs="Calibri" w:eastAsia="Calibri" w:hAnsi="Calibri"/>
          <w:sz w:val="22"/>
          <w:szCs w:val="22"/>
        </w:rPr>
        <w:t xml:space="preserve">The typographic choices (Inter for UI, JetBrains Mono for data) are correct and will age well.</w:t>
      </w:r>
    </w:p>
    <w:p>
      <w:pPr>
        <w:pStyle w:val="ListParagraph"/>
        <w:numPr>
          <w:ilvl w:val="0"/>
          <w:numId w:val="3"/>
        </w:numPr>
        <w:spacing w:after="80" w:line="290"/>
      </w:pPr>
      <w:r>
        <w:rPr>
          <w:rFonts w:ascii="Calibri" w:cs="Calibri" w:eastAsia="Calibri" w:hAnsi="Calibri"/>
          <w:sz w:val="22"/>
          <w:szCs w:val="22"/>
        </w:rPr>
        <w:t xml:space="preserve">The dark palette centred on #0F172A with semantic reds and greens is restrained and professional; we would only narrow the accent palette further before production.</w:t>
      </w:r>
    </w:p>
    <w:p>
      <w:pPr>
        <w:pStyle w:val="ListParagraph"/>
        <w:numPr>
          <w:ilvl w:val="0"/>
          <w:numId w:val="3"/>
        </w:numPr>
        <w:spacing w:after="80" w:line="290"/>
      </w:pPr>
      <w:r>
        <w:rPr>
          <w:rFonts w:ascii="Calibri" w:cs="Calibri" w:eastAsia="Calibri" w:hAnsi="Calibri"/>
          <w:sz w:val="22"/>
          <w:szCs w:val="22"/>
        </w:rPr>
        <w:t xml:space="preserve">The glassmorphism drawer pattern for the contextual panel is the right metaphor and is well-specified.</w:t>
      </w:r>
    </w:p>
    <w:p>
      <w:pPr>
        <w:pStyle w:val="ListParagraph"/>
        <w:numPr>
          <w:ilvl w:val="0"/>
          <w:numId w:val="3"/>
        </w:numPr>
        <w:spacing w:after="80" w:line="290"/>
      </w:pPr>
      <w:r>
        <w:rPr>
          <w:rFonts w:ascii="Calibri" w:cs="Calibri" w:eastAsia="Calibri" w:hAnsi="Calibri"/>
          <w:sz w:val="22"/>
          <w:szCs w:val="22"/>
        </w:rPr>
        <w:t xml:space="preserve">The decision to reserve purple (#8B5CF6) exclusively for causal-flow elements is disciplined and the kind of colour hygiene that separates professional tools from demo-ware.</w:t>
      </w:r>
    </w:p>
    <w:p>
      <w:pPr>
        <w:pStyle w:val="Heading2"/>
        <w:spacing w:after="140" w:before="280"/>
      </w:pPr>
      <w:r>
        <w:rPr>
          <w:rFonts w:ascii="Calibri" w:cs="Calibri" w:eastAsia="Calibri" w:hAnsi="Calibri"/>
          <w:b/>
          <w:bCs/>
          <w:color w:val="13315C"/>
          <w:sz w:val="28"/>
          <w:szCs w:val="28"/>
        </w:rPr>
        <w:t xml:space="preserve">6.3 Where the design needs work</w:t>
      </w:r>
    </w:p>
    <w:p>
      <w:pPr>
        <w:pStyle w:val="ListParagraph"/>
        <w:numPr>
          <w:ilvl w:val="0"/>
          <w:numId w:val="3"/>
        </w:numPr>
        <w:spacing w:after="80" w:line="290"/>
      </w:pPr>
      <w:r>
        <w:rPr>
          <w:rFonts w:ascii="Calibri" w:cs="Calibri" w:eastAsia="Calibri" w:hAnsi="Calibri"/>
          <w:sz w:val="22"/>
          <w:szCs w:val="22"/>
        </w:rPr>
        <w:t xml:space="preserve">The "animated causal flow" is dependent on a causal layer that does not yet exist (see §4.4). Until the DAG is built, this animation will be showing correlations, not causes — a visual misrepresentation we consider a governance risk.</w:t>
      </w:r>
    </w:p>
    <w:p>
      <w:pPr>
        <w:pStyle w:val="ListParagraph"/>
        <w:numPr>
          <w:ilvl w:val="0"/>
          <w:numId w:val="3"/>
        </w:numPr>
        <w:spacing w:after="80" w:line="290"/>
      </w:pPr>
      <w:r>
        <w:rPr>
          <w:rFonts w:ascii="Calibri" w:cs="Calibri" w:eastAsia="Calibri" w:hAnsi="Calibri"/>
          <w:sz w:val="22"/>
          <w:szCs w:val="22"/>
        </w:rPr>
        <w:t xml:space="preserve">The headline KPI ("Net Pool Shift: −3.1% (80% CI: −1.5% to −5.5%), Model Accuracy: 73%") puts two load-bearing numbers on the most visible surface. The accuracy figure is not earned by the backtesting engine today (see §4.6) and should be either hidden or replaced by a status chip ("Calibration: not yet available") until it is.</w:t>
      </w:r>
    </w:p>
    <w:p>
      <w:pPr>
        <w:pStyle w:val="ListParagraph"/>
        <w:numPr>
          <w:ilvl w:val="0"/>
          <w:numId w:val="3"/>
        </w:numPr>
        <w:spacing w:after="80" w:line="290"/>
      </w:pPr>
      <w:r>
        <w:rPr>
          <w:rFonts w:ascii="Calibri" w:cs="Calibri" w:eastAsia="Calibri" w:hAnsi="Calibri"/>
          <w:sz w:val="22"/>
          <w:szCs w:val="22"/>
        </w:rPr>
        <w:t xml:space="preserve">The "Model Version: bayesian_copula_v1" label in the sample shift matrix is a single token. We recommend a semver triple plus a config-hash so an analyst can tell at a glance whether two outputs are comparable.</w:t>
      </w:r>
    </w:p>
    <w:p>
      <w:pPr>
        <w:pStyle w:val="ListParagraph"/>
        <w:numPr>
          <w:ilvl w:val="0"/>
          <w:numId w:val="3"/>
        </w:numPr>
        <w:spacing w:after="80" w:line="290"/>
      </w:pPr>
      <w:r>
        <w:rPr>
          <w:rFonts w:ascii="Calibri" w:cs="Calibri" w:eastAsia="Calibri" w:hAnsi="Calibri"/>
          <w:sz w:val="22"/>
          <w:szCs w:val="22"/>
        </w:rPr>
        <w:t xml:space="preserve">iPad use in ExCo presentations is promised in the spec. The Apple team's experience is that this requires explicit touch-target sizing, gesture handling, and safe-area treatment that is not mentioned in the design system; a dedicated iPad pass is likely needed.</w:t>
      </w:r>
    </w:p>
    <w:p>
      <w:pPr>
        <w:pStyle w:val="Heading2"/>
        <w:spacing w:after="140" w:before="280"/>
      </w:pPr>
      <w:r>
        <w:rPr>
          <w:rFonts w:ascii="Calibri" w:cs="Calibri" w:eastAsia="Calibri" w:hAnsi="Calibri"/>
          <w:b/>
          <w:bCs/>
          <w:color w:val="13315C"/>
          <w:sz w:val="28"/>
          <w:szCs w:val="28"/>
        </w:rPr>
        <w:t xml:space="preserve">6.4 Motion and micro-interactions</w:t>
      </w:r>
    </w:p>
    <w:p>
      <w:pPr>
        <w:spacing w:after="120" w:line="300"/>
        <w:jc w:val="both"/>
      </w:pPr>
      <w:r>
        <w:rPr>
          <w:rFonts w:ascii="Calibri" w:cs="Calibri" w:eastAsia="Calibri" w:hAnsi="Calibri"/>
          <w:sz w:val="22"/>
          <w:szCs w:val="22"/>
        </w:rPr>
        <w:t xml:space="preserve">60fps is achievable on modern laptops for the heatmap and path timeline. We would want to see a performance budget documented per panel (e.g., "heatmap hover reveals ≤ 16 ms frame budget, causal flow animation ≤ 8 ms per frame on a 2022 MacBook Pro M1") and a visible FPS counter in development builds. Without a budget, the 60fps promise is aspirational.</w:t>
      </w:r>
    </w:p>
    <w:p>
      <w:pPr>
        <w:pStyle w:val="Heading2"/>
        <w:spacing w:after="140" w:before="280"/>
      </w:pPr>
      <w:r>
        <w:rPr>
          <w:rFonts w:ascii="Calibri" w:cs="Calibri" w:eastAsia="Calibri" w:hAnsi="Calibri"/>
          <w:b/>
          <w:bCs/>
          <w:color w:val="13315C"/>
          <w:sz w:val="28"/>
          <w:szCs w:val="28"/>
        </w:rPr>
        <w:t xml:space="preserve">6.5 Accessibility and localization</w:t>
      </w:r>
    </w:p>
    <w:p>
      <w:pPr>
        <w:spacing w:after="120" w:line="300"/>
        <w:jc w:val="both"/>
      </w:pPr>
      <w:r>
        <w:rPr>
          <w:rFonts w:ascii="Calibri" w:cs="Calibri" w:eastAsia="Calibri" w:hAnsi="Calibri"/>
          <w:sz w:val="22"/>
          <w:szCs w:val="22"/>
        </w:rPr>
        <w:t xml:space="preserve">Neither accessibility (WCAG 2.2 AA) nor localization (DE/EN dual-language for a German-headquartered Board) is mentioned in the specification. For a CEO-facing tool at Henkel, both are table-stakes. This is a gap to close before Q3 rollout.</w:t>
      </w:r>
    </w:p>
    <w:p>
      <w:pPr>
        <w:pStyle w:val="Heading1"/>
        <w:pageBreakBefore/>
        <w:spacing w:after="200" w:before="360"/>
      </w:pPr>
      <w:r>
        <w:rPr>
          <w:rFonts w:ascii="Calibri" w:cs="Calibri" w:eastAsia="Calibri" w:hAnsi="Calibri"/>
          <w:b/>
          <w:bCs/>
          <w:color w:val="0B2545"/>
          <w:sz w:val="36"/>
          <w:szCs w:val="36"/>
        </w:rPr>
        <w:t xml:space="preserve">7. Data, Trend Database and Source Integrity</w:t>
      </w:r>
    </w:p>
    <w:p>
      <w:pPr>
        <w:spacing w:after="120" w:line="300"/>
        <w:jc w:val="both"/>
      </w:pPr>
      <w:r>
        <w:rPr>
          <w:rFonts w:ascii="Calibri" w:cs="Calibri" w:eastAsia="Calibri" w:hAnsi="Calibri"/>
          <w:sz w:val="22"/>
          <w:szCs w:val="22"/>
        </w:rPr>
        <w:t xml:space="preserve">The v2.3.1 trend database contains 55 trends across six forces with a 9-tier source-credibility system (S through E). The expansion to 55 and the introduction of the credibility tiers are both sound editorial decisions and the distribution (Consumer 15, Technology 10, Environmental 8, Government 8, Customer 7, Competitive 7) is defensible for a European CPG profit-pool model.</w:t>
      </w:r>
    </w:p>
    <w:p>
      <w:pPr>
        <w:pStyle w:val="Heading2"/>
        <w:spacing w:after="140" w:before="280"/>
      </w:pPr>
      <w:r>
        <w:rPr>
          <w:rFonts w:ascii="Calibri" w:cs="Calibri" w:eastAsia="Calibri" w:hAnsi="Calibri"/>
          <w:b/>
          <w:bCs/>
          <w:color w:val="13315C"/>
          <w:sz w:val="28"/>
          <w:szCs w:val="28"/>
        </w:rPr>
        <w:t xml:space="preserve">7.1 Strengths</w:t>
      </w:r>
    </w:p>
    <w:p>
      <w:pPr>
        <w:pStyle w:val="ListParagraph"/>
        <w:numPr>
          <w:ilvl w:val="0"/>
          <w:numId w:val="3"/>
        </w:numPr>
        <w:spacing w:after="80" w:line="290"/>
      </w:pPr>
      <w:r>
        <w:rPr>
          <w:rFonts w:ascii="Calibri" w:cs="Calibri" w:eastAsia="Calibri" w:hAnsi="Calibri"/>
          <w:sz w:val="22"/>
          <w:szCs w:val="22"/>
        </w:rPr>
        <w:t xml:space="preserve">Every trend carries a direction, a probability, a gp1_pct_affected, a peak_year, and a diffusion curve. The per-trend discipline is visible in the data and is a big step up from V12's aggregate scoring.</w:t>
      </w:r>
    </w:p>
    <w:p>
      <w:pPr>
        <w:pStyle w:val="ListParagraph"/>
        <w:numPr>
          <w:ilvl w:val="0"/>
          <w:numId w:val="3"/>
        </w:numPr>
        <w:spacing w:after="80" w:line="290"/>
      </w:pPr>
      <w:r>
        <w:rPr>
          <w:rFonts w:ascii="Calibri" w:cs="Calibri" w:eastAsia="Calibri" w:hAnsi="Calibri"/>
          <w:sz w:val="22"/>
          <w:szCs w:val="22"/>
        </w:rPr>
        <w:t xml:space="preserve">The S/A/A-/B+/B/B-/C/D/E credibility tiers give the analyst a principled way to discount evidence. The colour-coded badge in the UI is a good idea.</w:t>
      </w:r>
    </w:p>
    <w:p>
      <w:pPr>
        <w:pStyle w:val="ListParagraph"/>
        <w:numPr>
          <w:ilvl w:val="0"/>
          <w:numId w:val="3"/>
        </w:numPr>
        <w:spacing w:after="80" w:line="290"/>
      </w:pPr>
      <w:r>
        <w:rPr>
          <w:rFonts w:ascii="Calibri" w:cs="Calibri" w:eastAsia="Calibri" w:hAnsi="Calibri"/>
          <w:sz w:val="22"/>
          <w:szCs w:val="22"/>
        </w:rPr>
        <w:t xml:space="preserve">The cross-trend consistency of the scoring vocabulary (Expansion / Contraction, 1–5 probability) is high by the standards of this kind of asset.</w:t>
      </w:r>
    </w:p>
    <w:p>
      <w:pPr>
        <w:pStyle w:val="Heading2"/>
        <w:spacing w:after="140" w:before="280"/>
      </w:pPr>
      <w:r>
        <w:rPr>
          <w:rFonts w:ascii="Calibri" w:cs="Calibri" w:eastAsia="Calibri" w:hAnsi="Calibri"/>
          <w:b/>
          <w:bCs/>
          <w:color w:val="13315C"/>
          <w:sz w:val="28"/>
          <w:szCs w:val="28"/>
        </w:rPr>
        <w:t xml:space="preserve">7.2 Concerns</w:t>
      </w:r>
    </w:p>
    <w:p>
      <w:pPr>
        <w:pStyle w:val="ListParagraph"/>
        <w:numPr>
          <w:ilvl w:val="0"/>
          <w:numId w:val="3"/>
        </w:numPr>
        <w:spacing w:after="80" w:line="290"/>
      </w:pPr>
      <w:r>
        <w:rPr>
          <w:rFonts w:ascii="Calibri" w:cs="Calibri" w:eastAsia="Calibri" w:hAnsi="Calibri"/>
          <w:sz w:val="22"/>
          <w:szCs w:val="22"/>
        </w:rPr>
        <w:t xml:space="preserve">The geographic weighting of the database is European-regulator-heavy (ECHA, EUR-Lex, PFAS, DPP). For a global CPG, this is a blind spot in Asia-Pacific and North America that the Panel would want closed before PRISM is used for global portfolio decisions.</w:t>
      </w:r>
    </w:p>
    <w:p>
      <w:pPr>
        <w:pStyle w:val="ListParagraph"/>
        <w:numPr>
          <w:ilvl w:val="0"/>
          <w:numId w:val="3"/>
        </w:numPr>
        <w:spacing w:after="80" w:line="290"/>
      </w:pPr>
      <w:r>
        <w:rPr>
          <w:rFonts w:ascii="Calibri" w:cs="Calibri" w:eastAsia="Calibri" w:hAnsi="Calibri"/>
          <w:sz w:val="22"/>
          <w:szCs w:val="22"/>
        </w:rPr>
        <w:t xml:space="preserve">The tier-E "social media / unverified" category should, by the spec's own rule, never appear without B-tier corroboration. There is no code-level enforcement that a trend with only tier-E sources cannot enter the simulation. A simple ingestion-time gate would close this.</w:t>
      </w:r>
    </w:p>
    <w:p>
      <w:pPr>
        <w:pStyle w:val="ListParagraph"/>
        <w:numPr>
          <w:ilvl w:val="0"/>
          <w:numId w:val="3"/>
        </w:numPr>
        <w:spacing w:after="80" w:line="290"/>
      </w:pPr>
      <w:r>
        <w:rPr>
          <w:rFonts w:ascii="Calibri" w:cs="Calibri" w:eastAsia="Calibri" w:hAnsi="Calibri"/>
          <w:sz w:val="22"/>
          <w:szCs w:val="22"/>
        </w:rPr>
        <w:t xml:space="preserve">The gp1_pct_affected anchors (2%–25%) are "AI-preset, expert-adjustable" but the Delphi protocol in v2.3 is only enforced on probability. The economic-magnitude dimension — which enters the formula multiplicatively — is therefore the less-governed of the two.</w:t>
      </w:r>
    </w:p>
    <w:p>
      <w:pPr>
        <w:pStyle w:val="ListParagraph"/>
        <w:numPr>
          <w:ilvl w:val="0"/>
          <w:numId w:val="3"/>
        </w:numPr>
        <w:spacing w:after="80" w:line="290"/>
      </w:pPr>
      <w:r>
        <w:rPr>
          <w:rFonts w:ascii="Calibri" w:cs="Calibri" w:eastAsia="Calibri" w:hAnsi="Calibri"/>
          <w:sz w:val="22"/>
          <w:szCs w:val="22"/>
        </w:rPr>
        <w:t xml:space="preserve">We did not find a documented process for retiring stale trends. The staleness-detection capability is promised in the AI scanner but is not visible in the war-room.</w:t>
      </w:r>
    </w:p>
    <w:p>
      <w:pPr>
        <w:pStyle w:val="Heading1"/>
        <w:pageBreakBefore/>
        <w:spacing w:after="200" w:before="360"/>
      </w:pPr>
      <w:r>
        <w:rPr>
          <w:rFonts w:ascii="Calibri" w:cs="Calibri" w:eastAsia="Calibri" w:hAnsi="Calibri"/>
          <w:b/>
          <w:bCs/>
          <w:color w:val="0B2545"/>
          <w:sz w:val="36"/>
          <w:szCs w:val="36"/>
        </w:rPr>
        <w:t xml:space="preserve">8. Governance, Embedding and Adoption</w:t>
      </w:r>
    </w:p>
    <w:p>
      <w:pPr>
        <w:spacing w:after="120" w:line="300"/>
        <w:jc w:val="both"/>
      </w:pPr>
      <w:r>
        <w:rPr>
          <w:rFonts w:ascii="Calibri" w:cs="Calibri" w:eastAsia="Calibri" w:hAnsi="Calibri"/>
          <w:sz w:val="22"/>
          <w:szCs w:val="22"/>
        </w:rPr>
        <w:t xml:space="preserve">The RACI, the annual planning cycle integration, and the decision-rights framework in §4 of the specification are well-designed on paper. In our combined experience of landing tools of this kind at CPG scale, the two failure modes are (a) the tool works but no-one uses it and (b) the tool is used but not trusted. PRISM's spec addresses (a) well and (b) less well.</w:t>
      </w:r>
    </w:p>
    <w:p>
      <w:pPr>
        <w:pStyle w:val="Heading2"/>
        <w:spacing w:after="140" w:before="280"/>
      </w:pPr>
      <w:r>
        <w:rPr>
          <w:rFonts w:ascii="Calibri" w:cs="Calibri" w:eastAsia="Calibri" w:hAnsi="Calibri"/>
          <w:b/>
          <w:bCs/>
          <w:color w:val="13315C"/>
          <w:sz w:val="28"/>
          <w:szCs w:val="28"/>
        </w:rPr>
        <w:t xml:space="preserve">8.1 What is right</w:t>
      </w:r>
    </w:p>
    <w:p>
      <w:pPr>
        <w:pStyle w:val="ListParagraph"/>
        <w:numPr>
          <w:ilvl w:val="0"/>
          <w:numId w:val="3"/>
        </w:numPr>
        <w:spacing w:after="80" w:line="290"/>
      </w:pPr>
      <w:r>
        <w:rPr>
          <w:rFonts w:ascii="Calibri" w:cs="Calibri" w:eastAsia="Calibri" w:hAnsi="Calibri"/>
          <w:sz w:val="22"/>
          <w:szCs w:val="22"/>
        </w:rPr>
        <w:t xml:space="preserve">Delphi scoring is assigned to Category Leads with the Strategy VP accountable. This is the right split.</w:t>
      </w:r>
    </w:p>
    <w:p>
      <w:pPr>
        <w:pStyle w:val="ListParagraph"/>
        <w:numPr>
          <w:ilvl w:val="0"/>
          <w:numId w:val="3"/>
        </w:numPr>
        <w:spacing w:after="80" w:line="290"/>
      </w:pPr>
      <w:r>
        <w:rPr>
          <w:rFonts w:ascii="Calibri" w:cs="Calibri" w:eastAsia="Calibri" w:hAnsi="Calibri"/>
          <w:sz w:val="22"/>
          <w:szCs w:val="22"/>
        </w:rPr>
        <w:t xml:space="preserve">Model parameters are owned by Data &amp; Analytics, not negotiable with line leaders. This is crucial and will be unpopular; it should be defended.</w:t>
      </w:r>
    </w:p>
    <w:p>
      <w:pPr>
        <w:pStyle w:val="ListParagraph"/>
        <w:numPr>
          <w:ilvl w:val="0"/>
          <w:numId w:val="3"/>
        </w:numPr>
        <w:spacing w:after="80" w:line="290"/>
      </w:pPr>
      <w:r>
        <w:rPr>
          <w:rFonts w:ascii="Calibri" w:cs="Calibri" w:eastAsia="Calibri" w:hAnsi="Calibri"/>
          <w:sz w:val="22"/>
          <w:szCs w:val="22"/>
        </w:rPr>
        <w:t xml:space="preserve">Prediction accuracy of individual scorers is tracked over time. This creates the feedback loop that builds Delphi discipline.</w:t>
      </w:r>
    </w:p>
    <w:p>
      <w:pPr>
        <w:pStyle w:val="Heading2"/>
        <w:spacing w:after="140" w:before="280"/>
      </w:pPr>
      <w:r>
        <w:rPr>
          <w:rFonts w:ascii="Calibri" w:cs="Calibri" w:eastAsia="Calibri" w:hAnsi="Calibri"/>
          <w:b/>
          <w:bCs/>
          <w:color w:val="13315C"/>
          <w:sz w:val="28"/>
          <w:szCs w:val="28"/>
        </w:rPr>
        <w:t xml:space="preserve">8.2 What is missing</w:t>
      </w:r>
    </w:p>
    <w:p>
      <w:pPr>
        <w:pStyle w:val="ListParagraph"/>
        <w:numPr>
          <w:ilvl w:val="0"/>
          <w:numId w:val="3"/>
        </w:numPr>
        <w:spacing w:after="80" w:line="290"/>
      </w:pPr>
      <w:r>
        <w:rPr>
          <w:rFonts w:ascii="Calibri" w:cs="Calibri" w:eastAsia="Calibri" w:hAnsi="Calibri"/>
          <w:sz w:val="22"/>
          <w:szCs w:val="22"/>
        </w:rPr>
        <w:t xml:space="preserve">There is no explicit "red team" role. A tool that issues allocation recommendations to ExCo needs a named challenger function that the CFO office can invoke.</w:t>
      </w:r>
    </w:p>
    <w:p>
      <w:pPr>
        <w:pStyle w:val="ListParagraph"/>
        <w:numPr>
          <w:ilvl w:val="0"/>
          <w:numId w:val="3"/>
        </w:numPr>
        <w:spacing w:after="80" w:line="290"/>
      </w:pPr>
      <w:r>
        <w:rPr>
          <w:rFonts w:ascii="Calibri" w:cs="Calibri" w:eastAsia="Calibri" w:hAnsi="Calibri"/>
          <w:sz w:val="22"/>
          <w:szCs w:val="22"/>
        </w:rPr>
        <w:t xml:space="preserve">There is no runbook for model-change communication. When a parameter is recalibrated mid-year and the shift matrix moves materially, who informs whom and on what timeline?</w:t>
      </w:r>
    </w:p>
    <w:p>
      <w:pPr>
        <w:pStyle w:val="ListParagraph"/>
        <w:numPr>
          <w:ilvl w:val="0"/>
          <w:numId w:val="3"/>
        </w:numPr>
        <w:spacing w:after="80" w:line="290"/>
      </w:pPr>
      <w:r>
        <w:rPr>
          <w:rFonts w:ascii="Calibri" w:cs="Calibri" w:eastAsia="Calibri" w:hAnsi="Calibri"/>
          <w:sz w:val="22"/>
          <w:szCs w:val="22"/>
        </w:rPr>
        <w:t xml:space="preserve">The CFO sign-off on the attenuation factor (currently 0.5, assumed) is not represented in the RACI. Given that this single parameter dominates the headline numbers, it needs a named accountable.</w:t>
      </w:r>
    </w:p>
    <w:p>
      <w:pPr>
        <w:pStyle w:val="Heading1"/>
        <w:pageBreakBefore/>
        <w:spacing w:after="200" w:before="360"/>
      </w:pPr>
      <w:r>
        <w:rPr>
          <w:rFonts w:ascii="Calibri" w:cs="Calibri" w:eastAsia="Calibri" w:hAnsi="Calibri"/>
          <w:b/>
          <w:bCs/>
          <w:color w:val="0B2545"/>
          <w:sz w:val="36"/>
          <w:szCs w:val="36"/>
        </w:rPr>
        <w:t xml:space="preserve">9. Financial and Strategic Implications</w:t>
      </w:r>
    </w:p>
    <w:p>
      <w:pPr>
        <w:spacing w:after="120" w:line="300"/>
        <w:jc w:val="both"/>
      </w:pPr>
      <w:r>
        <w:rPr>
          <w:rFonts w:ascii="Calibri" w:cs="Calibri" w:eastAsia="Calibri" w:hAnsi="Calibri"/>
          <w:sz w:val="22"/>
          <w:szCs w:val="22"/>
        </w:rPr>
        <w:t xml:space="preserve">This section is written jointly by Bain and Goldman and is the one the CFO office will want to read most carefully. Our goal here is to quantify, at least directionally, what the model's current state means for capital-allocation decisions taken with its output.</w:t>
      </w:r>
    </w:p>
    <w:p>
      <w:pPr>
        <w:pStyle w:val="Heading2"/>
        <w:spacing w:after="140" w:before="280"/>
      </w:pPr>
      <w:r>
        <w:rPr>
          <w:rFonts w:ascii="Calibri" w:cs="Calibri" w:eastAsia="Calibri" w:hAnsi="Calibri"/>
          <w:b/>
          <w:bCs/>
          <w:color w:val="13315C"/>
          <w:sz w:val="28"/>
          <w:szCs w:val="28"/>
        </w:rPr>
        <w:t xml:space="preserve">9.1 The attenuation problem</w:t>
      </w:r>
    </w:p>
    <w:p>
      <w:pPr>
        <w:spacing w:after="120" w:line="300"/>
        <w:jc w:val="both"/>
      </w:pPr>
      <w:r>
        <w:rPr>
          <w:rFonts w:ascii="Calibri" w:cs="Calibri" w:eastAsia="Calibri" w:hAnsi="Calibri"/>
          <w:sz w:val="22"/>
          <w:szCs w:val="22"/>
        </w:rPr>
        <w:t xml:space="preserve">The attenuation factor multiplies every force contribution before multiplicative compounding. With the default of 0.5 and without backtesting, every headline percentage in PRISM is proportional to an un-calibrated constant. A ±30% range on the attenuation (i.e., 0.35 to 0.65) translates roughly to a ±30% range on the Net Pool Shift headline. On the sample headline of −3.1%, that is a band of −2.2% to −4.0% from this single parameter alone, before any other source of uncertainty. The CFO should assume that every shift number she sees today is a point estimate with an un-disclosed multiplicative uncertainty of this order.</w:t>
      </w:r>
    </w:p>
    <w:p>
      <w:pPr>
        <w:pStyle w:val="Heading2"/>
        <w:spacing w:after="140" w:before="280"/>
      </w:pPr>
      <w:r>
        <w:rPr>
          <w:rFonts w:ascii="Calibri" w:cs="Calibri" w:eastAsia="Calibri" w:hAnsi="Calibri"/>
          <w:b/>
          <w:bCs/>
          <w:color w:val="13315C"/>
          <w:sz w:val="28"/>
          <w:szCs w:val="28"/>
        </w:rPr>
        <w:t xml:space="preserve">9.2 The correlation-vs-causation problem</w:t>
      </w:r>
    </w:p>
    <w:p>
      <w:pPr>
        <w:spacing w:after="120" w:line="300"/>
        <w:jc w:val="both"/>
      </w:pPr>
      <w:r>
        <w:rPr>
          <w:rFonts w:ascii="Calibri" w:cs="Calibri" w:eastAsia="Calibri" w:hAnsi="Calibri"/>
          <w:sz w:val="22"/>
          <w:szCs w:val="22"/>
        </w:rPr>
        <w:t xml:space="preserve">Because the causal DAG is not implemented, scenarios such as Green Squeeze and Regulatory Cascade produce the same statistical object as a correlated shock. The ordering of the shifts across categories will still be informative — Color contracts, Care expands — but the magnitudes of propagated effects are not trustworthy, and the narrative explanations attached to them ("Government is driving 40% of FCN's contraction through its effect on Technology") are not earned by the code. Strategic decisions that rest on the why rather than the what should not be taken from PRISM until the DAG is built.</w:t>
      </w:r>
    </w:p>
    <w:p>
      <w:pPr>
        <w:pStyle w:val="Heading2"/>
        <w:spacing w:after="140" w:before="280"/>
      </w:pPr>
      <w:r>
        <w:rPr>
          <w:rFonts w:ascii="Calibri" w:cs="Calibri" w:eastAsia="Calibri" w:hAnsi="Calibri"/>
          <w:b/>
          <w:bCs/>
          <w:color w:val="13315C"/>
          <w:sz w:val="28"/>
          <w:szCs w:val="28"/>
        </w:rPr>
        <w:t xml:space="preserve">9.3 The optimizer problem</w:t>
      </w:r>
    </w:p>
    <w:p>
      <w:pPr>
        <w:spacing w:after="120" w:line="300"/>
        <w:jc w:val="both"/>
      </w:pPr>
      <w:r>
        <w:rPr>
          <w:rFonts w:ascii="Calibri" w:cs="Calibri" w:eastAsia="Calibri" w:hAnsi="Calibri"/>
          <w:sz w:val="22"/>
          <w:szCs w:val="22"/>
        </w:rPr>
        <w:t xml:space="preserve">The optimizer's covariance is hard-coded and its all-same-sign transform is internally inconsistent. The consequence is that the relative weights it produces are meaningful as a "directional tilt" — Care up, Color down, ADW up, IC down — but the magnitudes should not be taken as the optimal re-allocation. In a FY27 budget meeting, treat PRISM's allocation output as an input to the conversation, not as the answer.</w:t>
      </w:r>
    </w:p>
    <w:p>
      <w:pPr>
        <w:pStyle w:val="Heading2"/>
        <w:spacing w:after="140" w:before="280"/>
      </w:pPr>
      <w:r>
        <w:rPr>
          <w:rFonts w:ascii="Calibri" w:cs="Calibri" w:eastAsia="Calibri" w:hAnsi="Calibri"/>
          <w:b/>
          <w:bCs/>
          <w:color w:val="13315C"/>
          <w:sz w:val="28"/>
          <w:szCs w:val="28"/>
        </w:rPr>
        <w:t xml:space="preserve">9.4 What the CFO can safely use today</w:t>
      </w:r>
    </w:p>
    <w:p>
      <w:pPr>
        <w:spacing w:after="120" w:line="300"/>
        <w:jc w:val="both"/>
      </w:pPr>
      <w:r>
        <w:rPr>
          <w:rFonts w:ascii="Calibri" w:cs="Calibri" w:eastAsia="Calibri" w:hAnsi="Calibri"/>
          <w:sz w:val="22"/>
          <w:szCs w:val="22"/>
        </w:rPr>
        <w:t xml:space="preserve">Notwithstanding the concerns above, there is a non-trivial set of outputs from PRISM that the Panel considers safe for CFO use today, provided they are labelled. These are (i) the ordinal ranking of categories by projected shift, (ii) the trend-level sensitivity tornado (which depends on neither the DAG nor the backtest), (iii) the force-level attribution as a directional decomposition rather than a causal one, and (iv) the continuous-path velocity signal as a relative indicator of which categories are moving fastest. These four outputs, read together, are already more informative than V12, and do not depend on any of the gaps identified in §4.</w:t>
      </w:r>
    </w:p>
    <w:p>
      <w:pPr>
        <w:pStyle w:val="Heading2"/>
        <w:spacing w:after="140" w:before="280"/>
      </w:pPr>
      <w:r>
        <w:rPr>
          <w:rFonts w:ascii="Calibri" w:cs="Calibri" w:eastAsia="Calibri" w:hAnsi="Calibri"/>
          <w:b/>
          <w:bCs/>
          <w:color w:val="13315C"/>
          <w:sz w:val="28"/>
          <w:szCs w:val="28"/>
        </w:rPr>
        <w:t xml:space="preserve">9.5 What should be withheld from ExCo for now</w:t>
      </w:r>
    </w:p>
    <w:p>
      <w:pPr>
        <w:pStyle w:val="ListParagraph"/>
        <w:numPr>
          <w:ilvl w:val="0"/>
          <w:numId w:val="3"/>
        </w:numPr>
        <w:spacing w:after="80" w:line="290"/>
      </w:pPr>
      <w:r>
        <w:rPr>
          <w:rFonts w:ascii="Calibri" w:cs="Calibri" w:eastAsia="Calibri" w:hAnsi="Calibri"/>
          <w:sz w:val="22"/>
          <w:szCs w:val="22"/>
        </w:rPr>
        <w:t xml:space="preserve">Any claim about model accuracy expressed as a percentage (e.g., "73%").</w:t>
      </w:r>
    </w:p>
    <w:p>
      <w:pPr>
        <w:pStyle w:val="ListParagraph"/>
        <w:numPr>
          <w:ilvl w:val="0"/>
          <w:numId w:val="3"/>
        </w:numPr>
        <w:spacing w:after="80" w:line="290"/>
      </w:pPr>
      <w:r>
        <w:rPr>
          <w:rFonts w:ascii="Calibri" w:cs="Calibri" w:eastAsia="Calibri" w:hAnsi="Calibri"/>
          <w:sz w:val="22"/>
          <w:szCs w:val="22"/>
        </w:rPr>
        <w:t xml:space="preserve">Any causal narrative of the form "X% of category Y's contraction is explained by force Z through path W."</w:t>
      </w:r>
    </w:p>
    <w:p>
      <w:pPr>
        <w:pStyle w:val="ListParagraph"/>
        <w:numPr>
          <w:ilvl w:val="0"/>
          <w:numId w:val="3"/>
        </w:numPr>
        <w:spacing w:after="80" w:line="290"/>
      </w:pPr>
      <w:r>
        <w:rPr>
          <w:rFonts w:ascii="Calibri" w:cs="Calibri" w:eastAsia="Calibri" w:hAnsi="Calibri"/>
          <w:sz w:val="22"/>
          <w:szCs w:val="22"/>
        </w:rPr>
        <w:t xml:space="preserve">Any dollar-denominated projection generated by applying the Shift Matrix to a financial base without the CFO office's explicit endorsement of the attenuation assumption.</w:t>
      </w:r>
    </w:p>
    <w:p>
      <w:pPr>
        <w:pStyle w:val="ListParagraph"/>
        <w:numPr>
          <w:ilvl w:val="0"/>
          <w:numId w:val="3"/>
        </w:numPr>
        <w:spacing w:after="80" w:line="290"/>
      </w:pPr>
      <w:r>
        <w:rPr>
          <w:rFonts w:ascii="Calibri" w:cs="Calibri" w:eastAsia="Calibri" w:hAnsi="Calibri"/>
          <w:sz w:val="22"/>
          <w:szCs w:val="22"/>
        </w:rPr>
        <w:t xml:space="preserve">Any specific allocation recommendation presented as "the optimizer's answer".</w:t>
      </w:r>
    </w:p>
    <w:p>
      <w:pPr>
        <w:pStyle w:val="Heading1"/>
        <w:pageBreakBefore/>
        <w:spacing w:after="200" w:before="360"/>
      </w:pPr>
      <w:r>
        <w:rPr>
          <w:rFonts w:ascii="Calibri" w:cs="Calibri" w:eastAsia="Calibri" w:hAnsi="Calibri"/>
          <w:b/>
          <w:bCs/>
          <w:color w:val="0B2545"/>
          <w:sz w:val="36"/>
          <w:szCs w:val="36"/>
        </w:rPr>
        <w:t xml:space="preserve">10. Security, Deployment and Operations</w:t>
      </w:r>
    </w:p>
    <w:p>
      <w:pPr>
        <w:spacing w:after="120" w:line="300"/>
        <w:jc w:val="both"/>
      </w:pPr>
      <w:r>
        <w:rPr>
          <w:rFonts w:ascii="Calibri" w:cs="Calibri" w:eastAsia="Calibri" w:hAnsi="Calibri"/>
          <w:sz w:val="22"/>
          <w:szCs w:val="22"/>
        </w:rPr>
        <w:t xml:space="preserve">The specification is careful about information security — financial data stays in Excel and Power BI, PRISM sees only percentage shifts, the LLM provider is swappable and lands on Azure OpenAI in production. These are the right instincts. We have three operational observations.</w:t>
      </w:r>
    </w:p>
    <w:p>
      <w:pPr>
        <w:pStyle w:val="ListParagraph"/>
        <w:numPr>
          <w:ilvl w:val="0"/>
          <w:numId w:val="3"/>
        </w:numPr>
        <w:spacing w:after="80" w:line="290"/>
      </w:pPr>
      <w:r>
        <w:rPr>
          <w:rFonts w:ascii="Calibri" w:cs="Calibri" w:eastAsia="Calibri" w:hAnsi="Calibri"/>
          <w:sz w:val="22"/>
          <w:szCs w:val="22"/>
        </w:rPr>
        <w:t xml:space="preserve">The Claude API key is stored in an environment variable in the MVP configuration. In a Henkel context, we recommend that even the MVP run against Azure OpenAI from day one, rather than deferring the switch. The "one-line config change" promised by the provider-agnostic abstraction should be taken on day zero, not later.</w:t>
      </w:r>
    </w:p>
    <w:p>
      <w:pPr>
        <w:pStyle w:val="ListParagraph"/>
        <w:numPr>
          <w:ilvl w:val="0"/>
          <w:numId w:val="3"/>
        </w:numPr>
        <w:spacing w:after="80" w:line="290"/>
      </w:pPr>
      <w:r>
        <w:rPr>
          <w:rFonts w:ascii="Calibri" w:cs="Calibri" w:eastAsia="Calibri" w:hAnsi="Calibri"/>
          <w:sz w:val="22"/>
          <w:szCs w:val="22"/>
        </w:rPr>
        <w:t xml:space="preserve">Audit logging is specified but the code path for mutable operations (PUT /config, trend override, Delphi round closure) should emit an audit entry as an atomic transaction with the operation, not as a best-effort after-call. We did not see this guarantee in the code.</w:t>
      </w:r>
    </w:p>
    <w:p>
      <w:pPr>
        <w:pStyle w:val="ListParagraph"/>
        <w:numPr>
          <w:ilvl w:val="0"/>
          <w:numId w:val="3"/>
        </w:numPr>
        <w:spacing w:after="80" w:line="290"/>
      </w:pPr>
      <w:r>
        <w:rPr>
          <w:rFonts w:ascii="Calibri" w:cs="Calibri" w:eastAsia="Calibri" w:hAnsi="Calibri"/>
          <w:sz w:val="22"/>
          <w:szCs w:val="22"/>
        </w:rPr>
        <w:t xml:space="preserve">There is no documented backup-and-restore plan for the SQLite database. For a tool that will hold multi-round Delphi scoring, this is a data-loss risk.</w:t>
      </w:r>
    </w:p>
    <w:p>
      <w:pPr>
        <w:pStyle w:val="Heading1"/>
        <w:pageBreakBefore/>
        <w:spacing w:after="200" w:before="360"/>
      </w:pPr>
      <w:r>
        <w:rPr>
          <w:rFonts w:ascii="Calibri" w:cs="Calibri" w:eastAsia="Calibri" w:hAnsi="Calibri"/>
          <w:b/>
          <w:bCs/>
          <w:color w:val="0B2545"/>
          <w:sz w:val="36"/>
          <w:szCs w:val="36"/>
        </w:rPr>
        <w:t xml:space="preserve">11. Consolidated Risk Register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900"/>
        <w:gridCol w:w="4260"/>
      </w:tblGrid>
      <w:tr>
        <w:trPr>
          <w:tblHeader/>
        </w:trPr>
        <w:tc>
          <w:tcPr>
            <w:tcW w:type="dxa" w:w="5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Likelihood</w:t>
            </w:r>
          </w:p>
        </w:tc>
        <w:tc>
          <w:tcPr>
            <w:tcW w:type="dxa" w:w="9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Impact</w:t>
            </w:r>
          </w:p>
        </w:tc>
        <w:tc>
          <w:tcPr>
            <w:tcW w:type="dxa" w:w="426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Recommended mitigation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Causal DAG never built, narratives remain unfounded</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4-week sprint to implement pulse/causal/, gate the narrator behind its presence.</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R2</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Backtesting stays stubbed, accuracy claims unearned</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Hide accuracy KPI until calibrate() returns real numbers; commission historical-data extraction.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Optimizer used to set budget on inconsistent math</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Two-line fix for covariance; formal CFO sign-off on transform logic.</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R4</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Attenuation uncalibrated, headline numbers biased</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Explicit ±30% sensitivity band on every headline; CFO-owned review.</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Silent trend-drop on missing gp1_pct_affected</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Hard-fail gate at ingestion; UI red flag.</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R6</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scipy re-implementation introduces numerical bug</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Delete shim; make scipy a hard dependency; CI check.</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War-room KPI overstates what the model knows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Replace accuracy figure with calibration-status chip.</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R8</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Geographic blind spot (EU-centric trend set)</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Add APAC/NA trends before global use.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R9</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Delphi fatigue, scoring rounds skipped</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Cap at three rounds, AI pre-fill, quarterly cadence.</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R10</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Model adoption fails because users do not trust it</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Named red-team role; parallel pilot on two categories; transparent remediation log.</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R11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iPad ExCo experience underdelivers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Dedicated iPad design pass before Q3.</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R12</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Race conditions on mutable ModelConfig</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Frozen dataclass; per-request copies.</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R13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Power BI export contract silently breaks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Add integration tests; nightly smoke test; version-stamped exports.</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R14</w:t>
            </w:r>
          </w:p>
        </w:tc>
        <w:tc>
          <w:tcPr>
            <w:tcW w:type="dxa" w:w="26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Tier-E source leaks into simulation</w:t>
            </w:r>
          </w:p>
        </w:tc>
        <w:tc>
          <w:tcPr>
            <w:tcW w:type="dxa" w:w="11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9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2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Ingestion-time gate refusing tier-E-only trends.</w:t>
            </w:r>
          </w:p>
        </w:tc>
      </w:tr>
    </w:tbl>
    <w:p>
      <w:pPr>
        <w:pStyle w:val="Heading1"/>
        <w:pageBreakBefore/>
        <w:spacing w:after="200" w:before="360"/>
      </w:pPr>
      <w:r>
        <w:rPr>
          <w:rFonts w:ascii="Calibri" w:cs="Calibri" w:eastAsia="Calibri" w:hAnsi="Calibri"/>
          <w:b/>
          <w:bCs/>
          <w:color w:val="0B2545"/>
          <w:sz w:val="36"/>
          <w:szCs w:val="36"/>
        </w:rPr>
        <w:t xml:space="preserve">12. Recommendation to the CEO</w:t>
      </w:r>
    </w:p>
    <w:p>
      <w:pPr>
        <w:spacing w:after="120" w:line="300"/>
        <w:jc w:val="both"/>
      </w:pPr>
      <w:r>
        <w:rPr>
          <w:rFonts w:ascii="Calibri" w:cs="Calibri" w:eastAsia="Calibri" w:hAnsi="Calibri"/>
          <w:sz w:val="22"/>
          <w:szCs w:val="22"/>
        </w:rPr>
        <w:t xml:space="preserve">The Panel's recommendation is specific and is intended to be actionable in the next ExCo meeting.</w:t>
      </w:r>
    </w:p>
    <w:p>
      <w:pPr>
        <w:pStyle w:val="Heading2"/>
        <w:spacing w:after="140" w:before="280"/>
      </w:pPr>
      <w:r>
        <w:rPr>
          <w:rFonts w:ascii="Calibri" w:cs="Calibri" w:eastAsia="Calibri" w:hAnsi="Calibri"/>
          <w:b/>
          <w:bCs/>
          <w:color w:val="13315C"/>
          <w:sz w:val="28"/>
          <w:szCs w:val="28"/>
        </w:rPr>
        <w:t xml:space="preserve">12.1 Decision requested</w:t>
      </w:r>
    </w:p>
    <w:p>
      <w:pPr>
        <w:pStyle w:val="ListParagraph"/>
        <w:numPr>
          <w:ilvl w:val="0"/>
          <w:numId w:val="3"/>
        </w:numPr>
        <w:spacing w:after="80" w:line="290"/>
      </w:pPr>
      <w:r>
        <w:rPr>
          <w:rFonts w:ascii="Calibri" w:cs="Calibri" w:eastAsia="Calibri" w:hAnsi="Calibri"/>
          <w:b/>
          <w:bCs/>
          <w:sz w:val="22"/>
          <w:szCs w:val="22"/>
        </w:rPr>
        <w:t xml:space="preserve">Endorse a twelve-week Credibility Sprint </w:t>
      </w:r>
      <w:r>
        <w:rPr>
          <w:rFonts w:ascii="Calibri" w:cs="Calibri" w:eastAsia="Calibri" w:hAnsi="Calibri"/>
          <w:sz w:val="22"/>
          <w:szCs w:val="22"/>
        </w:rPr>
        <w:t xml:space="preserve">with named accountable (Chief Data &amp; Analytics Officer), a steering group of three (Strategy VP, CFO designee, external quant partner), and the exit criteria listed below.</w:t>
      </w:r>
    </w:p>
    <w:p>
      <w:pPr>
        <w:pStyle w:val="ListParagraph"/>
        <w:numPr>
          <w:ilvl w:val="0"/>
          <w:numId w:val="3"/>
        </w:numPr>
        <w:spacing w:after="80" w:line="290"/>
      </w:pPr>
      <w:r>
        <w:rPr>
          <w:rFonts w:ascii="Calibri" w:cs="Calibri" w:eastAsia="Calibri" w:hAnsi="Calibri"/>
          <w:b/>
          <w:bCs/>
          <w:sz w:val="22"/>
          <w:szCs w:val="22"/>
        </w:rPr>
        <w:t xml:space="preserve">Pause external use </w:t>
      </w:r>
      <w:r>
        <w:rPr>
          <w:rFonts w:ascii="Calibri" w:cs="Calibri" w:eastAsia="Calibri" w:hAnsi="Calibri"/>
          <w:sz w:val="22"/>
          <w:szCs w:val="22"/>
        </w:rPr>
        <w:t xml:space="preserve">of any PRISM output that expresses accuracy as a percentage, until the backtesting engine returns real numbers.</w:t>
      </w:r>
    </w:p>
    <w:p>
      <w:pPr>
        <w:pStyle w:val="ListParagraph"/>
        <w:numPr>
          <w:ilvl w:val="0"/>
          <w:numId w:val="3"/>
        </w:numPr>
        <w:spacing w:after="80" w:line="290"/>
      </w:pPr>
      <w:r>
        <w:rPr>
          <w:rFonts w:ascii="Calibri" w:cs="Calibri" w:eastAsia="Calibri" w:hAnsi="Calibri"/>
          <w:b/>
          <w:bCs/>
          <w:sz w:val="22"/>
          <w:szCs w:val="22"/>
        </w:rPr>
        <w:t xml:space="preserve">Approve a two-category Q3 parallel pilot </w:t>
      </w:r>
      <w:r>
        <w:rPr>
          <w:rFonts w:ascii="Calibri" w:cs="Calibri" w:eastAsia="Calibri" w:hAnsi="Calibri"/>
          <w:sz w:val="22"/>
          <w:szCs w:val="22"/>
        </w:rPr>
        <w:t xml:space="preserve">(one Hair, one LHC) with weekly reconciliation against V12, sponsored by the Strategy VP.</w:t>
      </w:r>
    </w:p>
    <w:p>
      <w:pPr>
        <w:pStyle w:val="ListParagraph"/>
        <w:numPr>
          <w:ilvl w:val="0"/>
          <w:numId w:val="3"/>
        </w:numPr>
        <w:spacing w:after="80" w:line="290"/>
      </w:pPr>
      <w:r>
        <w:rPr>
          <w:rFonts w:ascii="Calibri" w:cs="Calibri" w:eastAsia="Calibri" w:hAnsi="Calibri"/>
          <w:b/>
          <w:bCs/>
          <w:sz w:val="22"/>
          <w:szCs w:val="22"/>
        </w:rPr>
        <w:t xml:space="preserve">Reserve judgement on the allocation optimizer </w:t>
      </w:r>
      <w:r>
        <w:rPr>
          <w:rFonts w:ascii="Calibri" w:cs="Calibri" w:eastAsia="Calibri" w:hAnsi="Calibri"/>
          <w:sz w:val="22"/>
          <w:szCs w:val="22"/>
        </w:rPr>
        <w:t xml:space="preserve">for the FY27 budget cycle until items R3 and R4 in the risk register are closed.</w:t>
      </w:r>
    </w:p>
    <w:p>
      <w:pPr>
        <w:pStyle w:val="Heading2"/>
        <w:spacing w:after="140" w:before="280"/>
      </w:pPr>
      <w:r>
        <w:rPr>
          <w:rFonts w:ascii="Calibri" w:cs="Calibri" w:eastAsia="Calibri" w:hAnsi="Calibri"/>
          <w:b/>
          <w:bCs/>
          <w:color w:val="13315C"/>
          <w:sz w:val="28"/>
          <w:szCs w:val="28"/>
        </w:rPr>
        <w:t xml:space="preserve">12.2 Credibility Sprint exit criteria</w:t>
      </w:r>
    </w:p>
    <w:p>
      <w:pPr>
        <w:pStyle w:val="ListParagraph"/>
        <w:numPr>
          <w:ilvl w:val="0"/>
          <w:numId w:val="2"/>
        </w:numPr>
        <w:spacing w:after="80" w:line="290"/>
      </w:pPr>
      <w:r>
        <w:rPr>
          <w:rFonts w:ascii="Calibri" w:cs="Calibri" w:eastAsia="Calibri" w:hAnsi="Calibri"/>
          <w:sz w:val="22"/>
          <w:szCs w:val="22"/>
        </w:rPr>
        <w:t xml:space="preserve">pulse/causal/ exists with a CausalDAG class, 16 directed edges, lag-aware propagation, and a scenario-engine integration point. Scenario outputs measurably differ from the flat-correlation baseline.</w:t>
      </w:r>
    </w:p>
    <w:p>
      <w:pPr>
        <w:pStyle w:val="ListParagraph"/>
        <w:numPr>
          <w:ilvl w:val="0"/>
          <w:numId w:val="2"/>
        </w:numPr>
        <w:spacing w:after="80" w:line="290"/>
      </w:pPr>
      <w:r>
        <w:rPr>
          <w:rFonts w:ascii="Calibri" w:cs="Calibri" w:eastAsia="Calibri" w:hAnsi="Calibri"/>
          <w:sz w:val="22"/>
          <w:szCs w:val="22"/>
        </w:rPr>
        <w:t xml:space="preserve">Backtesting engine returns real numbers for at least three historical periods. The Markdown report is generated end-to-end without NotImplementedError.</w:t>
      </w:r>
    </w:p>
    <w:p>
      <w:pPr>
        <w:pStyle w:val="ListParagraph"/>
        <w:numPr>
          <w:ilvl w:val="0"/>
          <w:numId w:val="2"/>
        </w:numPr>
        <w:spacing w:after="80" w:line="290"/>
      </w:pPr>
      <w:r>
        <w:rPr>
          <w:rFonts w:ascii="Calibri" w:cs="Calibri" w:eastAsia="Calibri" w:hAnsi="Calibri"/>
          <w:sz w:val="22"/>
          <w:szCs w:val="22"/>
        </w:rPr>
        <w:t xml:space="preserve">Optimizer uses the Monte-Carlo covariance and the all-same-sign transform is either made consistent or replaced by a labelled ordinal objective.</w:t>
      </w:r>
    </w:p>
    <w:p>
      <w:pPr>
        <w:pStyle w:val="ListParagraph"/>
        <w:numPr>
          <w:ilvl w:val="0"/>
          <w:numId w:val="2"/>
        </w:numPr>
        <w:spacing w:after="80" w:line="290"/>
      </w:pPr>
      <w:r>
        <w:rPr>
          <w:rFonts w:ascii="Calibri" w:cs="Calibri" w:eastAsia="Calibri" w:hAnsi="Calibri"/>
          <w:sz w:val="22"/>
          <w:szCs w:val="22"/>
        </w:rPr>
        <w:t xml:space="preserve">Multi-chain R̂ with at least three chains is computed and reported per category. ESS uses an integrated-autocorrelation-time estimate.</w:t>
      </w:r>
    </w:p>
    <w:p>
      <w:pPr>
        <w:pStyle w:val="ListParagraph"/>
        <w:numPr>
          <w:ilvl w:val="0"/>
          <w:numId w:val="2"/>
        </w:numPr>
        <w:spacing w:after="80" w:line="290"/>
      </w:pPr>
      <w:r>
        <w:rPr>
          <w:rFonts w:ascii="Calibri" w:cs="Calibri" w:eastAsia="Calibri" w:hAnsi="Calibri"/>
          <w:sz w:val="22"/>
          <w:szCs w:val="22"/>
        </w:rPr>
        <w:t xml:space="preserve">The headline KPI either displays an earned accuracy figure or a "calibration pending" chip, never a hard-coded 73%.</w:t>
      </w:r>
    </w:p>
    <w:p>
      <w:pPr>
        <w:pStyle w:val="ListParagraph"/>
        <w:numPr>
          <w:ilvl w:val="0"/>
          <w:numId w:val="2"/>
        </w:numPr>
        <w:spacing w:after="80" w:line="290"/>
      </w:pPr>
      <w:r>
        <w:rPr>
          <w:rFonts w:ascii="Calibri" w:cs="Calibri" w:eastAsia="Calibri" w:hAnsi="Calibri"/>
          <w:sz w:val="22"/>
          <w:szCs w:val="22"/>
        </w:rPr>
        <w:t xml:space="preserve">scipy is a hard dependency; _scipy_compat.py is deleted; the CI pipeline enforces this.</w:t>
      </w:r>
    </w:p>
    <w:p>
      <w:pPr>
        <w:pStyle w:val="ListParagraph"/>
        <w:numPr>
          <w:ilvl w:val="0"/>
          <w:numId w:val="2"/>
        </w:numPr>
        <w:spacing w:after="80" w:line="290"/>
      </w:pPr>
      <w:r>
        <w:rPr>
          <w:rFonts w:ascii="Calibri" w:cs="Calibri" w:eastAsia="Calibri" w:hAnsi="Calibri"/>
          <w:sz w:val="22"/>
          <w:szCs w:val="22"/>
        </w:rPr>
        <w:t xml:space="preserve">End-to-end integration test from V12 input through Shift-Matrix output against a golden file, run on every commit.</w:t>
      </w:r>
    </w:p>
    <w:p>
      <w:pPr>
        <w:pStyle w:val="ListParagraph"/>
        <w:numPr>
          <w:ilvl w:val="0"/>
          <w:numId w:val="2"/>
        </w:numPr>
        <w:spacing w:after="80" w:line="290"/>
      </w:pPr>
      <w:r>
        <w:rPr>
          <w:rFonts w:ascii="Calibri" w:cs="Calibri" w:eastAsia="Calibri" w:hAnsi="Calibri"/>
          <w:sz w:val="22"/>
          <w:szCs w:val="22"/>
        </w:rPr>
        <w:t xml:space="preserve">Power BI export contract has at least two integration tests that run in CI.</w:t>
      </w:r>
    </w:p>
    <w:p>
      <w:pPr>
        <w:pStyle w:val="ListParagraph"/>
        <w:numPr>
          <w:ilvl w:val="0"/>
          <w:numId w:val="2"/>
        </w:numPr>
        <w:spacing w:after="80" w:line="290"/>
      </w:pPr>
      <w:r>
        <w:rPr>
          <w:rFonts w:ascii="Calibri" w:cs="Calibri" w:eastAsia="Calibri" w:hAnsi="Calibri"/>
          <w:sz w:val="22"/>
          <w:szCs w:val="22"/>
        </w:rPr>
        <w:t xml:space="preserve">Audit log is transactional with every mutable operation.</w:t>
      </w:r>
    </w:p>
    <w:p>
      <w:pPr>
        <w:pStyle w:val="ListParagraph"/>
        <w:numPr>
          <w:ilvl w:val="0"/>
          <w:numId w:val="2"/>
        </w:numPr>
        <w:spacing w:after="80" w:line="290"/>
      </w:pPr>
      <w:r>
        <w:rPr>
          <w:rFonts w:ascii="Calibri" w:cs="Calibri" w:eastAsia="Calibri" w:hAnsi="Calibri"/>
          <w:sz w:val="22"/>
          <w:szCs w:val="22"/>
        </w:rPr>
        <w:t xml:space="preserve">Accessibility and German-language localization are delivered for the war-room.</w:t>
      </w:r>
    </w:p>
    <w:p>
      <w:pPr>
        <w:pStyle w:val="Heading2"/>
        <w:spacing w:after="140" w:before="280"/>
      </w:pPr>
      <w:r>
        <w:rPr>
          <w:rFonts w:ascii="Calibri" w:cs="Calibri" w:eastAsia="Calibri" w:hAnsi="Calibri"/>
          <w:b/>
          <w:bCs/>
          <w:color w:val="13315C"/>
          <w:sz w:val="28"/>
          <w:szCs w:val="28"/>
        </w:rPr>
        <w:t xml:space="preserve">12.3 What the CEO is signing up to</w:t>
      </w:r>
    </w:p>
    <w:p>
      <w:pPr>
        <w:spacing w:after="120" w:line="300"/>
        <w:jc w:val="both"/>
      </w:pPr>
      <w:r>
        <w:rPr>
          <w:rFonts w:ascii="Calibri" w:cs="Calibri" w:eastAsia="Calibri" w:hAnsi="Calibri"/>
          <w:sz w:val="22"/>
          <w:szCs w:val="22"/>
        </w:rPr>
        <w:t xml:space="preserve">A successful Credibility Sprint produces, at the end of twelve weeks, a PRISM that the Panel believes a McKinsey QuantumBlack or BCG GAMMA partner would sign off on and that can be used as the primary lens for FY27 budget conversations with the caveat that the attenuation parameter still requires CFO sign-off. An unsuccessful sprint — i.e., one that misses two or more exit criteria — should trigger a go/no-go conversation at the ExCo level rather than a silent extension, because the reputational cost of a second extension is materially higher than the first.</w:t>
      </w:r>
    </w:p>
    <w:p>
      <w:pPr>
        <w:pStyle w:val="Heading2"/>
        <w:spacing w:after="140" w:before="280"/>
      </w:pPr>
      <w:r>
        <w:rPr>
          <w:rFonts w:ascii="Calibri" w:cs="Calibri" w:eastAsia="Calibri" w:hAnsi="Calibri"/>
          <w:b/>
          <w:bCs/>
          <w:color w:val="13315C"/>
          <w:sz w:val="28"/>
          <w:szCs w:val="28"/>
        </w:rPr>
        <w:t xml:space="preserve">12.4 Closing comment from the three partners</w:t>
      </w:r>
    </w:p>
    <w:p>
      <w:pPr>
        <w:spacing w:after="120" w:line="300"/>
        <w:jc w:val="both"/>
      </w:pPr>
      <w:r>
        <w:rPr>
          <w:rFonts w:ascii="Calibri" w:cs="Calibri" w:eastAsia="Calibri" w:hAnsi="Calibri"/>
          <w:sz w:val="22"/>
          <w:szCs w:val="22"/>
        </w:rPr>
        <w:t xml:space="preserve">The Panel wants the CEO to hold two thoughts in tension. The first is that PRISM is not, today, the state-of-the-art capability that its specification and briefing deck imply; the gaps are real and must be closed. The second is that PRISM is nevertheless the best starting point we have seen for a CPG of Henkel's scale, and the intellectual investment in the specification, the organizational embedding, and the Shift-Matrix interface is genuinely valuable and should not be thrown away. The right move is to close the gaps quickly, earn the claims, and then use PRISM for what it was designed to do. We believe this is achievable inside a single planning cycle and we recommend that the CEO back it.</w:t>
      </w:r>
    </w:p>
    <w:p>
      <w:pPr>
        <w:pStyle w:val="Heading1"/>
        <w:pageBreakBefore/>
        <w:spacing w:after="200" w:before="360"/>
      </w:pPr>
      <w:r>
        <w:rPr>
          <w:rFonts w:ascii="Calibri" w:cs="Calibri" w:eastAsia="Calibri" w:hAnsi="Calibri"/>
          <w:b/>
          <w:bCs/>
          <w:color w:val="0B2545"/>
          <w:sz w:val="36"/>
          <w:szCs w:val="36"/>
        </w:rPr>
        <w:t xml:space="preserve">Appendix A — Findings Register</w:t>
      </w:r>
    </w:p>
    <w:p>
      <w:pPr>
        <w:spacing w:after="120" w:line="300"/>
        <w:jc w:val="both"/>
      </w:pPr>
      <w:r>
        <w:rPr>
          <w:rFonts w:ascii="Calibri" w:cs="Calibri" w:eastAsia="Calibri" w:hAnsi="Calibri"/>
          <w:sz w:val="22"/>
          <w:szCs w:val="22"/>
        </w:rPr>
        <w:t xml:space="preserve">Each finding references the section in which it is discussed and the recommended owner for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200"/>
        <w:gridCol w:w="1160"/>
        <w:gridCol w:w="1500"/>
      </w:tblGrid>
      <w:tr>
        <w:trPr>
          <w:tblHeader/>
        </w:trPr>
        <w:tc>
          <w:tcPr>
            <w:tcW w:type="dxa" w:w="5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50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Finding</w:t>
            </w:r>
          </w:p>
        </w:tc>
        <w:tc>
          <w:tcPr>
            <w:tcW w:type="dxa" w:w="12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116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1500"/>
            <w:tcBorders>
              <w:top w:val="single" w:color="BFBFBF" w:sz="4"/>
              <w:left w:val="single" w:color="BFBFBF" w:sz="4"/>
              <w:bottom w:val="single" w:color="BFBFBF" w:sz="4"/>
              <w:right w:val="single" w:color="BFBFBF" w:sz="4"/>
            </w:tcBorders>
            <w:shd w:fill="13315C" w:val="clear"/>
            <w:tcMar>
              <w:top w:type="dxa" w:w="100"/>
              <w:left w:type="dxa" w:w="120"/>
              <w:bottom w:type="dxa" w:w="100"/>
              <w:right w:type="dxa" w:w="120"/>
            </w:tcMar>
          </w:tcPr>
          <w:p>
            <w:r>
              <w:rPr>
                <w:rFonts w:ascii="Calibri" w:cs="Calibri" w:eastAsia="Calibri" w:hAnsi="Calibri"/>
                <w:b/>
                <w:bCs/>
                <w:color w:val="FFFFFF"/>
                <w:sz w:val="20"/>
                <w:szCs w:val="20"/>
              </w:rPr>
              <w:t xml:space="preserve">Owner</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F1</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pulse/causal/ module does not exist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§4.4, §5.1</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Critical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F2</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Backtesting engine core methods raise NotImplementedError</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§4.6</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Critical</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F3</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Game-theory / competitive-response module absent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§4.7</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F4</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R̂ is two-half proxy, not multi-chain</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§4.8</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F5</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Optimizer covariance hard-coded, not from MC</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§4.5</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F6</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All-same-sign transform inconsistent with cov</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§4.5</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F7</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causal_decomposition is scaled static, not real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§4.4</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F8</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_scipy_compat.py re-implements scipy primitives</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§5.2</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F9</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Silent trend-drop on missing gp1_pct_affected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§4.1, §5.2</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F10</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Shift Matrix → Power BI contract untested</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§5.3</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D&amp;A</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F11</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Accuracy KPI displayed without supporting code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§6.3</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Strategy</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F12</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Attenuation assumed at 0.5, uncalibrated</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§9.1</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CFO/D&amp;A</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F13</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Geographic blind spot in trend database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§7.2</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Strategy</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F14</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Tier-E sources not hard-gated</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§7.2</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Strategy</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F15</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ModelConfig mutable, race-prone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§5.2</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Engineering</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F16</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Audit log not transactional</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Engineering</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F17</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No end-to-end golden-file test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§5.3</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Engineering</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F18</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No accessibility or German localization</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§6.5</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Design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F19</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iPad experience not explicitly designed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§6.3</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20"/>
                <w:szCs w:val="20"/>
              </w:rPr>
              <w:t xml:space="preserve">Design</w:t>
            </w:r>
          </w:p>
        </w:tc>
      </w:tr>
      <w:tr>
        <w:tc>
          <w:tcPr>
            <w:tcW w:type="dxa" w:w="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F20</w:t>
            </w:r>
          </w:p>
        </w:tc>
        <w:tc>
          <w:tcPr>
            <w:tcW w:type="dxa" w:w="50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Efficient-frontier recomputed per point</w:t>
            </w:r>
          </w:p>
        </w:tc>
        <w:tc>
          <w:tcPr>
            <w:tcW w:type="dxa" w:w="12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§4.5</w:t>
            </w:r>
          </w:p>
        </w:tc>
        <w:tc>
          <w:tcPr>
            <w:tcW w:type="dxa" w:w="116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1500"/>
            <w:tcBorders>
              <w:top w:val="single" w:color="BFBFBF" w:sz="4"/>
              <w:left w:val="single" w:color="BFBFBF" w:sz="4"/>
              <w:bottom w:val="single" w:color="BFBFBF" w:sz="4"/>
              <w:right w:val="single" w:color="BFBFBF" w:sz="4"/>
            </w:tcBorders>
            <w:shd w:fill="F4F7FB" w:val="clear"/>
            <w:tcMar>
              <w:top w:type="dxa" w:w="80"/>
              <w:left w:type="dxa" w:w="120"/>
              <w:bottom w:type="dxa" w:w="80"/>
              <w:right w:type="dxa" w:w="120"/>
            </w:tcMar>
          </w:tcPr>
          <w:p>
            <w:r>
              <w:rPr>
                <w:rFonts w:ascii="Calibri" w:cs="Calibri" w:eastAsia="Calibri" w:hAnsi="Calibri"/>
                <w:sz w:val="20"/>
                <w:szCs w:val="20"/>
              </w:rPr>
              <w:t xml:space="preserve">D&amp;A</w:t>
            </w:r>
          </w:p>
        </w:tc>
      </w:tr>
    </w:tbl>
    <w:p>
      <w:pPr>
        <w:pStyle w:val="Heading1"/>
        <w:pageBreakBefore/>
        <w:spacing w:after="200" w:before="360"/>
      </w:pPr>
      <w:r>
        <w:rPr>
          <w:rFonts w:ascii="Calibri" w:cs="Calibri" w:eastAsia="Calibri" w:hAnsi="Calibri"/>
          <w:b/>
          <w:bCs/>
          <w:color w:val="0B2545"/>
          <w:sz w:val="36"/>
          <w:szCs w:val="36"/>
        </w:rPr>
        <w:t xml:space="preserve">Appendix B — Code references for reviewers</w:t>
      </w:r>
    </w:p>
    <w:p>
      <w:pPr>
        <w:spacing w:after="120" w:line="300"/>
        <w:jc w:val="both"/>
      </w:pPr>
      <w:r>
        <w:rPr>
          <w:rFonts w:ascii="Calibri" w:cs="Calibri" w:eastAsia="Calibri" w:hAnsi="Calibri"/>
          <w:sz w:val="22"/>
          <w:szCs w:val="22"/>
        </w:rPr>
        <w:t xml:space="preserve">The following pointers let a reviewer re-trace every finding to a specific file and line range.</w:t>
      </w:r>
    </w:p>
    <w:p>
      <w:pPr>
        <w:shd w:fill="F2F2F2" w:val="clear"/>
        <w:spacing w:after="120" w:line="260"/>
      </w:pPr>
      <w:r>
        <w:rPr>
          <w:rFonts w:ascii="Consolas" w:cs="Consolas" w:eastAsia="Consolas" w:hAnsi="Consolas"/>
          <w:sz w:val="20"/>
          <w:szCs w:val="20"/>
        </w:rPr>
        <w:t xml:space="preserve">pulse/simulation/bayesian_mc.py        lines 121–186  copula sampling + silent trend drop</w:t>
      </w:r>
    </w:p>
    <w:p>
      <w:pPr>
        <w:shd w:fill="F2F2F2" w:val="clear"/>
        <w:spacing w:after="120" w:line="260"/>
      </w:pPr>
      <w:r>
        <w:rPr>
          <w:rFonts w:ascii="Consolas" w:cs="Consolas" w:eastAsia="Consolas" w:hAnsi="Consolas"/>
          <w:sz w:val="20"/>
          <w:szCs w:val="20"/>
        </w:rPr>
        <w:t xml:space="preserve">pulse/simulation/bayesian_mc.py        lines 253–340  vectorized path computation (well-written)</w:t>
      </w:r>
    </w:p>
    <w:p>
      <w:pPr>
        <w:shd w:fill="F2F2F2" w:val="clear"/>
        <w:spacing w:after="120" w:line="260"/>
      </w:pPr>
      <w:r>
        <w:rPr>
          <w:rFonts w:ascii="Consolas" w:cs="Consolas" w:eastAsia="Consolas" w:hAnsi="Consolas"/>
          <w:sz w:val="20"/>
          <w:szCs w:val="20"/>
        </w:rPr>
        <w:t xml:space="preserve">pulse/simulation/bayesian_mc.py        lines 376–389  R̂ two-half proxy, ESS from lag-1</w:t>
      </w:r>
    </w:p>
    <w:p>
      <w:pPr>
        <w:shd w:fill="F2F2F2" w:val="clear"/>
        <w:spacing w:after="120" w:line="260"/>
      </w:pPr>
      <w:r>
        <w:rPr>
          <w:rFonts w:ascii="Consolas" w:cs="Consolas" w:eastAsia="Consolas" w:hAnsi="Consolas"/>
          <w:sz w:val="20"/>
          <w:szCs w:val="20"/>
        </w:rPr>
        <w:t xml:space="preserve">pulse/simulation/bayesian_mc.py        lines 392–414  "causal_decomposition" is scaled static</w:t>
      </w:r>
    </w:p>
    <w:p>
      <w:pPr>
        <w:shd w:fill="F2F2F2" w:val="clear"/>
        <w:spacing w:after="120" w:line="260"/>
      </w:pPr>
      <w:r>
        <w:rPr>
          <w:rFonts w:ascii="Consolas" w:cs="Consolas" w:eastAsia="Consolas" w:hAnsi="Consolas"/>
          <w:sz w:val="20"/>
          <w:szCs w:val="20"/>
        </w:rPr>
        <w:t xml:space="preserve">pulse/optimizer/allocation.py          lines  84– 98  all-same-sign transform (inconsistent with cov)</w:t>
      </w:r>
    </w:p>
    <w:p>
      <w:pPr>
        <w:shd w:fill="F2F2F2" w:val="clear"/>
        <w:spacing w:after="120" w:line="260"/>
      </w:pPr>
      <w:r>
        <w:rPr>
          <w:rFonts w:ascii="Consolas" w:cs="Consolas" w:eastAsia="Consolas" w:hAnsi="Consolas"/>
          <w:sz w:val="20"/>
          <w:szCs w:val="20"/>
        </w:rPr>
        <w:t xml:space="preserve">pulse/optimizer/allocation.py          lines 100–110  hard-coded covariance matrix</w:t>
      </w:r>
    </w:p>
    <w:p>
      <w:pPr>
        <w:shd w:fill="F2F2F2" w:val="clear"/>
        <w:spacing w:after="120" w:line="260"/>
      </w:pPr>
      <w:r>
        <w:rPr>
          <w:rFonts w:ascii="Consolas" w:cs="Consolas" w:eastAsia="Consolas" w:hAnsi="Consolas"/>
          <w:sz w:val="20"/>
          <w:szCs w:val="20"/>
        </w:rPr>
        <w:t xml:space="preserve">pulse/backtesting/engine.py            line  155     _backtest_single_period raises NotImplementedError</w:t>
      </w:r>
    </w:p>
    <w:p>
      <w:pPr>
        <w:shd w:fill="F2F2F2" w:val="clear"/>
        <w:spacing w:after="120" w:line="260"/>
      </w:pPr>
      <w:r>
        <w:rPr>
          <w:rFonts w:ascii="Consolas" w:cs="Consolas" w:eastAsia="Consolas" w:hAnsi="Consolas"/>
          <w:sz w:val="20"/>
          <w:szCs w:val="20"/>
        </w:rPr>
        <w:t xml:space="preserve">pulse/backtesting/engine.py            line  189     _calibrate_attenuation inner loop raises NotImplementedError</w:t>
      </w:r>
    </w:p>
    <w:p>
      <w:pPr>
        <w:shd w:fill="F2F2F2" w:val="clear"/>
        <w:spacing w:after="120" w:line="260"/>
      </w:pPr>
      <w:r>
        <w:rPr>
          <w:rFonts w:ascii="Consolas" w:cs="Consolas" w:eastAsia="Consolas" w:hAnsi="Consolas"/>
          <w:sz w:val="20"/>
          <w:szCs w:val="20"/>
        </w:rPr>
        <w:t xml:space="preserve">pulse/backtesting/engine.py            lines 211–248  calibrate_distributions / calibrate_dag_weights return placeholders</w:t>
      </w:r>
    </w:p>
    <w:p>
      <w:pPr>
        <w:shd w:fill="F2F2F2" w:val="clear"/>
        <w:spacing w:after="120" w:line="260"/>
      </w:pPr>
      <w:r>
        <w:rPr>
          <w:rFonts w:ascii="Consolas" w:cs="Consolas" w:eastAsia="Consolas" w:hAnsi="Consolas"/>
          <w:sz w:val="20"/>
          <w:szCs w:val="20"/>
        </w:rPr>
        <w:t xml:space="preserve">pulse/simulation/_scipy_compat.py      188 lines      re-implements cholesky, beta_ppf, t_cdf, minimize</w:t>
      </w:r>
    </w:p>
    <w:p>
      <w:pPr>
        <w:shd w:fill="F2F2F2" w:val="clear"/>
        <w:spacing w:after="120" w:line="260"/>
      </w:pPr>
      <w:r>
        <w:rPr>
          <w:rFonts w:ascii="Consolas" w:cs="Consolas" w:eastAsia="Consolas" w:hAnsi="Consolas"/>
          <w:sz w:val="20"/>
          <w:szCs w:val="20"/>
        </w:rPr>
        <w:t xml:space="preserve">pulse/causal/                           MISSING      specified in claude.md §3.3, not present</w:t>
      </w:r>
    </w:p>
    <w:p>
      <w:pPr>
        <w:shd w:fill="F2F2F2" w:val="clear"/>
        <w:spacing w:after="120" w:line="260"/>
      </w:pPr>
      <w:r>
        <w:rPr>
          <w:rFonts w:ascii="Consolas" w:cs="Consolas" w:eastAsia="Consolas" w:hAnsi="Consolas"/>
          <w:sz w:val="20"/>
          <w:szCs w:val="20"/>
        </w:rPr>
        <w:t xml:space="preserve">pulse/game_theory/                      MISSING      specified in claude.md §3.4, not present</w:t>
      </w:r>
    </w:p>
    <w:p>
      <w:pPr>
        <w:pStyle w:val="Heading1"/>
        <w:pageBreakBefore/>
        <w:spacing w:after="200" w:before="360"/>
      </w:pPr>
      <w:r>
        <w:rPr>
          <w:rFonts w:ascii="Calibri" w:cs="Calibri" w:eastAsia="Calibri" w:hAnsi="Calibri"/>
          <w:b/>
          <w:bCs/>
          <w:color w:val="0B2545"/>
          <w:sz w:val="36"/>
          <w:szCs w:val="36"/>
        </w:rPr>
        <w:t xml:space="preserve">Appendix C — Panel signatures and dissents</w:t>
      </w:r>
    </w:p>
    <w:p>
      <w:pPr>
        <w:spacing w:after="120" w:line="300"/>
        <w:jc w:val="both"/>
      </w:pPr>
      <w:r>
        <w:rPr>
          <w:rFonts w:ascii="Calibri" w:cs="Calibri" w:eastAsia="Calibri" w:hAnsi="Calibri"/>
          <w:sz w:val="22"/>
          <w:szCs w:val="22"/>
        </w:rPr>
        <w:t xml:space="preserve">This review was signed jointly by the three partners on 10 April 2026. There were no substantive dissents. One minor disagreement was recorded and is noted here for transparency.</w:t>
      </w:r>
    </w:p>
    <w:p>
      <w:pPr>
        <w:spacing w:after="120" w:line="300"/>
        <w:jc w:val="both"/>
      </w:pPr>
      <w:r>
        <w:rPr>
          <w:rFonts w:ascii="Calibri" w:cs="Calibri" w:eastAsia="Calibri" w:hAnsi="Calibri"/>
          <w:sz w:val="22"/>
          <w:szCs w:val="22"/>
        </w:rPr>
        <w:t xml:space="preserve">The Apple SVP proposed that the accuracy KPI be removed from the war-room entirely until it is earned, rather than replaced by a "calibration pending" chip. The Bain and Goldman partners preferred the chip because it preserves the muscle memory of the dashboard and signals intent to earn the metric. The majority view is reflected in §12.2 item 5; the dissenting view would have been stricter and is recorded here in case the CEO prefers the stricter path.</w:t>
      </w:r>
    </w:p>
    <w:p>
      <w:pPr>
        <w:spacing w:after="120" w:line="300"/>
        <w:jc w:val="both"/>
      </w:pPr>
      <w:r>
        <w:rPr>
          <w:rFonts w:ascii="Calibri" w:cs="Calibri" w:eastAsia="Calibri" w:hAnsi="Calibri"/>
          <w:sz w:val="22"/>
          <w:szCs w:val="22"/>
        </w:rPr>
        <w:t xml:space="preserve">No other disagreements were recorded. The Panel considers this review complete and ready for CEO consumption.</w:t>
      </w:r>
    </w:p>
    <w:p>
      <w:pPr>
        <w:spacing w:before="400"/>
        <w:jc w:val="center"/>
      </w:pPr>
      <w:r>
        <w:rPr>
          <w:rFonts w:ascii="Calibri" w:cs="Calibri" w:eastAsia="Calibri" w:hAnsi="Calibri"/>
          <w:i/>
          <w:iCs/>
          <w:color w:val="777777"/>
          <w:sz w:val="22"/>
          <w:szCs w:val="22"/>
        </w:rPr>
        <w:t xml:space="preserve">— End of review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Bain × Apple × Goldman Joint Review Panel  •  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PRISM v2.3 — Independent Partner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54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3315C"/>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D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v2.3 — Independent Partner Review</dc:title>
  <dc:creator>Bain × Apple × Goldman Joint Review Panel</dc:creator>
  <cp:lastModifiedBy>Un-named</cp:lastModifiedBy>
  <cp:revision>1</cp:revision>
  <dcterms:created xsi:type="dcterms:W3CDTF">2026-04-10T12:08:21.518Z</dcterms:created>
  <dcterms:modified xsi:type="dcterms:W3CDTF">2026-04-10T12:08:21.518Z</dcterms:modified>
</cp:coreProperties>
</file>

<file path=docProps/custom.xml><?xml version="1.0" encoding="utf-8"?>
<Properties xmlns="http://schemas.openxmlformats.org/officeDocument/2006/custom-properties" xmlns:vt="http://schemas.openxmlformats.org/officeDocument/2006/docPropsVTypes"/>
</file>