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pBdr>
          <w:bottom w:val="single" w:color="E1000F" w:sz="12" w:space="8"/>
        </w:pBdr>
        <w:spacing w:after="0"/>
      </w:pPr>
      <w:r>
        <w:rPr>
          <w:rFonts w:ascii="Segoe UI" w:cs="Segoe UI" w:eastAsia="Segoe UI" w:hAnsi="Segoe UI"/>
          <w:b/>
          <w:bCs/>
          <w:color w:val="0F172A"/>
          <w:spacing w:val="200"/>
          <w:sz w:val="72"/>
          <w:szCs w:val="72"/>
        </w:rPr>
        <w:t xml:space="preserve">PULSE</w:t>
      </w:r>
    </w:p>
    <w:p>
      <w:pPr>
        <w:spacing w:after="60" w:before="200"/>
      </w:pPr>
      <w:r>
        <w:rPr>
          <w:rFonts w:ascii="Segoe UI" w:cs="Segoe UI" w:eastAsia="Segoe UI" w:hAnsi="Segoe UI"/>
          <w:color w:val="374151"/>
          <w:sz w:val="36"/>
          <w:szCs w:val="36"/>
        </w:rPr>
        <w:t xml:space="preserve">Trend Research Playbook</w:t>
      </w:r>
    </w:p>
    <w:p>
      <w:pPr>
        <w:spacing w:after="200"/>
      </w:pPr>
      <w:r>
        <w:rPr>
          <w:rFonts w:ascii="Segoe UI" w:cs="Segoe UI" w:eastAsia="Segoe UI" w:hAnsi="Segoe UI"/>
          <w:i/>
          <w:iCs/>
          <w:color w:val="6B7280"/>
          <w:sz w:val="22"/>
          <w:szCs w:val="22"/>
        </w:rPr>
        <w:t xml:space="preserve">Repeatable Methodology for Strategic Trend Intelligence</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r>
        <w:rPr>
          <w:rFonts w:ascii="Segoe UI" w:cs="Segoe UI" w:eastAsia="Segoe UI" w:hAnsi="Segoe UI"/>
          <w:color w:val="6B7280"/>
          <w:sz w:val="20"/>
          <w:szCs w:val="20"/>
        </w:rPr>
        <w:t xml:space="preserve">Henkel Consumer Brands  |  Strategy &amp; Analytics</w:t>
      </w:r>
    </w:p>
    <w:p>
      <w:pPr>
        <w:spacing w:after="60"/>
      </w:pPr>
      <w:r>
        <w:rPr>
          <w:rFonts w:ascii="Segoe UI" w:cs="Segoe UI" w:eastAsia="Segoe UI" w:hAnsi="Segoe UI"/>
          <w:color w:val="6B7280"/>
          <w:sz w:val="20"/>
          <w:szCs w:val="20"/>
        </w:rPr>
        <w:t xml:space="preserve">March 2026  |  Version 1.0</w:t>
      </w:r>
    </w:p>
    <w:p>
      <w:pPr>
        <w:spacing w:after="0"/>
      </w:pPr>
      <w:r>
        <w:rPr>
          <w:rFonts w:ascii="Segoe UI" w:cs="Segoe UI" w:eastAsia="Segoe UI" w:hAnsi="Segoe UI"/>
          <w:i/>
          <w:iCs/>
          <w:color w:val="E1000F"/>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Segoe UI" w:cs="Segoe UI" w:eastAsia="Segoe UI" w:hAnsi="Segoe UI"/>
          <w:b/>
          <w:bCs/>
          <w:color w:val="0F172A"/>
          <w:sz w:val="32"/>
          <w:szCs w:val="32"/>
        </w:rPr>
        <w:t xml:space="preserve">1. Purpose &amp; Overview</w:t>
      </w:r>
    </w:p>
    <w:p>
      <w:pPr>
        <w:spacing w:after="120"/>
      </w:pPr>
      <w:r>
        <w:rPr>
          <w:rFonts w:ascii="Segoe UI" w:cs="Segoe UI" w:eastAsia="Segoe UI" w:hAnsi="Segoe UI"/>
          <w:color w:val="374151"/>
          <w:sz w:val="20"/>
          <w:szCs w:val="20"/>
        </w:rPr>
        <w:t xml:space="preserve">This playbook documents the repeatable methodology used to identify, validate, score, and maintain the 55 strategic trends that power the PULSE Profit Pool Simulation Engine. It enables any team member to execute a full trend research cycle with Bain Senior Partner-grade rigor.</w:t>
      </w:r>
    </w:p>
    <w:p>
      <w:pPr>
        <w:spacing w:after="60"/>
      </w:pPr>
    </w:p>
    <w:p>
      <w:pPr>
        <w:spacing w:after="120"/>
      </w:pPr>
      <w:r>
        <w:rPr>
          <w:rFonts w:ascii="Segoe UI" w:cs="Segoe UI" w:eastAsia="Segoe UI" w:hAnsi="Segoe UI"/>
          <w:b/>
          <w:bCs/>
          <w:color w:val="374151"/>
          <w:sz w:val="20"/>
          <w:szCs w:val="20"/>
        </w:rPr>
        <w:t xml:space="preserve">Objective: </w:t>
      </w:r>
      <w:r>
        <w:rPr>
          <w:rFonts w:ascii="Segoe UI" w:cs="Segoe UI" w:eastAsia="Segoe UI" w:hAnsi="Segoe UI"/>
          <w:color w:val="6B7280"/>
          <w:sz w:val="20"/>
          <w:szCs w:val="20"/>
        </w:rPr>
        <w:t xml:space="preserve">Identify trends that could shift Henkel Consumer Brands’ profit pools by ≥1% within 3–5 years, across 12 product categories and 6 strategic forces.</w:t>
      </w:r>
    </w:p>
    <w:p>
      <w:pPr>
        <w:spacing w:after="120"/>
      </w:pPr>
      <w:r>
        <w:rPr>
          <w:rFonts w:ascii="Segoe UI" w:cs="Segoe UI" w:eastAsia="Segoe UI" w:hAnsi="Segoe UI"/>
          <w:b/>
          <w:bCs/>
          <w:color w:val="374151"/>
          <w:sz w:val="20"/>
          <w:szCs w:val="20"/>
        </w:rPr>
        <w:t xml:space="preserve">Output: </w:t>
      </w:r>
      <w:r>
        <w:rPr>
          <w:rFonts w:ascii="Segoe UI" w:cs="Segoe UI" w:eastAsia="Segoe UI" w:hAnsi="Segoe UI"/>
          <w:color w:val="6B7280"/>
          <w:sz w:val="20"/>
          <w:szCs w:val="20"/>
        </w:rPr>
        <w:t xml:space="preserve">A validated, scored trend database with probability ratings (1–5), economic scope (GP1% affected: 0–100%), source credibility tiers (S through E), and category/value chain exposure mappings.</w:t>
      </w:r>
    </w:p>
    <w:p>
      <w:pPr>
        <w:spacing w:after="120"/>
      </w:pPr>
      <w:r>
        <w:rPr>
          <w:rFonts w:ascii="Segoe UI" w:cs="Segoe UI" w:eastAsia="Segoe UI" w:hAnsi="Segoe UI"/>
          <w:b/>
          <w:bCs/>
          <w:color w:val="374151"/>
          <w:sz w:val="20"/>
          <w:szCs w:val="20"/>
        </w:rPr>
        <w:t xml:space="preserve">Cadence: </w:t>
      </w:r>
      <w:r>
        <w:rPr>
          <w:rFonts w:ascii="Segoe UI" w:cs="Segoe UI" w:eastAsia="Segoe UI" w:hAnsi="Segoe UI"/>
          <w:color w:val="6B7280"/>
          <w:sz w:val="20"/>
          <w:szCs w:val="20"/>
        </w:rPr>
        <w:t xml:space="preserve">Full refresh annually (Q1), quick scan quarterly (Q3 mid-year), continuous AI monitoring (weekly signal digest).</w:t>
      </w:r>
    </w:p>
    <w:p>
      <w:pPr>
        <w:pBdr>
          <w:bottom w:val="single" w:color="E1000F" w:sz="6" w:space="1"/>
        </w:pBdr>
        <w:spacing w:after="200" w:before="200"/>
      </w:pPr>
    </w:p>
    <w:p>
      <w:pPr>
        <w:pStyle w:val="Heading1"/>
        <w:spacing w:after="200" w:before="360"/>
      </w:pPr>
      <w:r>
        <w:rPr>
          <w:rFonts w:ascii="Segoe UI" w:cs="Segoe UI" w:eastAsia="Segoe UI" w:hAnsi="Segoe UI"/>
          <w:b/>
          <w:bCs/>
          <w:color w:val="0F172A"/>
          <w:sz w:val="32"/>
          <w:szCs w:val="32"/>
        </w:rPr>
        <w:t xml:space="preserve">2. The 6-Step Trend Research Process</w:t>
      </w:r>
    </w:p>
    <w:p>
      <w:pPr>
        <w:spacing w:after="120"/>
      </w:pPr>
      <w:r>
        <w:rPr>
          <w:rFonts w:ascii="Segoe UI" w:cs="Segoe UI" w:eastAsia="Segoe UI" w:hAnsi="Segoe UI"/>
          <w:color w:val="374151"/>
          <w:sz w:val="20"/>
          <w:szCs w:val="20"/>
        </w:rPr>
        <w:t xml:space="preserve">Each trend research cycle follows six sequential steps. The entire process takes 2–3 weeks for a full refresh or 2–3 days for a quarterly quick scan.</w:t>
      </w:r>
    </w:p>
    <w:p>
      <w:pPr>
        <w:spacing w:after="60"/>
      </w:pPr>
    </w:p>
    <w:p>
      <w:pPr>
        <w:pStyle w:val="Heading2"/>
        <w:spacing w:after="160" w:before="280"/>
      </w:pPr>
      <w:r>
        <w:rPr>
          <w:rFonts w:ascii="Segoe UI" w:cs="Segoe UI" w:eastAsia="Segoe UI" w:hAnsi="Segoe UI"/>
          <w:b/>
          <w:bCs/>
          <w:color w:val="E1000F"/>
          <w:sz w:val="26"/>
          <w:szCs w:val="26"/>
        </w:rPr>
        <w:t xml:space="preserve">Step 1: Define Strategic Questions (Day 1)</w:t>
      </w:r>
    </w:p>
    <w:p>
      <w:pPr>
        <w:spacing w:after="120"/>
      </w:pPr>
      <w:r>
        <w:rPr>
          <w:rFonts w:ascii="Segoe UI" w:cs="Segoe UI" w:eastAsia="Segoe UI" w:hAnsi="Segoe UI"/>
          <w:color w:val="374151"/>
          <w:sz w:val="20"/>
          <w:szCs w:val="20"/>
        </w:rPr>
        <w:t xml:space="preserve">Before searching for trends, define the specific strategic questions that matter for Henkel’s profit pools. This is not a keyword search — it’s a structured issue tree.</w:t>
      </w:r>
    </w:p>
    <w:p>
      <w:pPr>
        <w:spacing w:after="60"/>
      </w:pPr>
    </w:p>
    <w:p>
      <w:pPr>
        <w:pStyle w:val="Heading3"/>
        <w:spacing w:after="120" w:before="200"/>
      </w:pPr>
      <w:r>
        <w:rPr>
          <w:rFonts w:ascii="Segoe UI" w:cs="Segoe UI" w:eastAsia="Segoe UI" w:hAnsi="Segoe UI"/>
          <w:b/>
          <w:bCs/>
          <w:color w:val="374151"/>
          <w:sz w:val="22"/>
          <w:szCs w:val="22"/>
        </w:rPr>
        <w:t xml:space="preserve">Questions by Force</w:t>
      </w:r>
    </w:p>
    <w:p>
      <w:pPr>
        <w:spacing w:after="60"/>
      </w:pPr>
    </w:p>
    <w:p>
      <w:pPr>
        <w:spacing w:after="120"/>
      </w:pPr>
      <w:r>
        <w:rPr>
          <w:rFonts w:ascii="Segoe UI" w:cs="Segoe UI" w:eastAsia="Segoe UI" w:hAnsi="Segoe UI"/>
          <w:b/>
          <w:bCs/>
          <w:color w:val="374151"/>
          <w:sz w:val="20"/>
          <w:szCs w:val="20"/>
        </w:rPr>
        <w:t xml:space="preserve">Consumer Force:</w:t>
      </w:r>
      <w:r>
        <w:rPr>
          <w:rFonts w:ascii="Segoe UI" w:cs="Segoe UI" w:eastAsia="Segoe UI" w:hAnsi="Segoe UI"/>
          <w:color w:val="6B7280"/>
          <w:sz w:val="20"/>
          <w:szCs w:val="20"/>
        </w:rPr>
        <w:t xml:space="preserve"/>
      </w:r>
    </w:p>
    <w:p>
      <w:pPr>
        <w:pStyle w:val="ListParagraph"/>
        <w:numPr>
          <w:ilvl w:val="0"/>
          <w:numId w:val="2"/>
        </w:numPr>
        <w:spacing w:after="80"/>
      </w:pPr>
      <w:r>
        <w:rPr>
          <w:rFonts w:ascii="Segoe UI" w:cs="Segoe UI" w:eastAsia="Segoe UI" w:hAnsi="Segoe UI"/>
          <w:color w:val="374151"/>
          <w:sz w:val="20"/>
          <w:szCs w:val="20"/>
        </w:rPr>
        <w:t xml:space="preserve">What consumer behavioral shifts in the last 6 months could structurally change demand patterns in European hair care or laundry/home care — beyond existing trends like premiumization and private label?</w:t>
      </w:r>
    </w:p>
    <w:p>
      <w:pPr>
        <w:pStyle w:val="ListParagraph"/>
        <w:numPr>
          <w:ilvl w:val="0"/>
          <w:numId w:val="2"/>
        </w:numPr>
        <w:spacing w:after="80"/>
      </w:pPr>
      <w:r>
        <w:rPr>
          <w:rFonts w:ascii="Segoe UI" w:cs="Segoe UI" w:eastAsia="Segoe UI" w:hAnsi="Segoe UI"/>
          <w:color w:val="374151"/>
          <w:sz w:val="20"/>
          <w:szCs w:val="20"/>
        </w:rPr>
        <w:t xml:space="preserve">Are there new health, wellness, or lifestyle movements gaining traction that could create new category entry points or destroy existing ones? (GLP-1 adjacencies, microbiome awareness, longevity culture, ingredient activism)</w:t>
      </w:r>
    </w:p>
    <w:p>
      <w:pPr>
        <w:spacing w:after="60"/>
      </w:pPr>
    </w:p>
    <w:p>
      <w:pPr>
        <w:spacing w:after="120"/>
      </w:pPr>
      <w:r>
        <w:rPr>
          <w:rFonts w:ascii="Segoe UI" w:cs="Segoe UI" w:eastAsia="Segoe UI" w:hAnsi="Segoe UI"/>
          <w:b/>
          <w:bCs/>
          <w:color w:val="374151"/>
          <w:sz w:val="20"/>
          <w:szCs w:val="20"/>
        </w:rPr>
        <w:t xml:space="preserve">Government Force:</w:t>
      </w:r>
      <w:r>
        <w:rPr>
          <w:rFonts w:ascii="Segoe UI" w:cs="Segoe UI" w:eastAsia="Segoe UI" w:hAnsi="Segoe UI"/>
          <w:color w:val="6B7280"/>
          <w:sz w:val="20"/>
          <w:szCs w:val="20"/>
        </w:rPr>
        <w:t xml:space="preserve"/>
      </w:r>
    </w:p>
    <w:p>
      <w:pPr>
        <w:pStyle w:val="ListParagraph"/>
        <w:numPr>
          <w:ilvl w:val="0"/>
          <w:numId w:val="2"/>
        </w:numPr>
        <w:spacing w:after="80"/>
      </w:pPr>
      <w:r>
        <w:rPr>
          <w:rFonts w:ascii="Segoe UI" w:cs="Segoe UI" w:eastAsia="Segoe UI" w:hAnsi="Segoe UI"/>
          <w:color w:val="374151"/>
          <w:sz w:val="20"/>
          <w:szCs w:val="20"/>
        </w:rPr>
        <w:t xml:space="preserve">What regulatory developments in the last 6 months — EU, US, or Asian — could force reformulation, packaging redesign, or marketing restrictions for FMCG hair care or home care products? (PFAS, PPWR, DPP, Green Claims)</w:t>
      </w:r>
    </w:p>
    <w:p>
      <w:pPr>
        <w:pStyle w:val="ListParagraph"/>
        <w:numPr>
          <w:ilvl w:val="0"/>
          <w:numId w:val="2"/>
        </w:numPr>
        <w:spacing w:after="80"/>
      </w:pPr>
      <w:r>
        <w:rPr>
          <w:rFonts w:ascii="Segoe UI" w:cs="Segoe UI" w:eastAsia="Segoe UI" w:hAnsi="Segoe UI"/>
          <w:color w:val="374151"/>
          <w:sz w:val="20"/>
          <w:szCs w:val="20"/>
        </w:rPr>
        <w:t xml:space="preserve">Are there new ingredient restrictions, testing bans, or labeling requirements moving through the regulatory pipeline? (SCCS opinions, REACH updates, biocide regulation, detergent regulation revision)</w:t>
      </w:r>
    </w:p>
    <w:p>
      <w:pPr>
        <w:spacing w:after="60"/>
      </w:pPr>
    </w:p>
    <w:p>
      <w:pPr>
        <w:spacing w:after="120"/>
      </w:pPr>
      <w:r>
        <w:rPr>
          <w:rFonts w:ascii="Segoe UI" w:cs="Segoe UI" w:eastAsia="Segoe UI" w:hAnsi="Segoe UI"/>
          <w:b/>
          <w:bCs/>
          <w:color w:val="374151"/>
          <w:sz w:val="20"/>
          <w:szCs w:val="20"/>
        </w:rPr>
        <w:t xml:space="preserve">Technology Force:</w:t>
      </w:r>
      <w:r>
        <w:rPr>
          <w:rFonts w:ascii="Segoe UI" w:cs="Segoe UI" w:eastAsia="Segoe UI" w:hAnsi="Segoe UI"/>
          <w:color w:val="6B7280"/>
          <w:sz w:val="20"/>
          <w:szCs w:val="20"/>
        </w:rPr>
        <w:t xml:space="preserve"/>
      </w:r>
    </w:p>
    <w:p>
      <w:pPr>
        <w:pStyle w:val="ListParagraph"/>
        <w:numPr>
          <w:ilvl w:val="0"/>
          <w:numId w:val="2"/>
        </w:numPr>
        <w:spacing w:after="80"/>
      </w:pPr>
      <w:r>
        <w:rPr>
          <w:rFonts w:ascii="Segoe UI" w:cs="Segoe UI" w:eastAsia="Segoe UI" w:hAnsi="Segoe UI"/>
          <w:color w:val="374151"/>
          <w:sz w:val="20"/>
          <w:szCs w:val="20"/>
        </w:rPr>
        <w:t xml:space="preserve">What technology breakthroughs in formulation science, manufacturing, packaging, or digital consumer engagement could shift competitive advantage in FMCG within 2–5 years? (AI formulation, enzyme/biotech, smart packaging, concentrated formats at scale)</w:t>
      </w:r>
    </w:p>
    <w:p>
      <w:pPr>
        <w:pStyle w:val="ListParagraph"/>
        <w:numPr>
          <w:ilvl w:val="0"/>
          <w:numId w:val="2"/>
        </w:numPr>
        <w:spacing w:after="80"/>
      </w:pPr>
      <w:r>
        <w:rPr>
          <w:rFonts w:ascii="Segoe UI" w:cs="Segoe UI" w:eastAsia="Segoe UI" w:hAnsi="Segoe UI"/>
          <w:color w:val="374151"/>
          <w:sz w:val="20"/>
          <w:szCs w:val="20"/>
        </w:rPr>
        <w:t xml:space="preserve">Are there new digital platform shifts, AI capabilities, or retail technology changes that could restructure how FMCG brands reach consumers? (Retail media, AI personalization, social commerce)</w:t>
      </w:r>
    </w:p>
    <w:p>
      <w:pPr>
        <w:spacing w:after="60"/>
      </w:pPr>
    </w:p>
    <w:p>
      <w:pPr>
        <w:spacing w:after="120"/>
      </w:pPr>
      <w:r>
        <w:rPr>
          <w:rFonts w:ascii="Segoe UI" w:cs="Segoe UI" w:eastAsia="Segoe UI" w:hAnsi="Segoe UI"/>
          <w:b/>
          <w:bCs/>
          <w:color w:val="374151"/>
          <w:sz w:val="20"/>
          <w:szCs w:val="20"/>
        </w:rPr>
        <w:t xml:space="preserve">Environmental Force:</w:t>
      </w:r>
      <w:r>
        <w:rPr>
          <w:rFonts w:ascii="Segoe UI" w:cs="Segoe UI" w:eastAsia="Segoe UI" w:hAnsi="Segoe UI"/>
          <w:color w:val="6B7280"/>
          <w:sz w:val="20"/>
          <w:szCs w:val="20"/>
        </w:rPr>
        <w:t xml:space="preserve"/>
      </w:r>
    </w:p>
    <w:p>
      <w:pPr>
        <w:pStyle w:val="ListParagraph"/>
        <w:numPr>
          <w:ilvl w:val="0"/>
          <w:numId w:val="2"/>
        </w:numPr>
        <w:spacing w:after="80"/>
      </w:pPr>
      <w:r>
        <w:rPr>
          <w:rFonts w:ascii="Segoe UI" w:cs="Segoe UI" w:eastAsia="Segoe UI" w:hAnsi="Segoe UI"/>
          <w:color w:val="374151"/>
          <w:sz w:val="20"/>
          <w:szCs w:val="20"/>
        </w:rPr>
        <w:t xml:space="preserve">What supply chain, raw material, or environmental developments could disrupt Henkel’s input cost structure or sustainability positioning in the next 12–24 months? (Palm oil derivatives, petrochemical feedstocks, water stress, carbon pricing)</w:t>
      </w:r>
    </w:p>
    <w:p>
      <w:pPr>
        <w:spacing w:after="60"/>
      </w:pPr>
    </w:p>
    <w:p>
      <w:pPr>
        <w:spacing w:after="120"/>
      </w:pPr>
      <w:r>
        <w:rPr>
          <w:rFonts w:ascii="Segoe UI" w:cs="Segoe UI" w:eastAsia="Segoe UI" w:hAnsi="Segoe UI"/>
          <w:b/>
          <w:bCs/>
          <w:color w:val="374151"/>
          <w:sz w:val="20"/>
          <w:szCs w:val="20"/>
        </w:rPr>
        <w:t xml:space="preserve">Competitive Force:</w:t>
      </w:r>
      <w:r>
        <w:rPr>
          <w:rFonts w:ascii="Segoe UI" w:cs="Segoe UI" w:eastAsia="Segoe UI" w:hAnsi="Segoe UI"/>
          <w:color w:val="6B7280"/>
          <w:sz w:val="20"/>
          <w:szCs w:val="20"/>
        </w:rPr>
        <w:t xml:space="preserve"/>
      </w:r>
    </w:p>
    <w:p>
      <w:pPr>
        <w:pStyle w:val="ListParagraph"/>
        <w:numPr>
          <w:ilvl w:val="0"/>
          <w:numId w:val="2"/>
        </w:numPr>
        <w:spacing w:after="80"/>
      </w:pPr>
      <w:r>
        <w:rPr>
          <w:rFonts w:ascii="Segoe UI" w:cs="Segoe UI" w:eastAsia="Segoe UI" w:hAnsi="Segoe UI"/>
          <w:color w:val="374151"/>
          <w:sz w:val="20"/>
          <w:szCs w:val="20"/>
        </w:rPr>
        <w:t xml:space="preserve">What strategic moves by P&amp;G, Unilever, L’Oréal, Reckitt, Church &amp; Dwight, or emerging competitors in the last 6 months could shift profit pools? (M&amp;A, divestitures, innovation launches, pricing moves)</w:t>
      </w:r>
    </w:p>
    <w:p>
      <w:pPr>
        <w:pStyle w:val="ListParagraph"/>
        <w:numPr>
          <w:ilvl w:val="0"/>
          <w:numId w:val="2"/>
        </w:numPr>
        <w:spacing w:after="80"/>
      </w:pPr>
      <w:r>
        <w:rPr>
          <w:rFonts w:ascii="Segoe UI" w:cs="Segoe UI" w:eastAsia="Segoe UI" w:hAnsi="Segoe UI"/>
          <w:color w:val="374151"/>
          <w:sz w:val="20"/>
          <w:szCs w:val="20"/>
        </w:rPr>
        <w:t xml:space="preserve">Are there new competitive threats from outside traditional FMCG — DTC brands scaling, Chinese brands entering Europe, retailer private label innovation, or platform brands? (TikTok Shop, Temu/Shein adjacencies, Aldi/Lidl premium PL)</w:t>
      </w:r>
    </w:p>
    <w:p>
      <w:pPr>
        <w:spacing w:after="60"/>
      </w:pPr>
    </w:p>
    <w:p>
      <w:pPr>
        <w:spacing w:after="120"/>
      </w:pPr>
      <w:r>
        <w:rPr>
          <w:rFonts w:ascii="Segoe UI" w:cs="Segoe UI" w:eastAsia="Segoe UI" w:hAnsi="Segoe UI"/>
          <w:b/>
          <w:bCs/>
          <w:color w:val="374151"/>
          <w:sz w:val="20"/>
          <w:szCs w:val="20"/>
        </w:rPr>
        <w:t xml:space="preserve">Customer Force:</w:t>
      </w:r>
      <w:r>
        <w:rPr>
          <w:rFonts w:ascii="Segoe UI" w:cs="Segoe UI" w:eastAsia="Segoe UI" w:hAnsi="Segoe UI"/>
          <w:color w:val="6B7280"/>
          <w:sz w:val="20"/>
          <w:szCs w:val="20"/>
        </w:rPr>
        <w:t xml:space="preserve"/>
      </w:r>
    </w:p>
    <w:p>
      <w:pPr>
        <w:pStyle w:val="ListParagraph"/>
        <w:numPr>
          <w:ilvl w:val="0"/>
          <w:numId w:val="2"/>
        </w:numPr>
        <w:spacing w:after="80"/>
      </w:pPr>
      <w:r>
        <w:rPr>
          <w:rFonts w:ascii="Segoe UI" w:cs="Segoe UI" w:eastAsia="Segoe UI" w:hAnsi="Segoe UI"/>
          <w:color w:val="374151"/>
          <w:sz w:val="20"/>
          <w:szCs w:val="20"/>
        </w:rPr>
        <w:t xml:space="preserve">What channel shifts, retailer strategy changes, or trade dynamics in the last 6 months could alter Henkel’s route-to-market economics or shelf access? (Discount expansion, retailer consolidation, listing fee escalation, retail media mandates)</w:t>
      </w:r>
    </w:p>
    <w:p>
      <w:r>
        <w:br w:type="page"/>
      </w:r>
    </w:p>
    <w:p>
      <w:pPr>
        <w:pStyle w:val="Heading2"/>
        <w:spacing w:after="160" w:before="280"/>
      </w:pPr>
      <w:r>
        <w:rPr>
          <w:rFonts w:ascii="Segoe UI" w:cs="Segoe UI" w:eastAsia="Segoe UI" w:hAnsi="Segoe UI"/>
          <w:b/>
          <w:bCs/>
          <w:color w:val="E1000F"/>
          <w:sz w:val="26"/>
          <w:szCs w:val="26"/>
        </w:rPr>
        <w:t xml:space="preserve">Step 2: Multi-Source Intelligence Gathering (Days 2–5)</w:t>
      </w:r>
    </w:p>
    <w:p>
      <w:pPr>
        <w:spacing w:after="120"/>
      </w:pPr>
      <w:r>
        <w:rPr>
          <w:rFonts w:ascii="Segoe UI" w:cs="Segoe UI" w:eastAsia="Segoe UI" w:hAnsi="Segoe UI"/>
          <w:color w:val="374151"/>
          <w:sz w:val="20"/>
          <w:szCs w:val="20"/>
        </w:rPr>
        <w:t xml:space="preserve">Research each strategic question using a structured waterfall of sources. Never rely on a single source type. The goal is triangulation: the same signal confirmed from 3+ independent source tiers.</w:t>
      </w:r>
    </w:p>
    <w:p>
      <w:pPr>
        <w:spacing w:after="60"/>
      </w:pPr>
    </w:p>
    <w:p>
      <w:pPr>
        <w:pStyle w:val="Heading3"/>
        <w:spacing w:after="120" w:before="200"/>
      </w:pPr>
      <w:r>
        <w:rPr>
          <w:rFonts w:ascii="Segoe UI" w:cs="Segoe UI" w:eastAsia="Segoe UI" w:hAnsi="Segoe UI"/>
          <w:b/>
          <w:bCs/>
          <w:color w:val="374151"/>
          <w:sz w:val="22"/>
          <w:szCs w:val="22"/>
        </w:rPr>
        <w:t xml:space="preserve">2a. AI-Powered Strategic Research (Primary)</w:t>
      </w:r>
    </w:p>
    <w:p>
      <w:pPr>
        <w:spacing w:after="120"/>
      </w:pPr>
      <w:r>
        <w:rPr>
          <w:rFonts w:ascii="Segoe UI" w:cs="Segoe UI" w:eastAsia="Segoe UI" w:hAnsi="Segoe UI"/>
          <w:color w:val="374151"/>
          <w:sz w:val="20"/>
          <w:szCs w:val="20"/>
        </w:rPr>
        <w:t xml:space="preserve">Use the PULSE Scanner (v3 Strategic Research Engine) to research each strategic question via Claude/Azure OpenAI with Bain Senior Partner-grade prompting. The AI acts as a strategic analyst, not a search engine.</w:t>
      </w:r>
    </w:p>
    <w:p>
      <w:pPr>
        <w:spacing w:after="60"/>
      </w:pPr>
    </w:p>
    <w:p>
      <w:pPr>
        <w:spacing w:after="120"/>
      </w:pPr>
      <w:r>
        <w:rPr>
          <w:rFonts w:ascii="Segoe UI" w:cs="Segoe UI" w:eastAsia="Segoe UI" w:hAnsi="Segoe UI"/>
          <w:b/>
          <w:bCs/>
          <w:color w:val="374151"/>
          <w:sz w:val="20"/>
          <w:szCs w:val="20"/>
        </w:rPr>
        <w:t xml:space="preserve">How to run: </w:t>
      </w:r>
      <w:r>
        <w:rPr>
          <w:rFonts w:ascii="Segoe UI" w:cs="Segoe UI" w:eastAsia="Segoe UI" w:hAnsi="Segoe UI"/>
          <w:color w:val="6B7280"/>
          <w:sz w:val="20"/>
          <w:szCs w:val="20"/>
        </w:rPr>
        <w:t xml:space="preserve">In the PULSE War Room, navigate to Emerging Trends and click “Scan All Sources.” The scanner researches all 6 forces in parallel, applying quality gates automatically.</w:t>
      </w:r>
    </w:p>
    <w:p>
      <w:pPr>
        <w:spacing w:after="60"/>
      </w:pPr>
    </w:p>
    <w:p>
      <w:pPr>
        <w:spacing w:after="120"/>
      </w:pPr>
      <w:r>
        <w:rPr>
          <w:rFonts w:ascii="Segoe UI" w:cs="Segoe UI" w:eastAsia="Segoe UI" w:hAnsi="Segoe UI"/>
          <w:b/>
          <w:bCs/>
          <w:color w:val="374151"/>
          <w:sz w:val="20"/>
          <w:szCs w:val="20"/>
        </w:rPr>
        <w:t xml:space="preserve">Quality gates (every trend must pass ALL): </w:t>
      </w:r>
      <w:r>
        <w:rPr>
          <w:rFonts w:ascii="Segoe UI" w:cs="Segoe UI" w:eastAsia="Segoe UI" w:hAnsi="Segoe UI"/>
          <w:color w:val="6B7280"/>
          <w:sz w:val="20"/>
          <w:szCs w:val="20"/>
        </w:rPr>
        <w:t xml:space="preserve"/>
      </w:r>
    </w:p>
    <w:p>
      <w:pPr>
        <w:pStyle w:val="ListParagraph"/>
        <w:numPr>
          <w:ilvl w:val="0"/>
          <w:numId w:val="3"/>
        </w:numPr>
        <w:spacing w:after="80"/>
      </w:pPr>
      <w:r>
        <w:rPr>
          <w:rFonts w:ascii="Segoe UI" w:cs="Segoe UI" w:eastAsia="Segoe UI" w:hAnsi="Segoe UI"/>
          <w:color w:val="374151"/>
          <w:sz w:val="20"/>
          <w:szCs w:val="20"/>
        </w:rPr>
        <w:t xml:space="preserve">MATERIAL: Could shift a Henkel category profit pool by ≥1% within 3–5 years</w:t>
      </w:r>
    </w:p>
    <w:p>
      <w:pPr>
        <w:pStyle w:val="ListParagraph"/>
        <w:numPr>
          <w:ilvl w:val="0"/>
          <w:numId w:val="3"/>
        </w:numPr>
        <w:spacing w:after="80"/>
      </w:pPr>
      <w:r>
        <w:rPr>
          <w:rFonts w:ascii="Segoe UI" w:cs="Segoe UI" w:eastAsia="Segoe UI" w:hAnsi="Segoe UI"/>
          <w:color w:val="374151"/>
          <w:sz w:val="20"/>
          <w:szCs w:val="20"/>
        </w:rPr>
        <w:t xml:space="preserve">EVIDENCED: Has at least one specific, named data point (not “experts say”)</w:t>
      </w:r>
    </w:p>
    <w:p>
      <w:pPr>
        <w:pStyle w:val="ListParagraph"/>
        <w:numPr>
          <w:ilvl w:val="0"/>
          <w:numId w:val="3"/>
        </w:numPr>
        <w:spacing w:after="80"/>
      </w:pPr>
      <w:r>
        <w:rPr>
          <w:rFonts w:ascii="Segoe UI" w:cs="Segoe UI" w:eastAsia="Segoe UI" w:hAnsi="Segoe UI"/>
          <w:color w:val="374151"/>
          <w:sz w:val="20"/>
          <w:szCs w:val="20"/>
        </w:rPr>
        <w:t xml:space="preserve">NEW: Not a restatement of any existing trend — must be genuinely incremental</w:t>
      </w:r>
    </w:p>
    <w:p>
      <w:pPr>
        <w:pStyle w:val="ListParagraph"/>
        <w:numPr>
          <w:ilvl w:val="0"/>
          <w:numId w:val="3"/>
        </w:numPr>
        <w:spacing w:after="80"/>
      </w:pPr>
      <w:r>
        <w:rPr>
          <w:rFonts w:ascii="Segoe UI" w:cs="Segoe UI" w:eastAsia="Segoe UI" w:hAnsi="Segoe UI"/>
          <w:color w:val="374151"/>
          <w:sz w:val="20"/>
          <w:szCs w:val="20"/>
        </w:rPr>
        <w:t xml:space="preserve">ACTIONABLE: Henkel can respond strategically (invest, defend, pivot, harvest)</w:t>
      </w:r>
    </w:p>
    <w:p>
      <w:pPr>
        <w:pStyle w:val="ListParagraph"/>
        <w:numPr>
          <w:ilvl w:val="0"/>
          <w:numId w:val="3"/>
        </w:numPr>
        <w:spacing w:after="80"/>
      </w:pPr>
      <w:r>
        <w:rPr>
          <w:rFonts w:ascii="Segoe UI" w:cs="Segoe UI" w:eastAsia="Segoe UI" w:hAnsi="Segoe UI"/>
          <w:color w:val="374151"/>
          <w:sz w:val="20"/>
          <w:szCs w:val="20"/>
        </w:rPr>
        <w:t xml:space="preserve">SPECIFIC: Names specific companies, regulations, technologies, or market data</w:t>
      </w:r>
    </w:p>
    <w:p>
      <w:pPr>
        <w:spacing w:after="60"/>
      </w:pPr>
    </w:p>
    <w:p>
      <w:pPr>
        <w:pStyle w:val="Heading3"/>
        <w:spacing w:after="120" w:before="200"/>
      </w:pPr>
      <w:r>
        <w:rPr>
          <w:rFonts w:ascii="Segoe UI" w:cs="Segoe UI" w:eastAsia="Segoe UI" w:hAnsi="Segoe UI"/>
          <w:b/>
          <w:bCs/>
          <w:color w:val="374151"/>
          <w:sz w:val="22"/>
          <w:szCs w:val="22"/>
        </w:rPr>
        <w:t xml:space="preserve">2b. 19 Free API Sources (Supplementary)</w:t>
      </w:r>
    </w:p>
    <w:p>
      <w:pPr>
        <w:spacing w:after="120"/>
      </w:pPr>
      <w:r>
        <w:rPr>
          <w:rFonts w:ascii="Segoe UI" w:cs="Segoe UI" w:eastAsia="Segoe UI" w:hAnsi="Segoe UI"/>
          <w:color w:val="374151"/>
          <w:sz w:val="20"/>
          <w:szCs w:val="20"/>
        </w:rPr>
        <w:t xml:space="preserve">The PULSE platform integrates 19 free/open APIs organized in 6 groups for automated scanning: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560"/>
        <w:gridCol w:w="1800"/>
      </w:tblGrid>
      <w:tr>
        <w:tc>
          <w:tcPr>
            <w:tcW w:type="dxa" w:w="12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Group</w:t>
            </w:r>
          </w:p>
        </w:tc>
        <w:tc>
          <w:tcPr>
            <w:tcW w:type="dxa" w:w="2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Sources</w:t>
            </w:r>
          </w:p>
        </w:tc>
        <w:tc>
          <w:tcPr>
            <w:tcW w:type="dxa" w:w="35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What It Provides</w:t>
            </w:r>
          </w:p>
        </w:tc>
        <w:tc>
          <w:tcPr>
            <w:tcW w:type="dxa" w:w="1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Cost</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Segoe UI" w:cs="Segoe UI" w:eastAsia="Segoe UI" w:hAnsi="Segoe UI"/>
                <w:color w:val="374151"/>
                <w:sz w:val="18"/>
                <w:szCs w:val="18"/>
              </w:rPr>
              <w:t xml:space="preserve">A: News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GDELT, GNews, CurrentsAPI, 12 RSS feeds, NewsAPI</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Volume backbone: global news events, sentiment, FMCG industry feeds (CosmeticsDesign, RetailDive, GroceryDive, HAPPI, ChemicalWatch)</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€0</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Segoe UI" w:cs="Segoe UI" w:eastAsia="Segoe UI" w:hAnsi="Segoe UI"/>
                <w:color w:val="374151"/>
                <w:sz w:val="18"/>
                <w:szCs w:val="18"/>
              </w:rPr>
              <w:t xml:space="preserve">B: Regulatory</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ECHA CHEM, EUR-Lex, EPO Patents</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EU REACH database, SVHC candidate list, all EU legislation, patent filings in cosmetics/detergent IPC classes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€0</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Segoe UI" w:cs="Segoe UI" w:eastAsia="Segoe UI" w:hAnsi="Segoe UI"/>
                <w:color w:val="374151"/>
                <w:sz w:val="18"/>
                <w:szCs w:val="18"/>
              </w:rPr>
              <w:t xml:space="preserve">C: Consumer</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Google Trends, Reddit, YouTube</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Consumer search intent signals, unfiltered product discussions, beauty/care trend validation via video metadata</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€0</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Segoe UI" w:cs="Segoe UI" w:eastAsia="Segoe UI" w:hAnsi="Segoe UI"/>
                <w:color w:val="374151"/>
                <w:sz w:val="18"/>
                <w:szCs w:val="18"/>
              </w:rPr>
              <w:t xml:space="preserve">D: Economic</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FRED, World Bank, Open-Meteo</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Palm oil futures, crude oil, PPI detergent, GDP per capita, urbanization, water stress, climate data</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€0</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Segoe UI" w:cs="Segoe UI" w:eastAsia="Segoe UI" w:hAnsi="Segoe UI"/>
                <w:color w:val="374151"/>
                <w:sz w:val="18"/>
                <w:szCs w:val="18"/>
              </w:rPr>
              <w:t xml:space="preserve">E: Academic</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OpenAlex, NCBI PubMed, arXiv</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200M+ scholarly works, citation velocity, biomedical/cosmeceutical research, materials science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€0</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Segoe UI" w:cs="Segoe UI" w:eastAsia="Segoe UI" w:hAnsi="Segoe UI"/>
                <w:color w:val="374151"/>
                <w:sz w:val="18"/>
                <w:szCs w:val="18"/>
              </w:rPr>
              <w:t xml:space="preserve">F: Competitive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SEC EDGAR</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Public filings for P&amp;G, Church &amp; Dwight, Colgate-Palmolive, Clorox</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€0</w:t>
            </w:r>
          </w:p>
        </w:tc>
      </w:tr>
    </w:tbl>
    <w:p>
      <w:pPr>
        <w:spacing w:after="60"/>
      </w:pPr>
    </w:p>
    <w:p>
      <w:pPr>
        <w:pStyle w:val="Heading3"/>
        <w:spacing w:after="120" w:before="200"/>
      </w:pPr>
      <w:r>
        <w:rPr>
          <w:rFonts w:ascii="Segoe UI" w:cs="Segoe UI" w:eastAsia="Segoe UI" w:hAnsi="Segoe UI"/>
          <w:b/>
          <w:bCs/>
          <w:color w:val="374151"/>
          <w:sz w:val="22"/>
          <w:szCs w:val="22"/>
        </w:rPr>
        <w:t xml:space="preserve">2c. Manual Deep Dives (For High-Priority Gaps)</w:t>
      </w:r>
    </w:p>
    <w:p>
      <w:pPr>
        <w:spacing w:after="120"/>
      </w:pPr>
      <w:r>
        <w:rPr>
          <w:rFonts w:ascii="Segoe UI" w:cs="Segoe UI" w:eastAsia="Segoe UI" w:hAnsi="Segoe UI"/>
          <w:color w:val="374151"/>
          <w:sz w:val="20"/>
          <w:szCs w:val="20"/>
        </w:rPr>
        <w:t xml:space="preserve">For trends identified as high-priority gaps, conduct manual research using Tier A+ sources:</w:t>
      </w:r>
    </w:p>
    <w:p>
      <w:pPr>
        <w:pStyle w:val="ListParagraph"/>
        <w:numPr>
          <w:ilvl w:val="0"/>
          <w:numId w:val="2"/>
        </w:numPr>
        <w:spacing w:after="80"/>
      </w:pPr>
      <w:r>
        <w:rPr>
          <w:rFonts w:ascii="Segoe UI" w:cs="Segoe UI" w:eastAsia="Segoe UI" w:hAnsi="Segoe UI"/>
          <w:color w:val="374151"/>
          <w:sz w:val="20"/>
          <w:szCs w:val="20"/>
        </w:rPr>
        <w:t xml:space="preserve">Euromonitor Passport (if licensed) — category sizing, competitive shares, forecast</w:t>
      </w:r>
    </w:p>
    <w:p>
      <w:pPr>
        <w:pStyle w:val="ListParagraph"/>
        <w:numPr>
          <w:ilvl w:val="0"/>
          <w:numId w:val="2"/>
        </w:numPr>
        <w:spacing w:after="80"/>
      </w:pPr>
      <w:r>
        <w:rPr>
          <w:rFonts w:ascii="Segoe UI" w:cs="Segoe UI" w:eastAsia="Segoe UI" w:hAnsi="Segoe UI"/>
          <w:color w:val="374151"/>
          <w:sz w:val="20"/>
          <w:szCs w:val="20"/>
        </w:rPr>
        <w:t xml:space="preserve">NIQ/Circana retail panel data — actual sell-through by channel, brand, format</w:t>
      </w:r>
    </w:p>
    <w:p>
      <w:pPr>
        <w:pStyle w:val="ListParagraph"/>
        <w:numPr>
          <w:ilvl w:val="0"/>
          <w:numId w:val="2"/>
        </w:numPr>
        <w:spacing w:after="80"/>
      </w:pPr>
      <w:r>
        <w:rPr>
          <w:rFonts w:ascii="Segoe UI" w:cs="Segoe UI" w:eastAsia="Segoe UI" w:hAnsi="Segoe UI"/>
          <w:color w:val="374151"/>
          <w:sz w:val="20"/>
          <w:szCs w:val="20"/>
        </w:rPr>
        <w:t xml:space="preserve">Kantar Worldpanel — household penetration, switching behavior, loyalty</w:t>
      </w:r>
    </w:p>
    <w:p>
      <w:pPr>
        <w:pStyle w:val="ListParagraph"/>
        <w:numPr>
          <w:ilvl w:val="0"/>
          <w:numId w:val="2"/>
        </w:numPr>
        <w:spacing w:after="80"/>
      </w:pPr>
      <w:r>
        <w:rPr>
          <w:rFonts w:ascii="Segoe UI" w:cs="Segoe UI" w:eastAsia="Segoe UI" w:hAnsi="Segoe UI"/>
          <w:color w:val="374151"/>
          <w:sz w:val="20"/>
          <w:szCs w:val="20"/>
        </w:rPr>
        <w:t xml:space="preserve">Earnings call transcripts (P&amp;G, Unilever, Reckitt) — competitor strategy signals</w:t>
      </w:r>
    </w:p>
    <w:p>
      <w:pPr>
        <w:pStyle w:val="ListParagraph"/>
        <w:numPr>
          <w:ilvl w:val="0"/>
          <w:numId w:val="2"/>
        </w:numPr>
        <w:spacing w:after="80"/>
      </w:pPr>
      <w:r>
        <w:rPr>
          <w:rFonts w:ascii="Segoe UI" w:cs="Segoe UI" w:eastAsia="Segoe UI" w:hAnsi="Segoe UI"/>
          <w:color w:val="374151"/>
          <w:sz w:val="20"/>
          <w:szCs w:val="20"/>
        </w:rPr>
        <w:t xml:space="preserve">ECHA/EUR-Lex official publications — regulatory pipeline with exact timelines</w:t>
      </w:r>
    </w:p>
    <w:p>
      <w:pPr>
        <w:pStyle w:val="ListParagraph"/>
        <w:numPr>
          <w:ilvl w:val="0"/>
          <w:numId w:val="2"/>
        </w:numPr>
        <w:spacing w:after="80"/>
      </w:pPr>
      <w:r>
        <w:rPr>
          <w:rFonts w:ascii="Segoe UI" w:cs="Segoe UI" w:eastAsia="Segoe UI" w:hAnsi="Segoe UI"/>
          <w:color w:val="374151"/>
          <w:sz w:val="20"/>
          <w:szCs w:val="20"/>
        </w:rPr>
        <w:t xml:space="preserve">Investment bank equity research (JP Morgan, Goldman Sachs) — market sizing, penetration forecasts</w:t>
      </w:r>
    </w:p>
    <w:p>
      <w:r>
        <w:br w:type="page"/>
      </w:r>
    </w:p>
    <w:p>
      <w:pPr>
        <w:pStyle w:val="Heading2"/>
        <w:spacing w:after="160" w:before="280"/>
      </w:pPr>
      <w:r>
        <w:rPr>
          <w:rFonts w:ascii="Segoe UI" w:cs="Segoe UI" w:eastAsia="Segoe UI" w:hAnsi="Segoe UI"/>
          <w:b/>
          <w:bCs/>
          <w:color w:val="E1000F"/>
          <w:sz w:val="26"/>
          <w:szCs w:val="26"/>
        </w:rPr>
        <w:t xml:space="preserve">Step 3: Source Credibility Validation (Days 5–7)</w:t>
      </w:r>
    </w:p>
    <w:p>
      <w:pPr>
        <w:spacing w:after="120"/>
      </w:pPr>
      <w:r>
        <w:rPr>
          <w:rFonts w:ascii="Segoe UI" w:cs="Segoe UI" w:eastAsia="Segoe UI" w:hAnsi="Segoe UI"/>
          <w:color w:val="374151"/>
          <w:sz w:val="20"/>
          <w:szCs w:val="20"/>
        </w:rPr>
        <w:t xml:space="preserve">Every source backing a trend must be rated on the 9-tier credibility scale. A trend is only as strong as its weakest critical source. Weak signals (Tier D/E) require corroboration from Tier B+ or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560"/>
      </w:tblGrid>
      <w:tr>
        <w:tc>
          <w:tcPr>
            <w:tcW w:type="dxa" w:w="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Tier</w:t>
            </w:r>
          </w:p>
        </w:tc>
        <w:tc>
          <w:tcPr>
            <w:tcW w:type="dxa" w:w="32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Definition</w:t>
            </w:r>
          </w:p>
        </w:tc>
        <w:tc>
          <w:tcPr>
            <w:tcW w:type="dxa" w:w="2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Examples</w:t>
            </w:r>
          </w:p>
        </w:tc>
        <w:tc>
          <w:tcPr>
            <w:tcW w:type="dxa" w:w="25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Usage Rule</w:t>
            </w:r>
          </w:p>
        </w:tc>
      </w:tr>
      <w:tr>
        <w:tc>
          <w:tcPr>
            <w:tcW w:type="dxa" w:w="800"/>
            <w:tcBorders>
              <w:top w:val="single" w:color="D1D5DB" w:sz="1"/>
              <w:left w:val="single" w:color="D1D5DB" w:sz="1"/>
              <w:bottom w:val="single" w:color="D1D5DB" w:sz="1"/>
              <w:right w:val="single" w:color="D1D5DB" w:sz="1"/>
            </w:tcBorders>
            <w:shd w:fill="15803D" w:val="clear"/>
            <w:tcMar>
              <w:top w:type="dxa" w:w="60"/>
              <w:left w:type="dxa" w:w="100"/>
              <w:bottom w:type="dxa" w:w="60"/>
              <w:right w:type="dxa" w:w="100"/>
            </w:tcMar>
          </w:tcPr>
          <w:p>
            <w:pPr>
              <w:jc w:val="center"/>
            </w:pPr>
            <w:r>
              <w:rPr>
                <w:rFonts w:ascii="Segoe UI" w:cs="Segoe UI" w:eastAsia="Segoe UI" w:hAnsi="Segoe UI"/>
                <w:b/>
                <w:bCs/>
                <w:color w:val="FFFFFF"/>
                <w:sz w:val="20"/>
                <w:szCs w:val="20"/>
              </w:rPr>
              <w:t xml:space="preserve">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Official regulatory/legislative body</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ECHA, EUR-Lex, Eurostat, UN, WHO, ECB</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Gold standard — cite directly</w:t>
            </w:r>
          </w:p>
        </w:tc>
      </w:tr>
      <w:tr>
        <w:tc>
          <w:tcPr>
            <w:tcW w:type="dxa" w:w="800"/>
            <w:tcBorders>
              <w:top w:val="single" w:color="D1D5DB" w:sz="1"/>
              <w:left w:val="single" w:color="D1D5DB" w:sz="1"/>
              <w:bottom w:val="single" w:color="D1D5DB" w:sz="1"/>
              <w:right w:val="single" w:color="D1D5DB" w:sz="1"/>
            </w:tcBorders>
            <w:shd w:fill="166534" w:val="clear"/>
            <w:tcMar>
              <w:top w:type="dxa" w:w="60"/>
              <w:left w:type="dxa" w:w="100"/>
              <w:bottom w:type="dxa" w:w="60"/>
              <w:right w:type="dxa" w:w="100"/>
            </w:tcMar>
          </w:tcPr>
          <w:p>
            <w:pPr>
              <w:jc w:val="center"/>
            </w:pPr>
            <w:r>
              <w:rPr>
                <w:rFonts w:ascii="Segoe UI" w:cs="Segoe UI" w:eastAsia="Segoe UI" w:hAnsi="Segoe UI"/>
                <w:b/>
                <w:bCs/>
                <w:color w:val="FFFFFF"/>
                <w:sz w:val="20"/>
                <w:szCs w:val="20"/>
              </w:rPr>
              <w:t xml:space="preserve">A</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Tier-1 consulting with primary data</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McKinsey, Bain, BCG, Euromonitor, NIQ, Circana, Kantar</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Primary evidence — sufficient alone</w:t>
            </w:r>
          </w:p>
        </w:tc>
      </w:tr>
      <w:tr>
        <w:tc>
          <w:tcPr>
            <w:tcW w:type="dxa" w:w="800"/>
            <w:tcBorders>
              <w:top w:val="single" w:color="D1D5DB" w:sz="1"/>
              <w:left w:val="single" w:color="D1D5DB" w:sz="1"/>
              <w:bottom w:val="single" w:color="D1D5DB" w:sz="1"/>
              <w:right w:val="single" w:color="D1D5DB" w:sz="1"/>
            </w:tcBorders>
            <w:shd w:fill="1D4ED8" w:val="clear"/>
            <w:tcMar>
              <w:top w:type="dxa" w:w="60"/>
              <w:left w:type="dxa" w:w="100"/>
              <w:bottom w:type="dxa" w:w="60"/>
              <w:right w:type="dxa" w:w="100"/>
            </w:tcMar>
          </w:tcPr>
          <w:p>
            <w:pPr>
              <w:jc w:val="center"/>
            </w:pPr>
            <w:r>
              <w:rPr>
                <w:rFonts w:ascii="Segoe UI" w:cs="Segoe UI" w:eastAsia="Segoe UI" w:hAnsi="Segoe UI"/>
                <w:b/>
                <w:bCs/>
                <w:color w:val="FFFFFF"/>
                <w:sz w:val="20"/>
                <w:szCs w:val="20"/>
              </w:rPr>
              <w:t xml:space="preserve">A–</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Investment bank / Big-4 analyst report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JP Morgan, Goldman Sachs, Deloitte, PwC</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Strong evidence — supplement with A or S</w:t>
            </w:r>
          </w:p>
        </w:tc>
      </w:tr>
      <w:tr>
        <w:tc>
          <w:tcPr>
            <w:tcW w:type="dxa" w:w="800"/>
            <w:tcBorders>
              <w:top w:val="single" w:color="D1D5DB" w:sz="1"/>
              <w:left w:val="single" w:color="D1D5DB" w:sz="1"/>
              <w:bottom w:val="single" w:color="D1D5DB" w:sz="1"/>
              <w:right w:val="single" w:color="D1D5DB" w:sz="1"/>
            </w:tcBorders>
            <w:shd w:fill="1E40AF" w:val="clear"/>
            <w:tcMar>
              <w:top w:type="dxa" w:w="60"/>
              <w:left w:type="dxa" w:w="100"/>
              <w:bottom w:type="dxa" w:w="60"/>
              <w:right w:type="dxa" w:w="100"/>
            </w:tcMar>
          </w:tcPr>
          <w:p>
            <w:pPr>
              <w:jc w:val="center"/>
            </w:pPr>
            <w:r>
              <w:rPr>
                <w:rFonts w:ascii="Segoe UI" w:cs="Segoe UI" w:eastAsia="Segoe UI" w:hAnsi="Segoe UI"/>
                <w:b/>
                <w:bCs/>
                <w:color w:val="FFFFFF"/>
                <w:sz w:val="20"/>
                <w:szCs w:val="20"/>
              </w:rPr>
              <w:t xml:space="preserve">B+</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Specialist industry analyst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Kline Group, WGSN, Mordor Intelligence, GlobeNewsWire</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Good supporting evidence</w:t>
            </w:r>
          </w:p>
        </w:tc>
      </w:tr>
      <w:tr>
        <w:tc>
          <w:tcPr>
            <w:tcW w:type="dxa" w:w="800"/>
            <w:tcBorders>
              <w:top w:val="single" w:color="D1D5DB" w:sz="1"/>
              <w:left w:val="single" w:color="D1D5DB" w:sz="1"/>
              <w:bottom w:val="single" w:color="D1D5DB" w:sz="1"/>
              <w:right w:val="single" w:color="D1D5DB" w:sz="1"/>
            </w:tcBorders>
            <w:shd w:fill="6B7280" w:val="clear"/>
            <w:tcMar>
              <w:top w:type="dxa" w:w="60"/>
              <w:left w:type="dxa" w:w="100"/>
              <w:bottom w:type="dxa" w:w="60"/>
              <w:right w:type="dxa" w:w="100"/>
            </w:tcMar>
          </w:tcPr>
          <w:p>
            <w:pPr>
              <w:jc w:val="center"/>
            </w:pPr>
            <w:r>
              <w:rPr>
                <w:rFonts w:ascii="Segoe UI" w:cs="Segoe UI" w:eastAsia="Segoe UI" w:hAnsi="Segoe UI"/>
                <w:b/>
                <w:bCs/>
                <w:color w:val="FFFFFF"/>
                <w:sz w:val="20"/>
                <w:szCs w:val="20"/>
              </w:rPr>
              <w:t xml:space="preserve">B</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Trade press / industry media</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CosmeticsDesign, RetailDive, HAPPI, ChemicalWatch</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Acceptable with Tier A corroboration</w:t>
            </w:r>
          </w:p>
        </w:tc>
      </w:tr>
      <w:tr>
        <w:tc>
          <w:tcPr>
            <w:tcW w:type="dxa" w:w="800"/>
            <w:tcBorders>
              <w:top w:val="single" w:color="D1D5DB" w:sz="1"/>
              <w:left w:val="single" w:color="D1D5DB" w:sz="1"/>
              <w:bottom w:val="single" w:color="D1D5DB" w:sz="1"/>
              <w:right w:val="single" w:color="D1D5DB" w:sz="1"/>
            </w:tcBorders>
            <w:shd w:fill="9CA3AF" w:val="clear"/>
            <w:tcMar>
              <w:top w:type="dxa" w:w="60"/>
              <w:left w:type="dxa" w:w="100"/>
              <w:bottom w:type="dxa" w:w="60"/>
              <w:right w:type="dxa" w:w="100"/>
            </w:tcMar>
          </w:tcPr>
          <w:p>
            <w:pPr>
              <w:jc w:val="center"/>
            </w:pPr>
            <w:r>
              <w:rPr>
                <w:rFonts w:ascii="Segoe UI" w:cs="Segoe UI" w:eastAsia="Segoe UI" w:hAnsi="Segoe UI"/>
                <w:b/>
                <w:bCs/>
                <w:color w:val="374151"/>
                <w:sz w:val="20"/>
                <w:szCs w:val="20"/>
              </w:rPr>
              <w:t xml:space="preserve">B–</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Company / PR source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Corporate press releases, annual reports, investor decks</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Biased — triangulate with independent source</w:t>
            </w:r>
          </w:p>
        </w:tc>
      </w:tr>
      <w:tr>
        <w:tc>
          <w:tcPr>
            <w:tcW w:type="dxa" w:w="800"/>
            <w:tcBorders>
              <w:top w:val="single" w:color="D1D5DB" w:sz="1"/>
              <w:left w:val="single" w:color="D1D5DB" w:sz="1"/>
              <w:bottom w:val="single" w:color="D1D5DB" w:sz="1"/>
              <w:right w:val="single" w:color="D1D5DB" w:sz="1"/>
            </w:tcBorders>
            <w:shd w:fill="D1D5DB" w:val="clear"/>
            <w:tcMar>
              <w:top w:type="dxa" w:w="60"/>
              <w:left w:type="dxa" w:w="100"/>
              <w:bottom w:type="dxa" w:w="60"/>
              <w:right w:type="dxa" w:w="100"/>
            </w:tcMar>
          </w:tcPr>
          <w:p>
            <w:pPr>
              <w:jc w:val="center"/>
            </w:pPr>
            <w:r>
              <w:rPr>
                <w:rFonts w:ascii="Segoe UI" w:cs="Segoe UI" w:eastAsia="Segoe UI" w:hAnsi="Segoe UI"/>
                <w:b/>
                <w:bCs/>
                <w:color w:val="374151"/>
                <w:sz w:val="20"/>
                <w:szCs w:val="20"/>
              </w:rPr>
              <w:t xml:space="preserve">C</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General press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Financial Times, Bloomberg, Reuters, BBC</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Context only — never sole source for scoring</w:t>
            </w:r>
          </w:p>
        </w:tc>
      </w:tr>
      <w:tr>
        <w:tc>
          <w:tcPr>
            <w:tcW w:type="dxa" w:w="8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pPr>
              <w:jc w:val="center"/>
            </w:pPr>
            <w:r>
              <w:rPr>
                <w:rFonts w:ascii="Segoe UI" w:cs="Segoe UI" w:eastAsia="Segoe UI" w:hAnsi="Segoe UI"/>
                <w:b/>
                <w:bCs/>
                <w:color w:val="374151"/>
                <w:sz w:val="20"/>
                <w:szCs w:val="20"/>
              </w:rPr>
              <w:t xml:space="preserve">D</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Aggregator / blog</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Industry blogs, content aggregators, listicles</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Weak signal only — requires B+ corroboration</w:t>
            </w:r>
          </w:p>
        </w:tc>
      </w:tr>
      <w:tr>
        <w:tc>
          <w:tcPr>
            <w:tcW w:type="dxa" w:w="8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Segoe UI" w:cs="Segoe UI" w:eastAsia="Segoe UI" w:hAnsi="Segoe UI"/>
                <w:b/>
                <w:bCs/>
                <w:color w:val="E1000F"/>
                <w:sz w:val="20"/>
                <w:szCs w:val="20"/>
              </w:rPr>
              <w:t xml:space="preserve">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Unverified / social media</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Reddit, TikTok, Twitter/X, anonymous forums</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Never cited alone — discovery signal only</w:t>
            </w:r>
          </w:p>
        </w:tc>
      </w:tr>
    </w:tbl>
    <w:p>
      <w:pPr>
        <w:spacing w:after="60"/>
      </w:pPr>
    </w:p>
    <w:p>
      <w:pPr>
        <w:spacing w:after="120"/>
      </w:pPr>
      <w:r>
        <w:rPr>
          <w:rFonts w:ascii="Segoe UI" w:cs="Segoe UI" w:eastAsia="Segoe UI" w:hAnsi="Segoe UI"/>
          <w:b/>
          <w:bCs/>
          <w:color w:val="374151"/>
          <w:sz w:val="20"/>
          <w:szCs w:val="20"/>
        </w:rPr>
        <w:t xml:space="preserve">Validation rule: </w:t>
      </w:r>
      <w:r>
        <w:rPr>
          <w:rFonts w:ascii="Segoe UI" w:cs="Segoe UI" w:eastAsia="Segoe UI" w:hAnsi="Segoe UI"/>
          <w:color w:val="6B7280"/>
          <w:sz w:val="20"/>
          <w:szCs w:val="20"/>
        </w:rPr>
        <w:t xml:space="preserve">A trend must have at least one source rated B+ or higher to be included in the PULSE database. Trends supported only by Tier C or below are flagged for further research, not included.</w:t>
      </w:r>
    </w:p>
    <w:p>
      <w:r>
        <w:br w:type="page"/>
      </w:r>
    </w:p>
    <w:p>
      <w:pPr>
        <w:pStyle w:val="Heading2"/>
        <w:spacing w:after="160" w:before="280"/>
      </w:pPr>
      <w:r>
        <w:rPr>
          <w:rFonts w:ascii="Segoe UI" w:cs="Segoe UI" w:eastAsia="Segoe UI" w:hAnsi="Segoe UI"/>
          <w:b/>
          <w:bCs/>
          <w:color w:val="E1000F"/>
          <w:sz w:val="26"/>
          <w:szCs w:val="26"/>
        </w:rPr>
        <w:t xml:space="preserve">Step 4: Trend Scoring &amp; Economic Anchoring (Days 7–10)</w:t>
      </w:r>
    </w:p>
    <w:p>
      <w:pPr>
        <w:spacing w:after="120"/>
      </w:pPr>
      <w:r>
        <w:rPr>
          <w:rFonts w:ascii="Segoe UI" w:cs="Segoe UI" w:eastAsia="Segoe UI" w:hAnsi="Segoe UI"/>
          <w:color w:val="374151"/>
          <w:sz w:val="20"/>
          <w:szCs w:val="20"/>
        </w:rPr>
        <w:t xml:space="preserve">Each validated trend is scored on two dimensions:</w:t>
      </w:r>
    </w:p>
    <w:p>
      <w:pPr>
        <w:spacing w:after="60"/>
      </w:pPr>
    </w:p>
    <w:p>
      <w:pPr>
        <w:pStyle w:val="Heading3"/>
        <w:spacing w:after="120" w:before="200"/>
      </w:pPr>
      <w:r>
        <w:rPr>
          <w:rFonts w:ascii="Segoe UI" w:cs="Segoe UI" w:eastAsia="Segoe UI" w:hAnsi="Segoe UI"/>
          <w:b/>
          <w:bCs/>
          <w:color w:val="374151"/>
          <w:sz w:val="22"/>
          <w:szCs w:val="22"/>
        </w:rPr>
        <w:t xml:space="preserve">4a. Probability Score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Score</w:t>
            </w:r>
          </w:p>
        </w:tc>
        <w:tc>
          <w:tcPr>
            <w:tcW w:type="dxa" w:w="2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Label</w:t>
            </w:r>
          </w:p>
        </w:tc>
        <w:tc>
          <w:tcPr>
            <w:tcW w:type="dxa" w:w="63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Criteria</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1</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Very Unlikely</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Weak signals only, speculative, no regulatory/market confirmation</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2</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Unlikely</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Early signals but significant structural barriers to materialization</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3</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Possible</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Moderate evidence, some market/regulatory momentum, plausible within timeframe</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4</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Likely</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Strong evidence, clear trajectory, regulatory or market momentum confirmed</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5</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Near-Certain</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Already materializing, regulatory timeline locked, market data confirms direction</w:t>
            </w:r>
          </w:p>
        </w:tc>
      </w:tr>
    </w:tbl>
    <w:p>
      <w:pPr>
        <w:spacing w:after="60"/>
      </w:pPr>
    </w:p>
    <w:p>
      <w:pPr>
        <w:pStyle w:val="Heading3"/>
        <w:spacing w:after="120" w:before="200"/>
      </w:pPr>
      <w:r>
        <w:rPr>
          <w:rFonts w:ascii="Segoe UI" w:cs="Segoe UI" w:eastAsia="Segoe UI" w:hAnsi="Segoe UI"/>
          <w:b/>
          <w:bCs/>
          <w:color w:val="374151"/>
          <w:sz w:val="22"/>
          <w:szCs w:val="22"/>
        </w:rPr>
        <w:t xml:space="preserve">4b. GP1% Affected (0.0–1.0)</w:t>
      </w:r>
    </w:p>
    <w:p>
      <w:pPr>
        <w:spacing w:after="120"/>
      </w:pPr>
      <w:r>
        <w:rPr>
          <w:rFonts w:ascii="Segoe UI" w:cs="Segoe UI" w:eastAsia="Segoe UI" w:hAnsi="Segoe UI"/>
          <w:color w:val="374151"/>
          <w:sz w:val="20"/>
          <w:szCs w:val="20"/>
        </w:rPr>
        <w:t xml:space="preserve">The economic anchor: what fraction of a category’s gross profit pool (GP1) can this trend realistically touch at full materialization? This caps the maximum economic impact and prevents double-counting.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Trend Type</w:t>
            </w:r>
          </w:p>
        </w:tc>
        <w:tc>
          <w:tcPr>
            <w:tcW w:type="dxa" w:w="16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Typical Range</w:t>
            </w:r>
          </w:p>
        </w:tc>
        <w:tc>
          <w:tcPr>
            <w:tcW w:type="dxa" w:w="49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Calibration Logic</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Market structure (PL, channel shift)</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15–25%</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Affects entire category pricing architecture and margin mix</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Regulatory (reformulation, packaging)</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5–15%</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Affects COGS through compliance costs, not entire margin pool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Consumer behavioral (premiumization)</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8–20%</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Affects segment willingness-to-pay and trade-up/down velocity</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Technology (formats, AI, biotech)</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3–10%</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Efficiency gains or niche segment creation; rarely full-pool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Category creation (scalp care, hair loss)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3–8%</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Additive new pools, not shifting existing ones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Competitive moves (M&amp;A, launches)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5–15%</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Affects share within overlapping segments</w:t>
            </w:r>
          </w:p>
        </w:tc>
      </w:tr>
    </w:tbl>
    <w:p>
      <w:pPr>
        <w:spacing w:after="60"/>
      </w:pPr>
    </w:p>
    <w:p>
      <w:pPr>
        <w:spacing w:after="120"/>
      </w:pPr>
      <w:r>
        <w:rPr>
          <w:rFonts w:ascii="Segoe UI" w:cs="Segoe UI" w:eastAsia="Segoe UI" w:hAnsi="Segoe UI"/>
          <w:b/>
          <w:bCs/>
          <w:color w:val="374151"/>
          <w:sz w:val="20"/>
          <w:szCs w:val="20"/>
        </w:rPr>
        <w:t xml:space="preserve">Formula: </w:t>
      </w:r>
      <w:r>
        <w:rPr>
          <w:rFonts w:ascii="Segoe UI" w:cs="Segoe UI" w:eastAsia="Segoe UI" w:hAnsi="Segoe UI"/>
          <w:color w:val="6B7280"/>
          <w:sz w:val="20"/>
          <w:szCs w:val="20"/>
        </w:rPr>
        <w:t xml:space="preserve">normalized_score = probability_mean × gp1_pct_affected × direction_sign (+1 for Expansion, −1 for Contraction)</w:t>
      </w:r>
    </w:p>
    <w:p>
      <w:r>
        <w:br w:type="page"/>
      </w:r>
    </w:p>
    <w:p>
      <w:pPr>
        <w:pStyle w:val="Heading2"/>
        <w:spacing w:after="160" w:before="280"/>
      </w:pPr>
      <w:r>
        <w:rPr>
          <w:rFonts w:ascii="Segoe UI" w:cs="Segoe UI" w:eastAsia="Segoe UI" w:hAnsi="Segoe UI"/>
          <w:b/>
          <w:bCs/>
          <w:color w:val="E1000F"/>
          <w:sz w:val="26"/>
          <w:szCs w:val="26"/>
        </w:rPr>
        <w:t xml:space="preserve">Step 5: Category &amp; Value Chain Mapping (Days 10–12)</w:t>
      </w:r>
    </w:p>
    <w:p>
      <w:pPr>
        <w:spacing w:after="120"/>
      </w:pPr>
      <w:r>
        <w:rPr>
          <w:rFonts w:ascii="Segoe UI" w:cs="Segoe UI" w:eastAsia="Segoe UI" w:hAnsi="Segoe UI"/>
          <w:color w:val="374151"/>
          <w:sz w:val="20"/>
          <w:szCs w:val="20"/>
        </w:rPr>
        <w:t xml:space="preserve">Each trend is mapped to Henkel’s 12 product categories and 8 value chain steps with exposure scores (0–5).</w:t>
      </w:r>
    </w:p>
    <w:p>
      <w:pPr>
        <w:spacing w:after="60"/>
      </w:pPr>
    </w:p>
    <w:p>
      <w:pPr>
        <w:pStyle w:val="Heading3"/>
        <w:spacing w:after="120" w:before="200"/>
      </w:pPr>
      <w:r>
        <w:rPr>
          <w:rFonts w:ascii="Segoe UI" w:cs="Segoe UI" w:eastAsia="Segoe UI" w:hAnsi="Segoe UI"/>
          <w:b/>
          <w:bCs/>
          <w:color w:val="374151"/>
          <w:sz w:val="22"/>
          <w:szCs w:val="22"/>
        </w:rPr>
        <w:t xml:space="preserve">5a. Category Exposure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Score</w:t>
            </w:r>
          </w:p>
        </w:tc>
        <w:tc>
          <w:tcPr>
            <w:tcW w:type="dxa" w:w="83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Meaning</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0</w:t>
            </w:r>
          </w:p>
        </w:tc>
        <w:tc>
          <w:tcPr>
            <w:tcW w:type="dxa" w:w="8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No exposure — trend is irrelevant to this category</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1</w:t>
            </w:r>
          </w:p>
        </w:tc>
        <w:tc>
          <w:tcPr>
            <w:tcW w:type="dxa" w:w="8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Minimal — tangential relevance, unlikely to affect GP1</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2</w:t>
            </w:r>
          </w:p>
        </w:tc>
        <w:tc>
          <w:tcPr>
            <w:tcW w:type="dxa" w:w="8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Low — indirect or second-order effect possible</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3</w:t>
            </w:r>
          </w:p>
        </w:tc>
        <w:tc>
          <w:tcPr>
            <w:tcW w:type="dxa" w:w="8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Moderate — meaningful exposure, will affect category trajectory</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4</w:t>
            </w:r>
          </w:p>
        </w:tc>
        <w:tc>
          <w:tcPr>
            <w:tcW w:type="dxa" w:w="8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High — direct, material impact on category profit pool</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5</w:t>
            </w:r>
          </w:p>
        </w:tc>
        <w:tc>
          <w:tcPr>
            <w:tcW w:type="dxa" w:w="8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Critical — could fundamentally reshape the category</w:t>
            </w:r>
          </w:p>
        </w:tc>
      </w:tr>
    </w:tbl>
    <w:p>
      <w:pPr>
        <w:spacing w:after="60"/>
      </w:pPr>
    </w:p>
    <w:p>
      <w:pPr>
        <w:pStyle w:val="Heading3"/>
        <w:spacing w:after="120" w:before="200"/>
      </w:pPr>
      <w:r>
        <w:rPr>
          <w:rFonts w:ascii="Segoe UI" w:cs="Segoe UI" w:eastAsia="Segoe UI" w:hAnsi="Segoe UI"/>
          <w:b/>
          <w:bCs/>
          <w:color w:val="374151"/>
          <w:sz w:val="22"/>
          <w:szCs w:val="22"/>
        </w:rPr>
        <w:t xml:space="preserve">5b. The 12 Categories</w:t>
      </w:r>
    </w:p>
    <w:p>
      <w:pPr>
        <w:spacing w:after="120"/>
      </w:pPr>
      <w:r>
        <w:rPr>
          <w:rFonts w:ascii="Segoe UI" w:cs="Segoe UI" w:eastAsia="Segoe UI" w:hAnsi="Segoe UI"/>
          <w:b/>
          <w:bCs/>
          <w:color w:val="374151"/>
          <w:sz w:val="20"/>
          <w:szCs w:val="20"/>
        </w:rPr>
        <w:t xml:space="preserve">Hair Consumer Business: </w:t>
      </w:r>
      <w:r>
        <w:rPr>
          <w:rFonts w:ascii="Segoe UI" w:cs="Segoe UI" w:eastAsia="Segoe UI" w:hAnsi="Segoe UI"/>
          <w:color w:val="6B7280"/>
          <w:sz w:val="20"/>
          <w:szCs w:val="20"/>
        </w:rPr>
        <w:t xml:space="preserve">Color, Care, Styling, Body</w:t>
      </w:r>
    </w:p>
    <w:p>
      <w:pPr>
        <w:spacing w:after="120"/>
      </w:pPr>
      <w:r>
        <w:rPr>
          <w:rFonts w:ascii="Segoe UI" w:cs="Segoe UI" w:eastAsia="Segoe UI" w:hAnsi="Segoe UI"/>
          <w:b/>
          <w:bCs/>
          <w:color w:val="374151"/>
          <w:sz w:val="20"/>
          <w:szCs w:val="20"/>
        </w:rPr>
        <w:t xml:space="preserve">Laundry &amp; Home Care: </w:t>
      </w:r>
      <w:r>
        <w:rPr>
          <w:rFonts w:ascii="Segoe UI" w:cs="Segoe UI" w:eastAsia="Segoe UI" w:hAnsi="Segoe UI"/>
          <w:color w:val="6B7280"/>
          <w:sz w:val="20"/>
          <w:szCs w:val="20"/>
        </w:rPr>
        <w:t xml:space="preserve">Fabric Cleaning (FCN), Fabric Care (FCA), Fabric Freshness (FFI), Laundry Additives (LAD), Hand Dishwashing (HDW), Auto Dishwashing (ADW), Hard Surface Cleaners (HSC), Insect Control (IC)</w:t>
      </w:r>
    </w:p>
    <w:p>
      <w:pPr>
        <w:spacing w:after="60"/>
      </w:pPr>
    </w:p>
    <w:p>
      <w:pPr>
        <w:pStyle w:val="Heading3"/>
        <w:spacing w:after="120" w:before="200"/>
      </w:pPr>
      <w:r>
        <w:rPr>
          <w:rFonts w:ascii="Segoe UI" w:cs="Segoe UI" w:eastAsia="Segoe UI" w:hAnsi="Segoe UI"/>
          <w:b/>
          <w:bCs/>
          <w:color w:val="374151"/>
          <w:sz w:val="22"/>
          <w:szCs w:val="22"/>
        </w:rPr>
        <w:t xml:space="preserve">5c. The 8 Value Chain Steps</w:t>
      </w:r>
    </w:p>
    <w:p>
      <w:pPr>
        <w:spacing w:after="120"/>
      </w:pPr>
      <w:r>
        <w:rPr>
          <w:rFonts w:ascii="Segoe UI" w:cs="Segoe UI" w:eastAsia="Segoe UI" w:hAnsi="Segoe UI"/>
          <w:color w:val="374151"/>
          <w:sz w:val="20"/>
          <w:szCs w:val="20"/>
        </w:rPr>
        <w:t xml:space="preserve">Raw Materials, Formulation, Packaging, Manufacturing, Logistics, Marketing, Retail/Distribution, After-Sales</w:t>
      </w:r>
    </w:p>
    <w:p>
      <w:pPr>
        <w:spacing w:after="60"/>
      </w:pPr>
    </w:p>
    <w:p>
      <w:pPr>
        <w:pStyle w:val="Heading3"/>
        <w:spacing w:after="120" w:before="200"/>
      </w:pPr>
      <w:r>
        <w:rPr>
          <w:rFonts w:ascii="Segoe UI" w:cs="Segoe UI" w:eastAsia="Segoe UI" w:hAnsi="Segoe UI"/>
          <w:b/>
          <w:bCs/>
          <w:color w:val="374151"/>
          <w:sz w:val="22"/>
          <w:szCs w:val="22"/>
        </w:rPr>
        <w:t xml:space="preserve">5d. Regional Exposure</w:t>
      </w:r>
    </w:p>
    <w:p>
      <w:pPr>
        <w:spacing w:after="120"/>
      </w:pPr>
      <w:r>
        <w:rPr>
          <w:rFonts w:ascii="Segoe UI" w:cs="Segoe UI" w:eastAsia="Segoe UI" w:hAnsi="Segoe UI"/>
          <w:color w:val="374151"/>
          <w:sz w:val="20"/>
          <w:szCs w:val="20"/>
        </w:rPr>
        <w:t xml:space="preserve">Each trend also carries a regional exposure score (0–5) for four regions: Europe, North America, Asia, and High-Growth/Emerging Markets. This enables region-specific simulation runs.</w:t>
      </w:r>
    </w:p>
    <w:p>
      <w:r>
        <w:br w:type="page"/>
      </w:r>
    </w:p>
    <w:p>
      <w:pPr>
        <w:pStyle w:val="Heading2"/>
        <w:spacing w:after="160" w:before="280"/>
      </w:pPr>
      <w:r>
        <w:rPr>
          <w:rFonts w:ascii="Segoe UI" w:cs="Segoe UI" w:eastAsia="Segoe UI" w:hAnsi="Segoe UI"/>
          <w:b/>
          <w:bCs/>
          <w:color w:val="E1000F"/>
          <w:sz w:val="26"/>
          <w:szCs w:val="26"/>
        </w:rPr>
        <w:t xml:space="preserve">Step 6: Delphi Expert Validation (Days 12–15)</w:t>
      </w:r>
    </w:p>
    <w:p>
      <w:pPr>
        <w:spacing w:after="120"/>
      </w:pPr>
      <w:r>
        <w:rPr>
          <w:rFonts w:ascii="Segoe UI" w:cs="Segoe UI" w:eastAsia="Segoe UI" w:hAnsi="Segoe UI"/>
          <w:color w:val="374151"/>
          <w:sz w:val="20"/>
          <w:szCs w:val="20"/>
        </w:rPr>
        <w:t xml:space="preserve">The final step subjects all scored trends to a structured 3-round Delphi expert elicitation protocol. AI prepares the scoring; humans validate and override.</w:t>
      </w:r>
    </w:p>
    <w:p>
      <w:pPr>
        <w:spacing w:after="60"/>
      </w:pPr>
    </w:p>
    <w:p>
      <w:pPr>
        <w:pStyle w:val="Heading3"/>
        <w:spacing w:after="120" w:before="200"/>
      </w:pPr>
      <w:r>
        <w:rPr>
          <w:rFonts w:ascii="Segoe UI" w:cs="Segoe UI" w:eastAsia="Segoe UI" w:hAnsi="Segoe UI"/>
          <w:b/>
          <w:bCs/>
          <w:color w:val="374151"/>
          <w:sz w:val="22"/>
          <w:szCs w:val="22"/>
        </w:rPr>
        <w:t xml:space="preserve">Round 1: Blind Independent Scoring</w:t>
      </w:r>
    </w:p>
    <w:p>
      <w:pPr>
        <w:pStyle w:val="ListParagraph"/>
        <w:numPr>
          <w:ilvl w:val="0"/>
          <w:numId w:val="2"/>
        </w:numPr>
        <w:spacing w:after="80"/>
      </w:pPr>
      <w:r>
        <w:rPr>
          <w:rFonts w:ascii="Segoe UI" w:cs="Segoe UI" w:eastAsia="Segoe UI" w:hAnsi="Segoe UI"/>
          <w:color w:val="374151"/>
          <w:sz w:val="20"/>
          <w:szCs w:val="20"/>
        </w:rPr>
        <w:t xml:space="preserve">5–8 category experts score each trend’s probability (1–5) independently</w:t>
      </w:r>
    </w:p>
    <w:p>
      <w:pPr>
        <w:pStyle w:val="ListParagraph"/>
        <w:numPr>
          <w:ilvl w:val="0"/>
          <w:numId w:val="2"/>
        </w:numPr>
        <w:spacing w:after="80"/>
      </w:pPr>
      <w:r>
        <w:rPr>
          <w:rFonts w:ascii="Segoe UI" w:cs="Segoe UI" w:eastAsia="Segoe UI" w:hAnsi="Segoe UI"/>
          <w:color w:val="374151"/>
          <w:sz w:val="20"/>
          <w:szCs w:val="20"/>
        </w:rPr>
        <w:t xml:space="preserve">Written rationale required per score — not just a number</w:t>
      </w:r>
    </w:p>
    <w:p>
      <w:pPr>
        <w:pStyle w:val="ListParagraph"/>
        <w:numPr>
          <w:ilvl w:val="0"/>
          <w:numId w:val="2"/>
        </w:numPr>
        <w:spacing w:after="80"/>
      </w:pPr>
      <w:r>
        <w:rPr>
          <w:rFonts w:ascii="Segoe UI" w:cs="Segoe UI" w:eastAsia="Segoe UI" w:hAnsi="Segoe UI"/>
          <w:color w:val="374151"/>
          <w:sz w:val="20"/>
          <w:szCs w:val="20"/>
        </w:rPr>
        <w:t xml:space="preserve">No visibility into other experts’ scores (prevents anchoring)</w:t>
      </w:r>
    </w:p>
    <w:p>
      <w:pPr>
        <w:pStyle w:val="ListParagraph"/>
        <w:numPr>
          <w:ilvl w:val="0"/>
          <w:numId w:val="2"/>
        </w:numPr>
        <w:spacing w:after="80"/>
      </w:pPr>
      <w:r>
        <w:rPr>
          <w:rFonts w:ascii="Segoe UI" w:cs="Segoe UI" w:eastAsia="Segoe UI" w:hAnsi="Segoe UI"/>
          <w:color w:val="374151"/>
          <w:sz w:val="20"/>
          <w:szCs w:val="20"/>
        </w:rPr>
        <w:t xml:space="preserve">Calibration exercise: present known-outcome historical trends to detect systematic bias</w:t>
      </w:r>
    </w:p>
    <w:p>
      <w:pPr>
        <w:spacing w:after="60"/>
      </w:pPr>
    </w:p>
    <w:p>
      <w:pPr>
        <w:pStyle w:val="Heading3"/>
        <w:spacing w:after="120" w:before="200"/>
      </w:pPr>
      <w:r>
        <w:rPr>
          <w:rFonts w:ascii="Segoe UI" w:cs="Segoe UI" w:eastAsia="Segoe UI" w:hAnsi="Segoe UI"/>
          <w:b/>
          <w:bCs/>
          <w:color w:val="374151"/>
          <w:sz w:val="22"/>
          <w:szCs w:val="22"/>
        </w:rPr>
        <w:t xml:space="preserve">Round 2: Calibrated Re-Scoring</w:t>
      </w:r>
    </w:p>
    <w:p>
      <w:pPr>
        <w:pStyle w:val="ListParagraph"/>
        <w:numPr>
          <w:ilvl w:val="0"/>
          <w:numId w:val="2"/>
        </w:numPr>
        <w:spacing w:after="80"/>
      </w:pPr>
      <w:r>
        <w:rPr>
          <w:rFonts w:ascii="Segoe UI" w:cs="Segoe UI" w:eastAsia="Segoe UI" w:hAnsi="Segoe UI"/>
          <w:color w:val="374151"/>
          <w:sz w:val="20"/>
          <w:szCs w:val="20"/>
        </w:rPr>
        <w:t xml:space="preserve">Anonymized score distribution shared (median, range, outlier flags)</w:t>
      </w:r>
    </w:p>
    <w:p>
      <w:pPr>
        <w:pStyle w:val="ListParagraph"/>
        <w:numPr>
          <w:ilvl w:val="0"/>
          <w:numId w:val="2"/>
        </w:numPr>
        <w:spacing w:after="80"/>
      </w:pPr>
      <w:r>
        <w:rPr>
          <w:rFonts w:ascii="Segoe UI" w:cs="Segoe UI" w:eastAsia="Segoe UI" w:hAnsi="Segoe UI"/>
          <w:color w:val="374151"/>
          <w:sz w:val="20"/>
          <w:szCs w:val="20"/>
        </w:rPr>
        <w:t xml:space="preserve">AI suggests adjustments based on new evidence — human review required</w:t>
      </w:r>
    </w:p>
    <w:p>
      <w:pPr>
        <w:pStyle w:val="ListParagraph"/>
        <w:numPr>
          <w:ilvl w:val="0"/>
          <w:numId w:val="2"/>
        </w:numPr>
        <w:spacing w:after="80"/>
      </w:pPr>
      <w:r>
        <w:rPr>
          <w:rFonts w:ascii="Segoe UI" w:cs="Segoe UI" w:eastAsia="Segoe UI" w:hAnsi="Segoe UI"/>
          <w:color w:val="374151"/>
          <w:sz w:val="20"/>
          <w:szCs w:val="20"/>
        </w:rPr>
        <w:t xml:space="preserve">Anchoring and optimism bias explicitly flagged per scorer</w:t>
      </w:r>
    </w:p>
    <w:p>
      <w:pPr>
        <w:pStyle w:val="ListParagraph"/>
        <w:numPr>
          <w:ilvl w:val="0"/>
          <w:numId w:val="2"/>
        </w:numPr>
        <w:spacing w:after="80"/>
      </w:pPr>
      <w:r>
        <w:rPr>
          <w:rFonts w:ascii="Segoe UI" w:cs="Segoe UI" w:eastAsia="Segoe UI" w:hAnsi="Segoe UI"/>
          <w:color w:val="374151"/>
          <w:sz w:val="20"/>
          <w:szCs w:val="20"/>
        </w:rPr>
        <w:t xml:space="preserve">Experts re-rate with group context while maintaining independence</w:t>
      </w:r>
    </w:p>
    <w:p>
      <w:pPr>
        <w:spacing w:after="60"/>
      </w:pPr>
    </w:p>
    <w:p>
      <w:pPr>
        <w:pStyle w:val="Heading3"/>
        <w:spacing w:after="120" w:before="200"/>
      </w:pPr>
      <w:r>
        <w:rPr>
          <w:rFonts w:ascii="Segoe UI" w:cs="Segoe UI" w:eastAsia="Segoe UI" w:hAnsi="Segoe UI"/>
          <w:b/>
          <w:bCs/>
          <w:color w:val="374151"/>
          <w:sz w:val="22"/>
          <w:szCs w:val="22"/>
        </w:rPr>
        <w:t xml:space="preserve">Round 3: Consensus &amp; Sign-Off</w:t>
      </w:r>
    </w:p>
    <w:p>
      <w:pPr>
        <w:pStyle w:val="ListParagraph"/>
        <w:numPr>
          <w:ilvl w:val="0"/>
          <w:numId w:val="2"/>
        </w:numPr>
        <w:spacing w:after="80"/>
      </w:pPr>
      <w:r>
        <w:rPr>
          <w:rFonts w:ascii="Segoe UI" w:cs="Segoe UI" w:eastAsia="Segoe UI" w:hAnsi="Segoe UI"/>
          <w:color w:val="374151"/>
          <w:sz w:val="20"/>
          <w:szCs w:val="20"/>
        </w:rPr>
        <w:t xml:space="preserve">Outlier discussion for top/bottom 10% of scores — forced articulation of reasoning</w:t>
      </w:r>
    </w:p>
    <w:p>
      <w:pPr>
        <w:pStyle w:val="ListParagraph"/>
        <w:numPr>
          <w:ilvl w:val="0"/>
          <w:numId w:val="2"/>
        </w:numPr>
        <w:spacing w:after="80"/>
      </w:pPr>
      <w:r>
        <w:rPr>
          <w:rFonts w:ascii="Segoe UI" w:cs="Segoe UI" w:eastAsia="Segoe UI" w:hAnsi="Segoe UI"/>
          <w:color w:val="374151"/>
          <w:sz w:val="20"/>
          <w:szCs w:val="20"/>
        </w:rPr>
        <w:t xml:space="preserve">Weighted median (by scorer calibration accuracy) = final score</w:t>
      </w:r>
    </w:p>
    <w:p>
      <w:pPr>
        <w:pStyle w:val="ListParagraph"/>
        <w:numPr>
          <w:ilvl w:val="0"/>
          <w:numId w:val="2"/>
        </w:numPr>
        <w:spacing w:after="80"/>
      </w:pPr>
      <w:r>
        <w:rPr>
          <w:rFonts w:ascii="Segoe UI" w:cs="Segoe UI" w:eastAsia="Segoe UI" w:hAnsi="Segoe UI"/>
          <w:color w:val="374151"/>
          <w:sz w:val="20"/>
          <w:szCs w:val="20"/>
        </w:rPr>
        <w:t xml:space="preserve">Inter-rater reliability measured (Krippendorff’s α &gt; 0.67 required)</w:t>
      </w:r>
    </w:p>
    <w:p>
      <w:pPr>
        <w:pStyle w:val="ListParagraph"/>
        <w:numPr>
          <w:ilvl w:val="0"/>
          <w:numId w:val="2"/>
        </w:numPr>
        <w:spacing w:after="80"/>
      </w:pPr>
      <w:r>
        <w:rPr>
          <w:rFonts w:ascii="Segoe UI" w:cs="Segoe UI" w:eastAsia="Segoe UI" w:hAnsi="Segoe UI"/>
          <w:color w:val="374151"/>
          <w:sz w:val="20"/>
          <w:szCs w:val="20"/>
        </w:rPr>
        <w:t xml:space="preserve">Strategy VP signs off on final trend database for simulation</w:t>
      </w:r>
    </w:p>
    <w:p>
      <w:pPr>
        <w:spacing w:after="60"/>
      </w:pPr>
    </w:p>
    <w:p>
      <w:pPr>
        <w:spacing w:after="120"/>
      </w:pPr>
      <w:r>
        <w:rPr>
          <w:rFonts w:ascii="Segoe UI" w:cs="Segoe UI" w:eastAsia="Segoe UI" w:hAnsi="Segoe UI"/>
          <w:b/>
          <w:bCs/>
          <w:color w:val="374151"/>
          <w:sz w:val="20"/>
          <w:szCs w:val="20"/>
        </w:rPr>
        <w:t xml:space="preserve">Output: </w:t>
      </w:r>
      <w:r>
        <w:rPr>
          <w:rFonts w:ascii="Segoe UI" w:cs="Segoe UI" w:eastAsia="Segoe UI" w:hAnsi="Segoe UI"/>
          <w:color w:val="6B7280"/>
          <w:sz w:val="20"/>
          <w:szCs w:val="20"/>
        </w:rPr>
        <w:t xml:space="preserve">A validated, expert-calibrated trend database ready for Monte Carlo simulation. Every score has an auditable trail of evidence, scorer rationale, and bias checks.</w:t>
      </w:r>
    </w:p>
    <w:p>
      <w:pPr>
        <w:pBdr>
          <w:bottom w:val="single" w:color="E1000F" w:sz="6" w:space="1"/>
        </w:pBdr>
        <w:spacing w:after="200" w:before="200"/>
      </w:pPr>
    </w:p>
    <w:p>
      <w:pPr>
        <w:pStyle w:val="Heading1"/>
        <w:spacing w:after="200" w:before="360"/>
      </w:pPr>
      <w:r>
        <w:rPr>
          <w:rFonts w:ascii="Segoe UI" w:cs="Segoe UI" w:eastAsia="Segoe UI" w:hAnsi="Segoe UI"/>
          <w:b/>
          <w:bCs/>
          <w:color w:val="0F172A"/>
          <w:sz w:val="32"/>
          <w:szCs w:val="32"/>
        </w:rPr>
        <w:t xml:space="preserve">3. Trend Data Template</w:t>
      </w:r>
    </w:p>
    <w:p>
      <w:pPr>
        <w:spacing w:after="120"/>
      </w:pPr>
      <w:r>
        <w:rPr>
          <w:rFonts w:ascii="Segoe UI" w:cs="Segoe UI" w:eastAsia="Segoe UI" w:hAnsi="Segoe UI"/>
          <w:color w:val="374151"/>
          <w:sz w:val="20"/>
          <w:szCs w:val="20"/>
        </w:rPr>
        <w:t xml:space="preserve">Every trend in the PULSE database carries the following structured fields: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Field</w:t>
            </w:r>
          </w:p>
        </w:tc>
        <w:tc>
          <w:tcPr>
            <w:tcW w:type="dxa" w:w="24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Type</w:t>
            </w:r>
          </w:p>
        </w:tc>
        <w:tc>
          <w:tcPr>
            <w:tcW w:type="dxa" w:w="45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Description &amp; Example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id</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String</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Unique identifier, e.g., “consumer_r01”</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force</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Enum</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One of: Consumer, Government, Technology, Environmental, Competitive, Customer</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name</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String</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Short, specific title (max 10 words), e.g., “Private Label Structural Penetration in Europe”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description</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Text</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2–3 sentences with specific data points, named sources, and dates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direction</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Enum</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Expansion (pool grows) or Contraction (pool shrinks)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probability</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Integer 1–5</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Likelihood of materialization (see scoring rubric above)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gp1_pct_affected</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Float 0.0–1.0</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Fraction of category GP1 exposed at full materialization, e.g., 0.12 = 12%</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strategic_implication</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Text</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Why it matters for Henkel and what action to consider</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category_exposure</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Dict (12 keys)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Score 0–5 per category: Color, Care, Styling, Body, FCN, FCA, FFI, LAD, HDW, ADW, HSC, IC</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vc_exposure</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Dict (8 keys)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Score 0–5 per value chain step</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data_source</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String</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Named primary source (e.g., “Circana EU6 Monitor Dec 2025”)</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source_type</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Enum</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analyst_report, regulatory_document, academic, trade_press, etc.</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confidence</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Enum</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High (multiple Tier A sources), Medium (one Tier A), Low (Tier B only)</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start_year</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Integer</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Year effect begins, e.g., 2026</w:t>
            </w:r>
          </w:p>
        </w:tc>
      </w:tr>
    </w:tbl>
    <w:p>
      <w:pPr>
        <w:pBdr>
          <w:bottom w:val="single" w:color="E1000F" w:sz="6" w:space="1"/>
        </w:pBdr>
        <w:spacing w:after="200" w:before="200"/>
      </w:pPr>
    </w:p>
    <w:p>
      <w:pPr>
        <w:pStyle w:val="Heading1"/>
        <w:spacing w:after="200" w:before="360"/>
      </w:pPr>
      <w:r>
        <w:rPr>
          <w:rFonts w:ascii="Segoe UI" w:cs="Segoe UI" w:eastAsia="Segoe UI" w:hAnsi="Segoe UI"/>
          <w:b/>
          <w:bCs/>
          <w:color w:val="0F172A"/>
          <w:sz w:val="32"/>
          <w:szCs w:val="32"/>
        </w:rPr>
        <w:t xml:space="preserve">4. Current Trend Inventory (55 Trends)</w:t>
      </w:r>
    </w:p>
    <w:p>
      <w:pPr>
        <w:spacing w:after="120"/>
      </w:pPr>
      <w:r>
        <w:rPr>
          <w:rFonts w:ascii="Segoe UI" w:cs="Segoe UI" w:eastAsia="Segoe UI" w:hAnsi="Segoe UI"/>
          <w:color w:val="374151"/>
          <w:sz w:val="20"/>
          <w:szCs w:val="20"/>
        </w:rPr>
        <w:t xml:space="preserve">The following trends are already tracked in the PULSE database. When running a new research cycle, check this list first to avoid duplication. Focus on genuinely new signals.</w:t>
      </w:r>
    </w:p>
    <w:p>
      <w:pPr>
        <w:spacing w:after="60"/>
      </w:pPr>
    </w:p>
    <w:p>
      <w:pPr>
        <w:pStyle w:val="Heading3"/>
        <w:spacing w:after="120" w:before="200"/>
      </w:pPr>
      <w:r>
        <w:rPr>
          <w:rFonts w:ascii="Segoe UI" w:cs="Segoe UI" w:eastAsia="Segoe UI" w:hAnsi="Segoe UI"/>
          <w:b/>
          <w:bCs/>
          <w:color w:val="374151"/>
          <w:sz w:val="22"/>
          <w:szCs w:val="22"/>
        </w:rPr>
        <w:t xml:space="preserve">Consumer Force (15 trends)</w:t>
      </w:r>
    </w:p>
    <w:p>
      <w:pPr>
        <w:pStyle w:val="ListParagraph"/>
        <w:numPr>
          <w:ilvl w:val="0"/>
          <w:numId w:val="2"/>
        </w:numPr>
        <w:spacing w:after="80"/>
      </w:pPr>
      <w:r>
        <w:rPr>
          <w:rFonts w:ascii="Segoe UI" w:cs="Segoe UI" w:eastAsia="Segoe UI" w:hAnsi="Segoe UI"/>
          <w:color w:val="374151"/>
          <w:sz w:val="20"/>
          <w:szCs w:val="20"/>
        </w:rPr>
        <w:t xml:space="preserve">C-01: Private Label Structural Penetration in Europe (42% EU value share)</w:t>
      </w:r>
    </w:p>
    <w:p>
      <w:pPr>
        <w:pStyle w:val="ListParagraph"/>
        <w:numPr>
          <w:ilvl w:val="0"/>
          <w:numId w:val="2"/>
        </w:numPr>
        <w:spacing w:after="80"/>
      </w:pPr>
      <w:r>
        <w:rPr>
          <w:rFonts w:ascii="Segoe UI" w:cs="Segoe UI" w:eastAsia="Segoe UI" w:hAnsi="Segoe UI"/>
          <w:color w:val="374151"/>
          <w:sz w:val="20"/>
          <w:szCs w:val="20"/>
        </w:rPr>
        <w:t xml:space="preserve">C-02: GLP-1 Drugs Reshape Consumer Spending (12.4% US penetration)</w:t>
      </w:r>
    </w:p>
    <w:p>
      <w:pPr>
        <w:pStyle w:val="ListParagraph"/>
        <w:numPr>
          <w:ilvl w:val="0"/>
          <w:numId w:val="2"/>
        </w:numPr>
        <w:spacing w:after="80"/>
      </w:pPr>
      <w:r>
        <w:rPr>
          <w:rFonts w:ascii="Segoe UI" w:cs="Segoe UI" w:eastAsia="Segoe UI" w:hAnsi="Segoe UI"/>
          <w:color w:val="374151"/>
          <w:sz w:val="20"/>
          <w:szCs w:val="20"/>
        </w:rPr>
        <w:t xml:space="preserve">C-03: Premiumization Acceleration in Hair Care (2–3x mass growth rate)</w:t>
      </w:r>
    </w:p>
    <w:p>
      <w:pPr>
        <w:pStyle w:val="ListParagraph"/>
        <w:numPr>
          <w:ilvl w:val="0"/>
          <w:numId w:val="2"/>
        </w:numPr>
        <w:spacing w:after="80"/>
      </w:pPr>
      <w:r>
        <w:rPr>
          <w:rFonts w:ascii="Segoe UI" w:cs="Segoe UI" w:eastAsia="Segoe UI" w:hAnsi="Segoe UI"/>
          <w:color w:val="374151"/>
          <w:sz w:val="20"/>
          <w:szCs w:val="20"/>
        </w:rPr>
        <w:t xml:space="preserve">C-04: Conscious Consumption and Cleanical Beauty</w:t>
      </w:r>
    </w:p>
    <w:p>
      <w:pPr>
        <w:pStyle w:val="ListParagraph"/>
        <w:numPr>
          <w:ilvl w:val="0"/>
          <w:numId w:val="2"/>
        </w:numPr>
        <w:spacing w:after="80"/>
      </w:pPr>
      <w:r>
        <w:rPr>
          <w:rFonts w:ascii="Segoe UI" w:cs="Segoe UI" w:eastAsia="Segoe UI" w:hAnsi="Segoe UI"/>
          <w:color w:val="374151"/>
          <w:sz w:val="20"/>
          <w:szCs w:val="20"/>
        </w:rPr>
        <w:t xml:space="preserve">C-05: Silver Economy — Aging Population (65+ exceeds 25% by 2030)</w:t>
      </w:r>
    </w:p>
    <w:p>
      <w:pPr>
        <w:pStyle w:val="ListParagraph"/>
        <w:numPr>
          <w:ilvl w:val="0"/>
          <w:numId w:val="2"/>
        </w:numPr>
        <w:spacing w:after="80"/>
      </w:pPr>
      <w:r>
        <w:rPr>
          <w:rFonts w:ascii="Segoe UI" w:cs="Segoe UI" w:eastAsia="Segoe UI" w:hAnsi="Segoe UI"/>
          <w:color w:val="374151"/>
          <w:sz w:val="20"/>
          <w:szCs w:val="20"/>
        </w:rPr>
        <w:t xml:space="preserve">C-06: Cost-of-Living Squeeze and Persistent Trading Down</w:t>
      </w:r>
    </w:p>
    <w:p>
      <w:pPr>
        <w:pStyle w:val="ListParagraph"/>
        <w:numPr>
          <w:ilvl w:val="0"/>
          <w:numId w:val="2"/>
        </w:numPr>
        <w:spacing w:after="80"/>
      </w:pPr>
      <w:r>
        <w:rPr>
          <w:rFonts w:ascii="Segoe UI" w:cs="Segoe UI" w:eastAsia="Segoe UI" w:hAnsi="Segoe UI"/>
          <w:color w:val="374151"/>
          <w:sz w:val="20"/>
          <w:szCs w:val="20"/>
        </w:rPr>
        <w:t xml:space="preserve">C-07: Scalp Care Emerges as Standalone Category</w:t>
      </w:r>
    </w:p>
    <w:p>
      <w:pPr>
        <w:pStyle w:val="ListParagraph"/>
        <w:numPr>
          <w:ilvl w:val="0"/>
          <w:numId w:val="2"/>
        </w:numPr>
        <w:spacing w:after="80"/>
      </w:pPr>
      <w:r>
        <w:rPr>
          <w:rFonts w:ascii="Segoe UI" w:cs="Segoe UI" w:eastAsia="Segoe UI" w:hAnsi="Segoe UI"/>
          <w:color w:val="374151"/>
          <w:sz w:val="20"/>
          <w:szCs w:val="20"/>
        </w:rPr>
        <w:t xml:space="preserve">C-08: Male Grooming Structural Growth</w:t>
      </w:r>
    </w:p>
    <w:p>
      <w:pPr>
        <w:pStyle w:val="ListParagraph"/>
        <w:numPr>
          <w:ilvl w:val="0"/>
          <w:numId w:val="2"/>
        </w:numPr>
        <w:spacing w:after="80"/>
      </w:pPr>
      <w:r>
        <w:rPr>
          <w:rFonts w:ascii="Segoe UI" w:cs="Segoe UI" w:eastAsia="Segoe UI" w:hAnsi="Segoe UI"/>
          <w:color w:val="374151"/>
          <w:sz w:val="20"/>
          <w:szCs w:val="20"/>
        </w:rPr>
        <w:t xml:space="preserve">C-09: Fragrance and Sensory Premiumization in Home Care</w:t>
      </w:r>
    </w:p>
    <w:p>
      <w:pPr>
        <w:pStyle w:val="ListParagraph"/>
        <w:numPr>
          <w:ilvl w:val="0"/>
          <w:numId w:val="2"/>
        </w:numPr>
        <w:spacing w:after="80"/>
      </w:pPr>
      <w:r>
        <w:rPr>
          <w:rFonts w:ascii="Segoe UI" w:cs="Segoe UI" w:eastAsia="Segoe UI" w:hAnsi="Segoe UI"/>
          <w:color w:val="374151"/>
          <w:sz w:val="20"/>
          <w:szCs w:val="20"/>
        </w:rPr>
        <w:t xml:space="preserve">C-10: Hair Loss and Thinning Treatments ($ 2.93B, 7.77% CAGR)</w:t>
      </w:r>
    </w:p>
    <w:p>
      <w:pPr>
        <w:pStyle w:val="ListParagraph"/>
        <w:numPr>
          <w:ilvl w:val="0"/>
          <w:numId w:val="2"/>
        </w:numPr>
        <w:spacing w:after="80"/>
      </w:pPr>
      <w:r>
        <w:rPr>
          <w:rFonts w:ascii="Segoe UI" w:cs="Segoe UI" w:eastAsia="Segoe UI" w:hAnsi="Segoe UI"/>
          <w:color w:val="374151"/>
          <w:sz w:val="20"/>
          <w:szCs w:val="20"/>
        </w:rPr>
        <w:t xml:space="preserve">C-11: Gen Z Dupe Culture and Ingredient Literacy</w:t>
      </w:r>
    </w:p>
    <w:p>
      <w:pPr>
        <w:pStyle w:val="ListParagraph"/>
        <w:numPr>
          <w:ilvl w:val="0"/>
          <w:numId w:val="2"/>
        </w:numPr>
        <w:spacing w:after="80"/>
      </w:pPr>
      <w:r>
        <w:rPr>
          <w:rFonts w:ascii="Segoe UI" w:cs="Segoe UI" w:eastAsia="Segoe UI" w:hAnsi="Segoe UI"/>
          <w:color w:val="374151"/>
          <w:sz w:val="20"/>
          <w:szCs w:val="20"/>
        </w:rPr>
        <w:t xml:space="preserve">C-12: Post-COVID Hygiene Habits Persistence</w:t>
      </w:r>
    </w:p>
    <w:p>
      <w:pPr>
        <w:pStyle w:val="ListParagraph"/>
        <w:numPr>
          <w:ilvl w:val="0"/>
          <w:numId w:val="2"/>
        </w:numPr>
        <w:spacing w:after="80"/>
      </w:pPr>
      <w:r>
        <w:rPr>
          <w:rFonts w:ascii="Segoe UI" w:cs="Segoe UI" w:eastAsia="Segoe UI" w:hAnsi="Segoe UI"/>
          <w:color w:val="374151"/>
          <w:sz w:val="20"/>
          <w:szCs w:val="20"/>
        </w:rPr>
        <w:t xml:space="preserve">C-13: Refill &amp; Reuse Economy in Household Care</w:t>
      </w:r>
    </w:p>
    <w:p>
      <w:pPr>
        <w:pStyle w:val="ListParagraph"/>
        <w:numPr>
          <w:ilvl w:val="0"/>
          <w:numId w:val="2"/>
        </w:numPr>
        <w:spacing w:after="80"/>
      </w:pPr>
      <w:r>
        <w:rPr>
          <w:rFonts w:ascii="Segoe UI" w:cs="Segoe UI" w:eastAsia="Segoe UI" w:hAnsi="Segoe UI"/>
          <w:color w:val="374151"/>
          <w:sz w:val="20"/>
          <w:szCs w:val="20"/>
        </w:rPr>
        <w:t xml:space="preserve">C-14: Between-Wash Fabric Care as Standalone Occasion</w:t>
      </w:r>
    </w:p>
    <w:p>
      <w:pPr>
        <w:pStyle w:val="ListParagraph"/>
        <w:numPr>
          <w:ilvl w:val="0"/>
          <w:numId w:val="2"/>
        </w:numPr>
        <w:spacing w:after="80"/>
      </w:pPr>
      <w:r>
        <w:rPr>
          <w:rFonts w:ascii="Segoe UI" w:cs="Segoe UI" w:eastAsia="Segoe UI" w:hAnsi="Segoe UI"/>
          <w:color w:val="374151"/>
          <w:sz w:val="20"/>
          <w:szCs w:val="20"/>
        </w:rPr>
        <w:t xml:space="preserve">C-15: Hair Styling Between Washes</w:t>
      </w:r>
    </w:p>
    <w:p>
      <w:pPr>
        <w:spacing w:after="60"/>
      </w:pPr>
    </w:p>
    <w:p>
      <w:pPr>
        <w:pStyle w:val="Heading3"/>
        <w:spacing w:after="120" w:before="200"/>
      </w:pPr>
      <w:r>
        <w:rPr>
          <w:rFonts w:ascii="Segoe UI" w:cs="Segoe UI" w:eastAsia="Segoe UI" w:hAnsi="Segoe UI"/>
          <w:b/>
          <w:bCs/>
          <w:color w:val="374151"/>
          <w:sz w:val="22"/>
          <w:szCs w:val="22"/>
        </w:rPr>
        <w:t xml:space="preserve">Technology Force (10 trends)</w:t>
      </w:r>
    </w:p>
    <w:p>
      <w:pPr>
        <w:pStyle w:val="ListParagraph"/>
        <w:numPr>
          <w:ilvl w:val="0"/>
          <w:numId w:val="2"/>
        </w:numPr>
        <w:spacing w:after="80"/>
      </w:pPr>
      <w:r>
        <w:rPr>
          <w:rFonts w:ascii="Segoe UI" w:cs="Segoe UI" w:eastAsia="Segoe UI" w:hAnsi="Segoe UI"/>
          <w:color w:val="374151"/>
          <w:sz w:val="20"/>
          <w:szCs w:val="20"/>
        </w:rPr>
        <w:t xml:space="preserve">T-01: AI-Driven Formulation and Speed-to-Market</w:t>
      </w:r>
    </w:p>
    <w:p>
      <w:pPr>
        <w:pStyle w:val="ListParagraph"/>
        <w:numPr>
          <w:ilvl w:val="0"/>
          <w:numId w:val="2"/>
        </w:numPr>
        <w:spacing w:after="80"/>
      </w:pPr>
      <w:r>
        <w:rPr>
          <w:rFonts w:ascii="Segoe UI" w:cs="Segoe UI" w:eastAsia="Segoe UI" w:hAnsi="Segoe UI"/>
          <w:color w:val="374151"/>
          <w:sz w:val="20"/>
          <w:szCs w:val="20"/>
        </w:rPr>
        <w:t xml:space="preserve">T-02: Bio-Based and Green Chemistry Alternatives</w:t>
      </w:r>
    </w:p>
    <w:p>
      <w:pPr>
        <w:pStyle w:val="ListParagraph"/>
        <w:numPr>
          <w:ilvl w:val="0"/>
          <w:numId w:val="2"/>
        </w:numPr>
        <w:spacing w:after="80"/>
      </w:pPr>
      <w:r>
        <w:rPr>
          <w:rFonts w:ascii="Segoe UI" w:cs="Segoe UI" w:eastAsia="Segoe UI" w:hAnsi="Segoe UI"/>
          <w:color w:val="374151"/>
          <w:sz w:val="20"/>
          <w:szCs w:val="20"/>
        </w:rPr>
        <w:t xml:space="preserve">T-03: Concentrated and Solid Formats Innovation</w:t>
      </w:r>
    </w:p>
    <w:p>
      <w:pPr>
        <w:pStyle w:val="ListParagraph"/>
        <w:numPr>
          <w:ilvl w:val="0"/>
          <w:numId w:val="2"/>
        </w:numPr>
        <w:spacing w:after="80"/>
      </w:pPr>
      <w:r>
        <w:rPr>
          <w:rFonts w:ascii="Segoe UI" w:cs="Segoe UI" w:eastAsia="Segoe UI" w:hAnsi="Segoe UI"/>
          <w:color w:val="374151"/>
          <w:sz w:val="20"/>
          <w:szCs w:val="20"/>
        </w:rPr>
        <w:t xml:space="preserve">T-04: Microbiome Science for Hair and Skin</w:t>
      </w:r>
    </w:p>
    <w:p>
      <w:pPr>
        <w:pStyle w:val="ListParagraph"/>
        <w:numPr>
          <w:ilvl w:val="0"/>
          <w:numId w:val="2"/>
        </w:numPr>
        <w:spacing w:after="80"/>
      </w:pPr>
      <w:r>
        <w:rPr>
          <w:rFonts w:ascii="Segoe UI" w:cs="Segoe UI" w:eastAsia="Segoe UI" w:hAnsi="Segoe UI"/>
          <w:color w:val="374151"/>
          <w:sz w:val="20"/>
          <w:szCs w:val="20"/>
        </w:rPr>
        <w:t xml:space="preserve">T-05: Manufacturing Automation and Industry 4.0</w:t>
      </w:r>
    </w:p>
    <w:p>
      <w:pPr>
        <w:pStyle w:val="ListParagraph"/>
        <w:numPr>
          <w:ilvl w:val="0"/>
          <w:numId w:val="2"/>
        </w:numPr>
        <w:spacing w:after="80"/>
      </w:pPr>
      <w:r>
        <w:rPr>
          <w:rFonts w:ascii="Segoe UI" w:cs="Segoe UI" w:eastAsia="Segoe UI" w:hAnsi="Segoe UI"/>
          <w:color w:val="374151"/>
          <w:sz w:val="20"/>
          <w:szCs w:val="20"/>
        </w:rPr>
        <w:t xml:space="preserve">T-06: Retail Media Networks as Primary FMCG Channel</w:t>
      </w:r>
    </w:p>
    <w:p>
      <w:pPr>
        <w:pStyle w:val="ListParagraph"/>
        <w:numPr>
          <w:ilvl w:val="0"/>
          <w:numId w:val="2"/>
        </w:numPr>
        <w:spacing w:after="80"/>
      </w:pPr>
      <w:r>
        <w:rPr>
          <w:rFonts w:ascii="Segoe UI" w:cs="Segoe UI" w:eastAsia="Segoe UI" w:hAnsi="Segoe UI"/>
          <w:color w:val="374151"/>
          <w:sz w:val="20"/>
          <w:szCs w:val="20"/>
        </w:rPr>
        <w:t xml:space="preserve">T-07: AI-Powered Personalization at Scale</w:t>
      </w:r>
    </w:p>
    <w:p>
      <w:pPr>
        <w:pStyle w:val="ListParagraph"/>
        <w:numPr>
          <w:ilvl w:val="0"/>
          <w:numId w:val="2"/>
        </w:numPr>
        <w:spacing w:after="80"/>
      </w:pPr>
      <w:r>
        <w:rPr>
          <w:rFonts w:ascii="Segoe UI" w:cs="Segoe UI" w:eastAsia="Segoe UI" w:hAnsi="Segoe UI"/>
          <w:color w:val="374151"/>
          <w:sz w:val="20"/>
          <w:szCs w:val="20"/>
        </w:rPr>
        <w:t xml:space="preserve">T-08: Connected Appliances and Auto-Dosing</w:t>
      </w:r>
    </w:p>
    <w:p>
      <w:pPr>
        <w:pStyle w:val="ListParagraph"/>
        <w:numPr>
          <w:ilvl w:val="0"/>
          <w:numId w:val="2"/>
        </w:numPr>
        <w:spacing w:after="80"/>
      </w:pPr>
      <w:r>
        <w:rPr>
          <w:rFonts w:ascii="Segoe UI" w:cs="Segoe UI" w:eastAsia="Segoe UI" w:hAnsi="Segoe UI"/>
          <w:color w:val="374151"/>
          <w:sz w:val="20"/>
          <w:szCs w:val="20"/>
        </w:rPr>
        <w:t xml:space="preserve">T-09: Generative AI Product Discovery Disruption (GEO vs. SEO)</w:t>
      </w:r>
    </w:p>
    <w:p>
      <w:pPr>
        <w:pStyle w:val="ListParagraph"/>
        <w:numPr>
          <w:ilvl w:val="0"/>
          <w:numId w:val="2"/>
        </w:numPr>
        <w:spacing w:after="80"/>
      </w:pPr>
      <w:r>
        <w:rPr>
          <w:rFonts w:ascii="Segoe UI" w:cs="Segoe UI" w:eastAsia="Segoe UI" w:hAnsi="Segoe UI"/>
          <w:color w:val="374151"/>
          <w:sz w:val="20"/>
          <w:szCs w:val="20"/>
        </w:rPr>
        <w:t xml:space="preserve">T-10: AI Marketing Efficiency Revolution</w:t>
      </w:r>
    </w:p>
    <w:p>
      <w:pPr>
        <w:spacing w:after="60"/>
      </w:pPr>
    </w:p>
    <w:p>
      <w:pPr>
        <w:pStyle w:val="Heading3"/>
        <w:spacing w:after="120" w:before="200"/>
      </w:pPr>
      <w:r>
        <w:rPr>
          <w:rFonts w:ascii="Segoe UI" w:cs="Segoe UI" w:eastAsia="Segoe UI" w:hAnsi="Segoe UI"/>
          <w:b/>
          <w:bCs/>
          <w:color w:val="374151"/>
          <w:sz w:val="22"/>
          <w:szCs w:val="22"/>
        </w:rPr>
        <w:t xml:space="preserve">Government Force (8 trends)</w:t>
      </w:r>
    </w:p>
    <w:p>
      <w:pPr>
        <w:pStyle w:val="ListParagraph"/>
        <w:numPr>
          <w:ilvl w:val="0"/>
          <w:numId w:val="2"/>
        </w:numPr>
        <w:spacing w:after="80"/>
      </w:pPr>
      <w:r>
        <w:rPr>
          <w:rFonts w:ascii="Segoe UI" w:cs="Segoe UI" w:eastAsia="Segoe UI" w:hAnsi="Segoe UI"/>
          <w:color w:val="374151"/>
          <w:sz w:val="20"/>
          <w:szCs w:val="20"/>
        </w:rPr>
        <w:t xml:space="preserve">G-01: EU PFAS Universal Restriction (phased 2027–2032)</w:t>
      </w:r>
    </w:p>
    <w:p>
      <w:pPr>
        <w:pStyle w:val="ListParagraph"/>
        <w:numPr>
          <w:ilvl w:val="0"/>
          <w:numId w:val="2"/>
        </w:numPr>
        <w:spacing w:after="80"/>
      </w:pPr>
      <w:r>
        <w:rPr>
          <w:rFonts w:ascii="Segoe UI" w:cs="Segoe UI" w:eastAsia="Segoe UI" w:hAnsi="Segoe UI"/>
          <w:color w:val="374151"/>
          <w:sz w:val="20"/>
          <w:szCs w:val="20"/>
        </w:rPr>
        <w:t xml:space="preserve">G-02: EU Microplastics Ban — Phase 2 (2027–2029)</w:t>
      </w:r>
    </w:p>
    <w:p>
      <w:pPr>
        <w:pStyle w:val="ListParagraph"/>
        <w:numPr>
          <w:ilvl w:val="0"/>
          <w:numId w:val="2"/>
        </w:numPr>
        <w:spacing w:after="80"/>
      </w:pPr>
      <w:r>
        <w:rPr>
          <w:rFonts w:ascii="Segoe UI" w:cs="Segoe UI" w:eastAsia="Segoe UI" w:hAnsi="Segoe UI"/>
          <w:color w:val="374151"/>
          <w:sz w:val="20"/>
          <w:szCs w:val="20"/>
        </w:rPr>
        <w:t xml:space="preserve">G-03: EU Cosmetics Regulation Omnibus VII/VIII</w:t>
      </w:r>
    </w:p>
    <w:p>
      <w:pPr>
        <w:pStyle w:val="ListParagraph"/>
        <w:numPr>
          <w:ilvl w:val="0"/>
          <w:numId w:val="2"/>
        </w:numPr>
        <w:spacing w:after="80"/>
      </w:pPr>
      <w:r>
        <w:rPr>
          <w:rFonts w:ascii="Segoe UI" w:cs="Segoe UI" w:eastAsia="Segoe UI" w:hAnsi="Segoe UI"/>
          <w:color w:val="374151"/>
          <w:sz w:val="20"/>
          <w:szCs w:val="20"/>
        </w:rPr>
        <w:t xml:space="preserve">G-04: EU PPWR — Packaging Waste Regulation</w:t>
      </w:r>
    </w:p>
    <w:p>
      <w:pPr>
        <w:pStyle w:val="ListParagraph"/>
        <w:numPr>
          <w:ilvl w:val="0"/>
          <w:numId w:val="2"/>
        </w:numPr>
        <w:spacing w:after="80"/>
      </w:pPr>
      <w:r>
        <w:rPr>
          <w:rFonts w:ascii="Segoe UI" w:cs="Segoe UI" w:eastAsia="Segoe UI" w:hAnsi="Segoe UI"/>
          <w:color w:val="374151"/>
          <w:sz w:val="20"/>
          <w:szCs w:val="20"/>
        </w:rPr>
        <w:t xml:space="preserve">G-05: EU Green Claims Directive (Sept 2026)</w:t>
      </w:r>
    </w:p>
    <w:p>
      <w:pPr>
        <w:pStyle w:val="ListParagraph"/>
        <w:numPr>
          <w:ilvl w:val="0"/>
          <w:numId w:val="2"/>
        </w:numPr>
        <w:spacing w:after="80"/>
      </w:pPr>
      <w:r>
        <w:rPr>
          <w:rFonts w:ascii="Segoe UI" w:cs="Segoe UI" w:eastAsia="Segoe UI" w:hAnsi="Segoe UI"/>
          <w:color w:val="374151"/>
          <w:sz w:val="20"/>
          <w:szCs w:val="20"/>
        </w:rPr>
        <w:t xml:space="preserve">G-06: EU Deforestation Regulation (Dec 2026)</w:t>
      </w:r>
    </w:p>
    <w:p>
      <w:pPr>
        <w:pStyle w:val="ListParagraph"/>
        <w:numPr>
          <w:ilvl w:val="0"/>
          <w:numId w:val="2"/>
        </w:numPr>
        <w:spacing w:after="80"/>
      </w:pPr>
      <w:r>
        <w:rPr>
          <w:rFonts w:ascii="Segoe UI" w:cs="Segoe UI" w:eastAsia="Segoe UI" w:hAnsi="Segoe UI"/>
          <w:color w:val="374151"/>
          <w:sz w:val="20"/>
          <w:szCs w:val="20"/>
        </w:rPr>
        <w:t xml:space="preserve">G-07: EU Digital Product Passport (2027–2028)</w:t>
      </w:r>
    </w:p>
    <w:p>
      <w:pPr>
        <w:pStyle w:val="ListParagraph"/>
        <w:numPr>
          <w:ilvl w:val="0"/>
          <w:numId w:val="2"/>
        </w:numPr>
        <w:spacing w:after="80"/>
      </w:pPr>
      <w:r>
        <w:rPr>
          <w:rFonts w:ascii="Segoe UI" w:cs="Segoe UI" w:eastAsia="Segoe UI" w:hAnsi="Segoe UI"/>
          <w:color w:val="374151"/>
          <w:sz w:val="20"/>
          <w:szCs w:val="20"/>
        </w:rPr>
        <w:t xml:space="preserve">G-08: Tariffs/Trade Wars/Deglobalization</w:t>
      </w:r>
    </w:p>
    <w:p>
      <w:pPr>
        <w:spacing w:after="60"/>
      </w:pPr>
    </w:p>
    <w:p>
      <w:pPr>
        <w:pStyle w:val="Heading3"/>
        <w:spacing w:after="120" w:before="200"/>
      </w:pPr>
      <w:r>
        <w:rPr>
          <w:rFonts w:ascii="Segoe UI" w:cs="Segoe UI" w:eastAsia="Segoe UI" w:hAnsi="Segoe UI"/>
          <w:b/>
          <w:bCs/>
          <w:color w:val="374151"/>
          <w:sz w:val="22"/>
          <w:szCs w:val="22"/>
        </w:rPr>
        <w:t xml:space="preserve">Environmental Force (8 trends)</w:t>
      </w:r>
    </w:p>
    <w:p>
      <w:pPr>
        <w:pStyle w:val="ListParagraph"/>
        <w:numPr>
          <w:ilvl w:val="0"/>
          <w:numId w:val="2"/>
        </w:numPr>
        <w:spacing w:after="80"/>
      </w:pPr>
      <w:r>
        <w:rPr>
          <w:rFonts w:ascii="Segoe UI" w:cs="Segoe UI" w:eastAsia="Segoe UI" w:hAnsi="Segoe UI"/>
          <w:color w:val="374151"/>
          <w:sz w:val="20"/>
          <w:szCs w:val="20"/>
        </w:rPr>
        <w:t xml:space="preserve">E-01: Palm Oil Supply Chain Disruption (Indonesia B50)</w:t>
      </w:r>
    </w:p>
    <w:p>
      <w:pPr>
        <w:pStyle w:val="ListParagraph"/>
        <w:numPr>
          <w:ilvl w:val="0"/>
          <w:numId w:val="2"/>
        </w:numPr>
        <w:spacing w:after="80"/>
      </w:pPr>
      <w:r>
        <w:rPr>
          <w:rFonts w:ascii="Segoe UI" w:cs="Segoe UI" w:eastAsia="Segoe UI" w:hAnsi="Segoe UI"/>
          <w:color w:val="374151"/>
          <w:sz w:val="20"/>
          <w:szCs w:val="20"/>
        </w:rPr>
        <w:t xml:space="preserve">E-02: Water Scarcity Drives Low-Water Formulations</w:t>
      </w:r>
    </w:p>
    <w:p>
      <w:pPr>
        <w:pStyle w:val="ListParagraph"/>
        <w:numPr>
          <w:ilvl w:val="0"/>
          <w:numId w:val="2"/>
        </w:numPr>
        <w:spacing w:after="80"/>
      </w:pPr>
      <w:r>
        <w:rPr>
          <w:rFonts w:ascii="Segoe UI" w:cs="Segoe UI" w:eastAsia="Segoe UI" w:hAnsi="Segoe UI"/>
          <w:color w:val="374151"/>
          <w:sz w:val="20"/>
          <w:szCs w:val="20"/>
        </w:rPr>
        <w:t xml:space="preserve">E-03: Carbon Border Adjustment and Scope 3 Reporting</w:t>
      </w:r>
    </w:p>
    <w:p>
      <w:pPr>
        <w:pStyle w:val="ListParagraph"/>
        <w:numPr>
          <w:ilvl w:val="0"/>
          <w:numId w:val="2"/>
        </w:numPr>
        <w:spacing w:after="80"/>
      </w:pPr>
      <w:r>
        <w:rPr>
          <w:rFonts w:ascii="Segoe UI" w:cs="Segoe UI" w:eastAsia="Segoe UI" w:hAnsi="Segoe UI"/>
          <w:color w:val="374151"/>
          <w:sz w:val="20"/>
          <w:szCs w:val="20"/>
        </w:rPr>
        <w:t xml:space="preserve">E-04: EPR Fee Escalation and Eco-Modulation</w:t>
      </w:r>
    </w:p>
    <w:p>
      <w:pPr>
        <w:pStyle w:val="ListParagraph"/>
        <w:numPr>
          <w:ilvl w:val="0"/>
          <w:numId w:val="2"/>
        </w:numPr>
        <w:spacing w:after="80"/>
      </w:pPr>
      <w:r>
        <w:rPr>
          <w:rFonts w:ascii="Segoe UI" w:cs="Segoe UI" w:eastAsia="Segoe UI" w:hAnsi="Segoe UI"/>
          <w:color w:val="374151"/>
          <w:sz w:val="20"/>
          <w:szCs w:val="20"/>
        </w:rPr>
        <w:t xml:space="preserve">E-05: Climate-Driven Pest Pattern Shifts</w:t>
      </w:r>
    </w:p>
    <w:p>
      <w:pPr>
        <w:pStyle w:val="ListParagraph"/>
        <w:numPr>
          <w:ilvl w:val="0"/>
          <w:numId w:val="2"/>
        </w:numPr>
        <w:spacing w:after="80"/>
      </w:pPr>
      <w:r>
        <w:rPr>
          <w:rFonts w:ascii="Segoe UI" w:cs="Segoe UI" w:eastAsia="Segoe UI" w:hAnsi="Segoe UI"/>
          <w:color w:val="374151"/>
          <w:sz w:val="20"/>
          <w:szCs w:val="20"/>
        </w:rPr>
        <w:t xml:space="preserve">E-06: Supply Chain Nearshoring and Geopolitical Diversification</w:t>
      </w:r>
    </w:p>
    <w:p>
      <w:pPr>
        <w:pStyle w:val="ListParagraph"/>
        <w:numPr>
          <w:ilvl w:val="0"/>
          <w:numId w:val="2"/>
        </w:numPr>
        <w:spacing w:after="80"/>
      </w:pPr>
      <w:r>
        <w:rPr>
          <w:rFonts w:ascii="Segoe UI" w:cs="Segoe UI" w:eastAsia="Segoe UI" w:hAnsi="Segoe UI"/>
          <w:color w:val="374151"/>
          <w:sz w:val="20"/>
          <w:szCs w:val="20"/>
        </w:rPr>
        <w:t xml:space="preserve">E-07: Energy Cost Volatility and European Manufacturing</w:t>
      </w:r>
    </w:p>
    <w:p>
      <w:pPr>
        <w:pStyle w:val="ListParagraph"/>
        <w:numPr>
          <w:ilvl w:val="0"/>
          <w:numId w:val="2"/>
        </w:numPr>
        <w:spacing w:after="80"/>
      </w:pPr>
      <w:r>
        <w:rPr>
          <w:rFonts w:ascii="Segoe UI" w:cs="Segoe UI" w:eastAsia="Segoe UI" w:hAnsi="Segoe UI"/>
          <w:color w:val="374151"/>
          <w:sz w:val="20"/>
          <w:szCs w:val="20"/>
        </w:rPr>
        <w:t xml:space="preserve">E-08: Textile Longevity and Garment Life Extension Economy</w:t>
      </w:r>
    </w:p>
    <w:p>
      <w:pPr>
        <w:spacing w:after="60"/>
      </w:pPr>
    </w:p>
    <w:p>
      <w:pPr>
        <w:pStyle w:val="Heading3"/>
        <w:spacing w:after="120" w:before="200"/>
      </w:pPr>
      <w:r>
        <w:rPr>
          <w:rFonts w:ascii="Segoe UI" w:cs="Segoe UI" w:eastAsia="Segoe UI" w:hAnsi="Segoe UI"/>
          <w:b/>
          <w:bCs/>
          <w:color w:val="374151"/>
          <w:sz w:val="22"/>
          <w:szCs w:val="22"/>
        </w:rPr>
        <w:t xml:space="preserve">Customer Force (7 trends)</w:t>
      </w:r>
    </w:p>
    <w:p>
      <w:pPr>
        <w:pStyle w:val="ListParagraph"/>
        <w:numPr>
          <w:ilvl w:val="0"/>
          <w:numId w:val="2"/>
        </w:numPr>
        <w:spacing w:after="80"/>
      </w:pPr>
      <w:r>
        <w:rPr>
          <w:rFonts w:ascii="Segoe UI" w:cs="Segoe UI" w:eastAsia="Segoe UI" w:hAnsi="Segoe UI"/>
          <w:color w:val="374151"/>
          <w:sz w:val="20"/>
          <w:szCs w:val="20"/>
        </w:rPr>
        <w:t xml:space="preserve">Cu-01: Discount Retail Channel Expansion in Europe</w:t>
      </w:r>
    </w:p>
    <w:p>
      <w:pPr>
        <w:pStyle w:val="ListParagraph"/>
        <w:numPr>
          <w:ilvl w:val="0"/>
          <w:numId w:val="2"/>
        </w:numPr>
        <w:spacing w:after="80"/>
      </w:pPr>
      <w:r>
        <w:rPr>
          <w:rFonts w:ascii="Segoe UI" w:cs="Segoe UI" w:eastAsia="Segoe UI" w:hAnsi="Segoe UI"/>
          <w:color w:val="374151"/>
          <w:sz w:val="20"/>
          <w:szCs w:val="20"/>
        </w:rPr>
        <w:t xml:space="preserve">Cu-02: E-Commerce Profit Pool Maturation</w:t>
      </w:r>
    </w:p>
    <w:p>
      <w:pPr>
        <w:pStyle w:val="ListParagraph"/>
        <w:numPr>
          <w:ilvl w:val="0"/>
          <w:numId w:val="2"/>
        </w:numPr>
        <w:spacing w:after="80"/>
      </w:pPr>
      <w:r>
        <w:rPr>
          <w:rFonts w:ascii="Segoe UI" w:cs="Segoe UI" w:eastAsia="Segoe UI" w:hAnsi="Segoe UI"/>
          <w:color w:val="374151"/>
          <w:sz w:val="20"/>
          <w:szCs w:val="20"/>
        </w:rPr>
        <w:t xml:space="preserve">Cu-03: Retailer Consolidation and Power Concentration</w:t>
      </w:r>
    </w:p>
    <w:p>
      <w:pPr>
        <w:pStyle w:val="ListParagraph"/>
        <w:numPr>
          <w:ilvl w:val="0"/>
          <w:numId w:val="2"/>
        </w:numPr>
        <w:spacing w:after="80"/>
      </w:pPr>
      <w:r>
        <w:rPr>
          <w:rFonts w:ascii="Segoe UI" w:cs="Segoe UI" w:eastAsia="Segoe UI" w:hAnsi="Segoe UI"/>
          <w:color w:val="374151"/>
          <w:sz w:val="20"/>
          <w:szCs w:val="20"/>
        </w:rPr>
        <w:t xml:space="preserve">Cu-04: Social Commerce and TikTok Shop Emergence</w:t>
      </w:r>
    </w:p>
    <w:p>
      <w:pPr>
        <w:pStyle w:val="ListParagraph"/>
        <w:numPr>
          <w:ilvl w:val="0"/>
          <w:numId w:val="2"/>
        </w:numPr>
        <w:spacing w:after="80"/>
      </w:pPr>
      <w:r>
        <w:rPr>
          <w:rFonts w:ascii="Segoe UI" w:cs="Segoe UI" w:eastAsia="Segoe UI" w:hAnsi="Segoe UI"/>
          <w:color w:val="374151"/>
          <w:sz w:val="20"/>
          <w:szCs w:val="20"/>
        </w:rPr>
        <w:t xml:space="preserve">Cu-05: Quick Commerce Consolidation and FMCG Integration</w:t>
      </w:r>
    </w:p>
    <w:p>
      <w:pPr>
        <w:pStyle w:val="ListParagraph"/>
        <w:numPr>
          <w:ilvl w:val="0"/>
          <w:numId w:val="2"/>
        </w:numPr>
        <w:spacing w:after="80"/>
      </w:pPr>
      <w:r>
        <w:rPr>
          <w:rFonts w:ascii="Segoe UI" w:cs="Segoe UI" w:eastAsia="Segoe UI" w:hAnsi="Segoe UI"/>
          <w:color w:val="374151"/>
          <w:sz w:val="20"/>
          <w:szCs w:val="20"/>
        </w:rPr>
        <w:t xml:space="preserve">Cu-06: FMCG Subscription and Loyalty Ecosystem Lock-in</w:t>
      </w:r>
    </w:p>
    <w:p>
      <w:pPr>
        <w:pStyle w:val="ListParagraph"/>
        <w:numPr>
          <w:ilvl w:val="0"/>
          <w:numId w:val="2"/>
        </w:numPr>
        <w:spacing w:after="80"/>
      </w:pPr>
      <w:r>
        <w:rPr>
          <w:rFonts w:ascii="Segoe UI" w:cs="Segoe UI" w:eastAsia="Segoe UI" w:hAnsi="Segoe UI"/>
          <w:color w:val="374151"/>
          <w:sz w:val="20"/>
          <w:szCs w:val="20"/>
        </w:rPr>
        <w:t xml:space="preserve">Cu-07: Professional Salon Channel to Consumer Crossover</w:t>
      </w:r>
    </w:p>
    <w:p>
      <w:pPr>
        <w:spacing w:after="60"/>
      </w:pPr>
    </w:p>
    <w:p>
      <w:pPr>
        <w:pStyle w:val="Heading3"/>
        <w:spacing w:after="120" w:before="200"/>
      </w:pPr>
      <w:r>
        <w:rPr>
          <w:rFonts w:ascii="Segoe UI" w:cs="Segoe UI" w:eastAsia="Segoe UI" w:hAnsi="Segoe UI"/>
          <w:b/>
          <w:bCs/>
          <w:color w:val="374151"/>
          <w:sz w:val="22"/>
          <w:szCs w:val="22"/>
        </w:rPr>
        <w:t xml:space="preserve">Competitive Force (7 trends)</w:t>
      </w:r>
    </w:p>
    <w:p>
      <w:pPr>
        <w:pStyle w:val="ListParagraph"/>
        <w:numPr>
          <w:ilvl w:val="0"/>
          <w:numId w:val="2"/>
        </w:numPr>
        <w:spacing w:after="80"/>
      </w:pPr>
      <w:r>
        <w:rPr>
          <w:rFonts w:ascii="Segoe UI" w:cs="Segoe UI" w:eastAsia="Segoe UI" w:hAnsi="Segoe UI"/>
          <w:color w:val="374151"/>
          <w:sz w:val="20"/>
          <w:szCs w:val="20"/>
        </w:rPr>
        <w:t xml:space="preserve">Co-01: Reckitt Essential Home Divestiture (Advent $4.8B)</w:t>
      </w:r>
    </w:p>
    <w:p>
      <w:pPr>
        <w:pStyle w:val="ListParagraph"/>
        <w:numPr>
          <w:ilvl w:val="0"/>
          <w:numId w:val="2"/>
        </w:numPr>
        <w:spacing w:after="80"/>
      </w:pPr>
      <w:r>
        <w:rPr>
          <w:rFonts w:ascii="Segoe UI" w:cs="Segoe UI" w:eastAsia="Segoe UI" w:hAnsi="Segoe UI"/>
          <w:color w:val="374151"/>
          <w:sz w:val="20"/>
          <w:szCs w:val="20"/>
        </w:rPr>
        <w:t xml:space="preserve">Co-02: Unilever Beauty and Wellbeing Pivot</w:t>
      </w:r>
    </w:p>
    <w:p>
      <w:pPr>
        <w:pStyle w:val="ListParagraph"/>
        <w:numPr>
          <w:ilvl w:val="0"/>
          <w:numId w:val="2"/>
        </w:numPr>
        <w:spacing w:after="80"/>
      </w:pPr>
      <w:r>
        <w:rPr>
          <w:rFonts w:ascii="Segoe UI" w:cs="Segoe UI" w:eastAsia="Segoe UI" w:hAnsi="Segoe UI"/>
          <w:color w:val="374151"/>
          <w:sz w:val="20"/>
          <w:szCs w:val="20"/>
        </w:rPr>
        <w:t xml:space="preserve">Co-03: P&amp;G Superiority Framework and Innovation Fortress</w:t>
      </w:r>
    </w:p>
    <w:p>
      <w:pPr>
        <w:pStyle w:val="ListParagraph"/>
        <w:numPr>
          <w:ilvl w:val="0"/>
          <w:numId w:val="2"/>
        </w:numPr>
        <w:spacing w:after="80"/>
      </w:pPr>
      <w:r>
        <w:rPr>
          <w:rFonts w:ascii="Segoe UI" w:cs="Segoe UI" w:eastAsia="Segoe UI" w:hAnsi="Segoe UI"/>
          <w:color w:val="374151"/>
          <w:sz w:val="20"/>
          <w:szCs w:val="20"/>
        </w:rPr>
        <w:t xml:space="preserve">Co-04: DTC and Indie Brand Disruption in Hair</w:t>
      </w:r>
    </w:p>
    <w:p>
      <w:pPr>
        <w:pStyle w:val="ListParagraph"/>
        <w:numPr>
          <w:ilvl w:val="0"/>
          <w:numId w:val="2"/>
        </w:numPr>
        <w:spacing w:after="80"/>
      </w:pPr>
      <w:r>
        <w:rPr>
          <w:rFonts w:ascii="Segoe UI" w:cs="Segoe UI" w:eastAsia="Segoe UI" w:hAnsi="Segoe UI"/>
          <w:color w:val="374151"/>
          <w:sz w:val="20"/>
          <w:szCs w:val="20"/>
        </w:rPr>
        <w:t xml:space="preserve">Co-05: Chinese FMCG Brands Enter European Market</w:t>
      </w:r>
    </w:p>
    <w:p>
      <w:pPr>
        <w:pStyle w:val="ListParagraph"/>
        <w:numPr>
          <w:ilvl w:val="0"/>
          <w:numId w:val="2"/>
        </w:numPr>
        <w:spacing w:after="80"/>
      </w:pPr>
      <w:r>
        <w:rPr>
          <w:rFonts w:ascii="Segoe UI" w:cs="Segoe UI" w:eastAsia="Segoe UI" w:hAnsi="Segoe UI"/>
          <w:color w:val="374151"/>
          <w:sz w:val="20"/>
          <w:szCs w:val="20"/>
        </w:rPr>
        <w:t xml:space="preserve">Co-06: Emerging Markets Growth Divergence — IMEA Leads</w:t>
      </w:r>
    </w:p>
    <w:p>
      <w:pPr>
        <w:pStyle w:val="ListParagraph"/>
        <w:numPr>
          <w:ilvl w:val="0"/>
          <w:numId w:val="2"/>
        </w:numPr>
        <w:spacing w:after="80"/>
      </w:pPr>
      <w:r>
        <w:rPr>
          <w:rFonts w:ascii="Segoe UI" w:cs="Segoe UI" w:eastAsia="Segoe UI" w:hAnsi="Segoe UI"/>
          <w:color w:val="374151"/>
          <w:sz w:val="20"/>
          <w:szCs w:val="20"/>
        </w:rPr>
        <w:t xml:space="preserve">Co-07: L’Oréal Tech-Beauty Platform Strategy</w:t>
      </w:r>
    </w:p>
    <w:p>
      <w:pPr>
        <w:pBdr>
          <w:bottom w:val="single" w:color="E1000F" w:sz="6" w:space="1"/>
        </w:pBdr>
        <w:spacing w:after="200" w:before="200"/>
      </w:pPr>
    </w:p>
    <w:p>
      <w:pPr>
        <w:pStyle w:val="Heading1"/>
        <w:spacing w:after="200" w:before="360"/>
      </w:pPr>
      <w:r>
        <w:rPr>
          <w:rFonts w:ascii="Segoe UI" w:cs="Segoe UI" w:eastAsia="Segoe UI" w:hAnsi="Segoe UI"/>
          <w:b/>
          <w:bCs/>
          <w:color w:val="0F172A"/>
          <w:sz w:val="32"/>
          <w:szCs w:val="32"/>
        </w:rPr>
        <w:t xml:space="preserve">5. Gap Analysis Framework</w:t>
      </w:r>
    </w:p>
    <w:p>
      <w:pPr>
        <w:spacing w:after="120"/>
      </w:pPr>
      <w:r>
        <w:rPr>
          <w:rFonts w:ascii="Segoe UI" w:cs="Segoe UI" w:eastAsia="Segoe UI" w:hAnsi="Segoe UI"/>
          <w:color w:val="374151"/>
          <w:sz w:val="20"/>
          <w:szCs w:val="20"/>
        </w:rPr>
        <w:t xml:space="preserve">After each trend research cycle, run this gap analysis to identify blind spots:</w:t>
      </w:r>
    </w:p>
    <w:p>
      <w:pPr>
        <w:spacing w:after="60"/>
      </w:pPr>
    </w:p>
    <w:p>
      <w:pPr>
        <w:pStyle w:val="Heading3"/>
        <w:spacing w:after="120" w:before="200"/>
      </w:pPr>
      <w:r>
        <w:rPr>
          <w:rFonts w:ascii="Segoe UI" w:cs="Segoe UI" w:eastAsia="Segoe UI" w:hAnsi="Segoe UI"/>
          <w:b/>
          <w:bCs/>
          <w:color w:val="374151"/>
          <w:sz w:val="22"/>
          <w:szCs w:val="22"/>
        </w:rPr>
        <w:t xml:space="preserve">5a. Force Balance Check</w:t>
      </w:r>
    </w:p>
    <w:p>
      <w:pPr>
        <w:spacing w:after="120"/>
      </w:pPr>
      <w:r>
        <w:rPr>
          <w:rFonts w:ascii="Segoe UI" w:cs="Segoe UI" w:eastAsia="Segoe UI" w:hAnsi="Segoe UI"/>
          <w:color w:val="374151"/>
          <w:sz w:val="20"/>
          <w:szCs w:val="20"/>
        </w:rPr>
        <w:t xml:space="preserve">The 55 trends should be roughly distributed: Consumer 12–15, Technology 8–10, Government 7–9, Environmental 6–8, Customer 6–8, Competitive 6–8. A force with fewer than 5 trends likely has gaps.</w:t>
      </w:r>
    </w:p>
    <w:p>
      <w:pPr>
        <w:spacing w:after="60"/>
      </w:pPr>
    </w:p>
    <w:p>
      <w:pPr>
        <w:pStyle w:val="Heading3"/>
        <w:spacing w:after="120" w:before="200"/>
      </w:pPr>
      <w:r>
        <w:rPr>
          <w:rFonts w:ascii="Segoe UI" w:cs="Segoe UI" w:eastAsia="Segoe UI" w:hAnsi="Segoe UI"/>
          <w:b/>
          <w:bCs/>
          <w:color w:val="374151"/>
          <w:sz w:val="22"/>
          <w:szCs w:val="22"/>
        </w:rPr>
        <w:t xml:space="preserve">5b. Category Coverage Check</w:t>
      </w:r>
    </w:p>
    <w:p>
      <w:pPr>
        <w:spacing w:after="120"/>
      </w:pPr>
      <w:r>
        <w:rPr>
          <w:rFonts w:ascii="Segoe UI" w:cs="Segoe UI" w:eastAsia="Segoe UI" w:hAnsi="Segoe UI"/>
          <w:color w:val="374151"/>
          <w:sz w:val="20"/>
          <w:szCs w:val="20"/>
        </w:rPr>
        <w:t xml:space="preserve">Every one of Henkel’s 12 categories should have at least 5 trends with exposure score ≥3. Categories with fewer are under-modeled. Typical gap categories: IC (insecticides), FFI (fabric freshness), LAD (laundry additives).</w:t>
      </w:r>
    </w:p>
    <w:p>
      <w:pPr>
        <w:spacing w:after="60"/>
      </w:pPr>
    </w:p>
    <w:p>
      <w:pPr>
        <w:pStyle w:val="Heading3"/>
        <w:spacing w:after="120" w:before="200"/>
      </w:pPr>
      <w:r>
        <w:rPr>
          <w:rFonts w:ascii="Segoe UI" w:cs="Segoe UI" w:eastAsia="Segoe UI" w:hAnsi="Segoe UI"/>
          <w:b/>
          <w:bCs/>
          <w:color w:val="374151"/>
          <w:sz w:val="22"/>
          <w:szCs w:val="22"/>
        </w:rPr>
        <w:t xml:space="preserve">5c. Adjacent/White Space Monitor</w:t>
      </w:r>
    </w:p>
    <w:p>
      <w:pPr>
        <w:spacing w:after="120"/>
      </w:pPr>
      <w:r>
        <w:rPr>
          <w:rFonts w:ascii="Segoe UI" w:cs="Segoe UI" w:eastAsia="Segoe UI" w:hAnsi="Segoe UI"/>
          <w:color w:val="374151"/>
          <w:sz w:val="20"/>
          <w:szCs w:val="20"/>
        </w:rPr>
        <w:t xml:space="preserve">Beyond the current 12 categories, monitor adjacent markets for expansion opportunities or competitive threats:</w:t>
      </w:r>
    </w:p>
    <w:p>
      <w:pPr>
        <w:pStyle w:val="ListParagraph"/>
        <w:numPr>
          <w:ilvl w:val="0"/>
          <w:numId w:val="2"/>
        </w:numPr>
        <w:spacing w:after="80"/>
      </w:pPr>
      <w:r>
        <w:rPr>
          <w:rFonts w:ascii="Segoe UI" w:cs="Segoe UI" w:eastAsia="Segoe UI" w:hAnsi="Segoe UI"/>
          <w:color w:val="374151"/>
          <w:sz w:val="20"/>
          <w:szCs w:val="20"/>
        </w:rPr>
        <w:t xml:space="preserve">Professional Salon Products ($16B globally)</w:t>
      </w:r>
    </w:p>
    <w:p>
      <w:pPr>
        <w:pStyle w:val="ListParagraph"/>
        <w:numPr>
          <w:ilvl w:val="0"/>
          <w:numId w:val="2"/>
        </w:numPr>
        <w:spacing w:after="80"/>
      </w:pPr>
      <w:r>
        <w:rPr>
          <w:rFonts w:ascii="Segoe UI" w:cs="Segoe UI" w:eastAsia="Segoe UI" w:hAnsi="Segoe UI"/>
          <w:color w:val="374151"/>
          <w:sz w:val="20"/>
          <w:szCs w:val="20"/>
        </w:rPr>
        <w:t xml:space="preserve">Scalp Care / Trichology ($4B, 8% CAGR)</w:t>
      </w:r>
    </w:p>
    <w:p>
      <w:pPr>
        <w:pStyle w:val="ListParagraph"/>
        <w:numPr>
          <w:ilvl w:val="0"/>
          <w:numId w:val="2"/>
        </w:numPr>
        <w:spacing w:after="80"/>
      </w:pPr>
      <w:r>
        <w:rPr>
          <w:rFonts w:ascii="Segoe UI" w:cs="Segoe UI" w:eastAsia="Segoe UI" w:hAnsi="Segoe UI"/>
          <w:color w:val="374151"/>
          <w:sz w:val="20"/>
          <w:szCs w:val="20"/>
        </w:rPr>
        <w:t xml:space="preserve">Men’s Grooming ($78B globally)</w:t>
      </w:r>
    </w:p>
    <w:p>
      <w:pPr>
        <w:pStyle w:val="ListParagraph"/>
        <w:numPr>
          <w:ilvl w:val="0"/>
          <w:numId w:val="2"/>
        </w:numPr>
        <w:spacing w:after="80"/>
      </w:pPr>
      <w:r>
        <w:rPr>
          <w:rFonts w:ascii="Segoe UI" w:cs="Segoe UI" w:eastAsia="Segoe UI" w:hAnsi="Segoe UI"/>
          <w:color w:val="374151"/>
          <w:sz w:val="20"/>
          <w:szCs w:val="20"/>
        </w:rPr>
        <w:t xml:space="preserve">Industrial &amp; Institutional Cleaning (B2B extension)</w:t>
      </w:r>
    </w:p>
    <w:p>
      <w:pPr>
        <w:pStyle w:val="ListParagraph"/>
        <w:numPr>
          <w:ilvl w:val="0"/>
          <w:numId w:val="2"/>
        </w:numPr>
        <w:spacing w:after="80"/>
      </w:pPr>
      <w:r>
        <w:rPr>
          <w:rFonts w:ascii="Segoe UI" w:cs="Segoe UI" w:eastAsia="Segoe UI" w:hAnsi="Segoe UI"/>
          <w:color w:val="374151"/>
          <w:sz w:val="20"/>
          <w:szCs w:val="20"/>
        </w:rPr>
        <w:t xml:space="preserve">Smart Home / Connected Appliances (auto-dosing threat)</w:t>
      </w:r>
    </w:p>
    <w:p>
      <w:pPr>
        <w:pStyle w:val="ListParagraph"/>
        <w:numPr>
          <w:ilvl w:val="0"/>
          <w:numId w:val="2"/>
        </w:numPr>
        <w:spacing w:after="80"/>
      </w:pPr>
      <w:r>
        <w:rPr>
          <w:rFonts w:ascii="Segoe UI" w:cs="Segoe UI" w:eastAsia="Segoe UI" w:hAnsi="Segoe UI"/>
          <w:color w:val="374151"/>
          <w:sz w:val="20"/>
          <w:szCs w:val="20"/>
        </w:rPr>
        <w:t xml:space="preserve">Refill &amp; Zero-Waste Retail (structural format shift)</w:t>
      </w:r>
    </w:p>
    <w:p>
      <w:pPr>
        <w:spacing w:after="60"/>
      </w:pPr>
    </w:p>
    <w:p>
      <w:pPr>
        <w:pStyle w:val="Heading3"/>
        <w:spacing w:after="120" w:before="200"/>
      </w:pPr>
      <w:r>
        <w:rPr>
          <w:rFonts w:ascii="Segoe UI" w:cs="Segoe UI" w:eastAsia="Segoe UI" w:hAnsi="Segoe UI"/>
          <w:b/>
          <w:bCs/>
          <w:color w:val="374151"/>
          <w:sz w:val="22"/>
          <w:szCs w:val="22"/>
        </w:rPr>
        <w:t xml:space="preserve">5d. Temporal Coverage Check</w:t>
      </w:r>
    </w:p>
    <w:p>
      <w:pPr>
        <w:spacing w:after="120"/>
      </w:pPr>
      <w:r>
        <w:rPr>
          <w:rFonts w:ascii="Segoe UI" w:cs="Segoe UI" w:eastAsia="Segoe UI" w:hAnsi="Segoe UI"/>
          <w:color w:val="374151"/>
          <w:sz w:val="20"/>
          <w:szCs w:val="20"/>
        </w:rPr>
        <w:t xml:space="preserve">Ensure a mix of near-term (2026–2027, start_year ≤ 2027), medium-term (2027–2029), and structural (2029–2030+) trends. A database skewed toward one time horizon misses either urgent threats or long-term structural shifts.</w:t>
      </w:r>
    </w:p>
    <w:p>
      <w:pPr>
        <w:pBdr>
          <w:bottom w:val="single" w:color="E1000F" w:sz="6" w:space="1"/>
        </w:pBdr>
        <w:spacing w:after="200" w:before="200"/>
      </w:pPr>
    </w:p>
    <w:p>
      <w:pPr>
        <w:pStyle w:val="Heading1"/>
        <w:spacing w:after="200" w:before="360"/>
      </w:pPr>
      <w:r>
        <w:rPr>
          <w:rFonts w:ascii="Segoe UI" w:cs="Segoe UI" w:eastAsia="Segoe UI" w:hAnsi="Segoe UI"/>
          <w:b/>
          <w:bCs/>
          <w:color w:val="0F172A"/>
          <w:sz w:val="32"/>
          <w:szCs w:val="32"/>
        </w:rPr>
        <w:t xml:space="preserve">6. Annual Research Calendar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c>
          <w:tcPr>
            <w:tcW w:type="dxa" w:w="14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Quarter</w:t>
            </w:r>
          </w:p>
        </w:tc>
        <w:tc>
          <w:tcPr>
            <w:tcW w:type="dxa" w:w="22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Activity</w:t>
            </w:r>
          </w:p>
        </w:tc>
        <w:tc>
          <w:tcPr>
            <w:tcW w:type="dxa" w:w="3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Scope</w:t>
            </w:r>
          </w:p>
        </w:tc>
        <w:tc>
          <w:tcPr>
            <w:tcW w:type="dxa" w:w="27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Segoe UI" w:cs="Segoe UI" w:eastAsia="Segoe UI" w:hAnsi="Segoe UI"/>
                <w:b/>
                <w:bCs/>
                <w:color w:val="FFFFFF"/>
                <w:sz w:val="18"/>
                <w:szCs w:val="18"/>
              </w:rPr>
              <w:t xml:space="preserve">Output</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Segoe UI" w:cs="Segoe UI" w:eastAsia="Segoe UI" w:hAnsi="Segoe UI"/>
                <w:color w:val="374151"/>
                <w:sz w:val="18"/>
                <w:szCs w:val="18"/>
              </w:rPr>
              <w:t xml:space="preserve">Q1 (Jan–Mar)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Annual Calibration</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Full 6-step process: 19-API scan + manual deep dives + source validation + Delphi 3 rounds</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Updated trend database (55+ trends), backtesting accuracy report</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Segoe UI" w:cs="Segoe UI" w:eastAsia="Segoe UI" w:hAnsi="Segoe UI"/>
                <w:color w:val="374151"/>
                <w:sz w:val="18"/>
                <w:szCs w:val="18"/>
              </w:rPr>
              <w:t xml:space="preserve">Q2 (Apr–Jun)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Strategic Planning Input</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50,000-iteration MC simulation, scenario analysis, allocation optimizer</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Shift Matrix for strategy week, category allocation recommendations</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Segoe UI" w:cs="Segoe UI" w:eastAsia="Segoe UI" w:hAnsi="Segoe UI"/>
                <w:color w:val="374151"/>
                <w:sz w:val="18"/>
                <w:szCs w:val="18"/>
              </w:rPr>
              <w:t xml:space="preserve">Q3 (Jul–Sep)</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Mid-Year Quick Scan</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AI scanner refresh + quick validation, 10,000-iteration simulation, trigger check</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Updated signal digest, velocity report, strategy adjustment memo</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Segoe UI" w:cs="Segoe UI" w:eastAsia="Segoe UI" w:hAnsi="Segoe UI"/>
                <w:color w:val="374151"/>
                <w:sz w:val="18"/>
                <w:szCs w:val="18"/>
              </w:rPr>
              <w:t xml:space="preserve">Q4 (Oct–Dec)</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Budget Integration</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Final Shift Matrix for annual budget, competitive response update (post-earnings), ExCo presentation</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Segoe UI" w:cs="Segoe UI" w:eastAsia="Segoe UI" w:hAnsi="Segoe UI"/>
                <w:color w:val="374151"/>
                <w:sz w:val="18"/>
                <w:szCs w:val="18"/>
              </w:rPr>
              <w:t xml:space="preserve">Budget-ready Shift Matrix, category allocation for next year, annual archive</w:t>
            </w:r>
          </w:p>
        </w:tc>
      </w:tr>
    </w:tbl>
    <w:p>
      <w:pPr>
        <w:spacing w:after="60"/>
      </w:pPr>
    </w:p>
    <w:p>
      <w:pPr>
        <w:spacing w:after="120"/>
      </w:pPr>
      <w:r>
        <w:rPr>
          <w:rFonts w:ascii="Segoe UI" w:cs="Segoe UI" w:eastAsia="Segoe UI" w:hAnsi="Segoe UI"/>
          <w:b/>
          <w:bCs/>
          <w:color w:val="374151"/>
          <w:sz w:val="20"/>
          <w:szCs w:val="20"/>
        </w:rPr>
        <w:t xml:space="preserve">Continuous: </w:t>
      </w:r>
      <w:r>
        <w:rPr>
          <w:rFonts w:ascii="Segoe UI" w:cs="Segoe UI" w:eastAsia="Segoe UI" w:hAnsi="Segoe UI"/>
          <w:color w:val="6B7280"/>
          <w:sz w:val="20"/>
          <w:szCs w:val="20"/>
        </w:rPr>
        <w:t xml:space="preserve">AI scanner runs weekly signal digest throughout the year. Early-warning triggers fire automatically when shift thresholds are breached.</w:t>
      </w:r>
    </w:p>
    <w:p>
      <w:pPr>
        <w:pBdr>
          <w:bottom w:val="single" w:color="E1000F" w:sz="6" w:space="1"/>
        </w:pBdr>
        <w:spacing w:after="200" w:before="200"/>
      </w:pPr>
    </w:p>
    <w:p>
      <w:pPr>
        <w:pStyle w:val="Heading1"/>
        <w:spacing w:after="200" w:before="360"/>
      </w:pPr>
      <w:r>
        <w:rPr>
          <w:rFonts w:ascii="Segoe UI" w:cs="Segoe UI" w:eastAsia="Segoe UI" w:hAnsi="Segoe UI"/>
          <w:b/>
          <w:bCs/>
          <w:color w:val="0F172A"/>
          <w:sz w:val="32"/>
          <w:szCs w:val="32"/>
        </w:rPr>
        <w:t xml:space="preserve">7. Checklist: Running a New Trend Research Cycle</w:t>
      </w:r>
    </w:p>
    <w:p>
      <w:pPr>
        <w:spacing w:after="120"/>
      </w:pPr>
      <w:r>
        <w:rPr>
          <w:rFonts w:ascii="Segoe UI" w:cs="Segoe UI" w:eastAsia="Segoe UI" w:hAnsi="Segoe UI"/>
          <w:color w:val="374151"/>
          <w:sz w:val="20"/>
          <w:szCs w:val="20"/>
        </w:rPr>
        <w:t xml:space="preserve">Use this checklist to ensure completeness when executing a new research cycle:</w:t>
      </w:r>
    </w:p>
    <w:p>
      <w:pPr>
        <w:spacing w:after="60"/>
      </w:pPr>
    </w:p>
    <w:p>
      <w:pPr>
        <w:pStyle w:val="ListParagraph"/>
        <w:numPr>
          <w:ilvl w:val="0"/>
          <w:numId w:val="3"/>
        </w:numPr>
        <w:spacing w:after="80"/>
      </w:pPr>
      <w:r>
        <w:rPr>
          <w:rFonts w:ascii="Segoe UI" w:cs="Segoe UI" w:eastAsia="Segoe UI" w:hAnsi="Segoe UI"/>
          <w:color w:val="374151"/>
          <w:sz w:val="20"/>
          <w:szCs w:val="20"/>
        </w:rPr>
        <w:t xml:space="preserve">Review current 55-trend inventory (Section 4) — mark any trends that have fully materialized or become irrelevant</w:t>
      </w:r>
    </w:p>
    <w:p>
      <w:pPr>
        <w:pStyle w:val="ListParagraph"/>
        <w:numPr>
          <w:ilvl w:val="0"/>
          <w:numId w:val="3"/>
        </w:numPr>
        <w:spacing w:after="80"/>
      </w:pPr>
      <w:r>
        <w:rPr>
          <w:rFonts w:ascii="Segoe UI" w:cs="Segoe UI" w:eastAsia="Segoe UI" w:hAnsi="Segoe UI"/>
          <w:color w:val="374151"/>
          <w:sz w:val="20"/>
          <w:szCs w:val="20"/>
        </w:rPr>
        <w:t xml:space="preserve">Define/update strategic questions per force (Section 2, Step 1) based on latest market context</w:t>
      </w:r>
    </w:p>
    <w:p>
      <w:pPr>
        <w:pStyle w:val="ListParagraph"/>
        <w:numPr>
          <w:ilvl w:val="0"/>
          <w:numId w:val="3"/>
        </w:numPr>
        <w:spacing w:after="80"/>
      </w:pPr>
      <w:r>
        <w:rPr>
          <w:rFonts w:ascii="Segoe UI" w:cs="Segoe UI" w:eastAsia="Segoe UI" w:hAnsi="Segoe UI"/>
          <w:color w:val="374151"/>
          <w:sz w:val="20"/>
          <w:szCs w:val="20"/>
        </w:rPr>
        <w:t xml:space="preserve">Run PULSE AI Scanner (Emerging Trends &gt; Scan All Sources) for automated intelligence gathering</w:t>
      </w:r>
    </w:p>
    <w:p>
      <w:pPr>
        <w:pStyle w:val="ListParagraph"/>
        <w:numPr>
          <w:ilvl w:val="0"/>
          <w:numId w:val="3"/>
        </w:numPr>
        <w:spacing w:after="80"/>
      </w:pPr>
      <w:r>
        <w:rPr>
          <w:rFonts w:ascii="Segoe UI" w:cs="Segoe UI" w:eastAsia="Segoe UI" w:hAnsi="Segoe UI"/>
          <w:color w:val="374151"/>
          <w:sz w:val="20"/>
          <w:szCs w:val="20"/>
        </w:rPr>
        <w:t xml:space="preserve">Conduct manual deep dives for high-priority gaps using Tier A+ sources</w:t>
      </w:r>
    </w:p>
    <w:p>
      <w:pPr>
        <w:pStyle w:val="ListParagraph"/>
        <w:numPr>
          <w:ilvl w:val="0"/>
          <w:numId w:val="3"/>
        </w:numPr>
        <w:spacing w:after="80"/>
      </w:pPr>
      <w:r>
        <w:rPr>
          <w:rFonts w:ascii="Segoe UI" w:cs="Segoe UI" w:eastAsia="Segoe UI" w:hAnsi="Segoe UI"/>
          <w:color w:val="374151"/>
          <w:sz w:val="20"/>
          <w:szCs w:val="20"/>
        </w:rPr>
        <w:t xml:space="preserve">Rate every source on the 9-tier credibility scale (Section 2, Step 3)</w:t>
      </w:r>
    </w:p>
    <w:p>
      <w:pPr>
        <w:pStyle w:val="ListParagraph"/>
        <w:numPr>
          <w:ilvl w:val="0"/>
          <w:numId w:val="3"/>
        </w:numPr>
        <w:spacing w:after="80"/>
      </w:pPr>
      <w:r>
        <w:rPr>
          <w:rFonts w:ascii="Segoe UI" w:cs="Segoe UI" w:eastAsia="Segoe UI" w:hAnsi="Segoe UI"/>
          <w:color w:val="374151"/>
          <w:sz w:val="20"/>
          <w:szCs w:val="20"/>
        </w:rPr>
        <w:t xml:space="preserve">Score each trend: probability (1–5) + GP1% affected (0.0–1.0) using calibration tables</w:t>
      </w:r>
    </w:p>
    <w:p>
      <w:pPr>
        <w:pStyle w:val="ListParagraph"/>
        <w:numPr>
          <w:ilvl w:val="0"/>
          <w:numId w:val="3"/>
        </w:numPr>
        <w:spacing w:after="80"/>
      </w:pPr>
      <w:r>
        <w:rPr>
          <w:rFonts w:ascii="Segoe UI" w:cs="Segoe UI" w:eastAsia="Segoe UI" w:hAnsi="Segoe UI"/>
          <w:color w:val="374151"/>
          <w:sz w:val="20"/>
          <w:szCs w:val="20"/>
        </w:rPr>
        <w:t xml:space="preserve">Map category exposure (0–5 per category), value chain exposure, and regional exposure</w:t>
      </w:r>
    </w:p>
    <w:p>
      <w:pPr>
        <w:pStyle w:val="ListParagraph"/>
        <w:numPr>
          <w:ilvl w:val="0"/>
          <w:numId w:val="3"/>
        </w:numPr>
        <w:spacing w:after="80"/>
      </w:pPr>
      <w:r>
        <w:rPr>
          <w:rFonts w:ascii="Segoe UI" w:cs="Segoe UI" w:eastAsia="Segoe UI" w:hAnsi="Segoe UI"/>
          <w:color w:val="374151"/>
          <w:sz w:val="20"/>
          <w:szCs w:val="20"/>
        </w:rPr>
        <w:t xml:space="preserve">Run gap analysis (Section 5): force balance, category coverage, adjacencies, temporal mix</w:t>
      </w:r>
    </w:p>
    <w:p>
      <w:pPr>
        <w:pStyle w:val="ListParagraph"/>
        <w:numPr>
          <w:ilvl w:val="0"/>
          <w:numId w:val="3"/>
        </w:numPr>
        <w:spacing w:after="80"/>
      </w:pPr>
      <w:r>
        <w:rPr>
          <w:rFonts w:ascii="Segoe UI" w:cs="Segoe UI" w:eastAsia="Segoe UI" w:hAnsi="Segoe UI"/>
          <w:color w:val="374151"/>
          <w:sz w:val="20"/>
          <w:szCs w:val="20"/>
        </w:rPr>
        <w:t xml:space="preserve">Execute Delphi 3-round expert validation (Section 2, Step 6)</w:t>
      </w:r>
    </w:p>
    <w:p>
      <w:pPr>
        <w:pStyle w:val="ListParagraph"/>
        <w:numPr>
          <w:ilvl w:val="0"/>
          <w:numId w:val="3"/>
        </w:numPr>
        <w:spacing w:after="80"/>
      </w:pPr>
      <w:r>
        <w:rPr>
          <w:rFonts w:ascii="Segoe UI" w:cs="Segoe UI" w:eastAsia="Segoe UI" w:hAnsi="Segoe UI"/>
          <w:color w:val="374151"/>
          <w:sz w:val="20"/>
          <w:szCs w:val="20"/>
        </w:rPr>
        <w:t xml:space="preserve">Import validated trends into PULSE database and run Monte Carlo simulation</w:t>
      </w:r>
    </w:p>
    <w:p>
      <w:pPr>
        <w:pStyle w:val="ListParagraph"/>
        <w:numPr>
          <w:ilvl w:val="0"/>
          <w:numId w:val="3"/>
        </w:numPr>
        <w:spacing w:after="80"/>
      </w:pPr>
      <w:r>
        <w:rPr>
          <w:rFonts w:ascii="Segoe UI" w:cs="Segoe UI" w:eastAsia="Segoe UI" w:hAnsi="Segoe UI"/>
          <w:color w:val="374151"/>
          <w:sz w:val="20"/>
          <w:szCs w:val="20"/>
        </w:rPr>
        <w:t xml:space="preserve">Export updated Shift Matrix and distribute to stakeholders</w:t>
      </w:r>
    </w:p>
    <w:p>
      <w:pPr>
        <w:pStyle w:val="ListParagraph"/>
        <w:numPr>
          <w:ilvl w:val="0"/>
          <w:numId w:val="3"/>
        </w:numPr>
        <w:spacing w:after="80"/>
      </w:pPr>
      <w:r>
        <w:rPr>
          <w:rFonts w:ascii="Segoe UI" w:cs="Segoe UI" w:eastAsia="Segoe UI" w:hAnsi="Segoe UI"/>
          <w:color w:val="374151"/>
          <w:sz w:val="20"/>
          <w:szCs w:val="20"/>
        </w:rPr>
        <w:t xml:space="preserve">Archive previous version and document all changes in audit log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6B7280"/>
        <w:sz w:val="14"/>
        <w:szCs w:val="14"/>
      </w:rPr>
      <w:t xml:space="preserve">CONFIDENTIAL  |  Page </w:t>
    </w:r>
    <w:r>
      <w:rPr>
        <w:rFonts w:ascii="Segoe UI" w:cs="Segoe UI" w:eastAsia="Segoe UI" w:hAnsi="Segoe UI"/>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000F" w:sz="2" w:space="4"/>
      </w:pBdr>
    </w:pPr>
    <w:r>
      <w:rPr>
        <w:rFonts w:ascii="Segoe UI" w:cs="Segoe UI" w:eastAsia="Segoe UI" w:hAnsi="Segoe UI"/>
        <w:i/>
        <w:iCs/>
        <w:color w:val="6B7280"/>
        <w:sz w:val="16"/>
        <w:szCs w:val="16"/>
      </w:rPr>
      <w:t xml:space="preserve">PULSE Trend Research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360"/>
      </w:pPr>
    </w:lvl>
  </w:abstractNum>
  <w:abstractNum w:abstractNumId="5"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egoe UI" w:cs="Segoe UI" w:eastAsia="Segoe UI" w:hAnsi="Segoe UI"/>
      <w:b/>
      <w:bCs/>
      <w:color w:val="0F172A"/>
      <w:sz w:val="32"/>
      <w:szCs w:val="32"/>
    </w:rPr>
  </w:style>
  <w:style w:type="paragraph" w:styleId="Heading2">
    <w:name w:val="Heading 2"/>
    <w:basedOn w:val="Normal"/>
    <w:next w:val="Normal"/>
    <w:qFormat/>
    <w:pPr>
      <w:spacing w:after="160" w:before="280"/>
      <w:outlineLvl w:val="1"/>
    </w:pPr>
    <w:rPr>
      <w:rFonts w:ascii="Segoe UI" w:cs="Segoe UI" w:eastAsia="Segoe UI" w:hAnsi="Segoe UI"/>
      <w:b/>
      <w:bCs/>
      <w:color w:val="E1000F"/>
      <w:sz w:val="26"/>
      <w:szCs w:val="26"/>
    </w:rPr>
  </w:style>
  <w:style w:type="paragraph" w:styleId="Heading3">
    <w:name w:val="Heading 3"/>
    <w:basedOn w:val="Normal"/>
    <w:next w:val="Normal"/>
    <w:qFormat/>
    <w:pPr>
      <w:spacing w:after="120" w:before="200"/>
      <w:outlineLvl w:val="2"/>
    </w:pPr>
    <w:rPr>
      <w:rFonts w:ascii="Segoe UI" w:cs="Segoe UI" w:eastAsia="Segoe UI" w:hAnsi="Segoe U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2026-03-31T12:34:05.435Z</dcterms:created>
  <dcterms:modified xsi:type="dcterms:W3CDTF">2026-03-31T12:34:05.435Z</dcterms:modified>
</cp:coreProperties>
</file>

<file path=docProps/custom.xml><?xml version="1.0" encoding="utf-8"?>
<Properties xmlns="http://schemas.openxmlformats.org/officeDocument/2006/custom-properties" xmlns:vt="http://schemas.openxmlformats.org/officeDocument/2006/docPropsVTypes"/>
</file>