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left"/>
      </w:pPr>
      <w:r>
        <w:rPr>
          <w:rFonts w:ascii="Arial" w:cs="Arial" w:eastAsia="Arial" w:hAnsi="Arial"/>
          <w:b/>
          <w:bCs/>
          <w:color w:val="0F172A"/>
          <w:sz w:val="72"/>
          <w:szCs w:val="72"/>
        </w:rPr>
        <w:t xml:space="preserve">PULSE</w:t>
      </w:r>
    </w:p>
    <w:p>
      <w:pPr>
        <w:spacing w:after="120"/>
        <w:jc w:val="left"/>
      </w:pPr>
      <w:r>
        <w:rPr>
          <w:rFonts w:ascii="Arial" w:cs="Arial" w:eastAsia="Arial" w:hAnsi="Arial"/>
          <w:color w:val="334155"/>
          <w:sz w:val="28"/>
          <w:szCs w:val="28"/>
        </w:rPr>
        <w:t xml:space="preserve">Profit Pool Unified Landscape Simulation Engine</w:t>
      </w:r>
    </w:p>
    <w:p>
      <w:pPr>
        <w:spacing w:after="300"/>
      </w:pPr>
    </w:p>
    <w:p>
      <w:pPr>
        <w:pBdr>
          <w:top w:val="single" w:color="C9A84C" w:sz="6" w:space="1"/>
        </w:pBdr>
        <w:spacing w:after="200" w:before="200"/>
      </w:pPr>
    </w:p>
    <w:p>
      <w:pPr>
        <w:spacing w:after="100"/>
      </w:pPr>
    </w:p>
    <w:p>
      <w:r>
        <w:rPr>
          <w:rFonts w:ascii="Arial" w:cs="Arial" w:eastAsia="Arial" w:hAnsi="Arial"/>
          <w:b/>
          <w:bCs/>
          <w:color w:val="0F172A"/>
          <w:sz w:val="32"/>
          <w:szCs w:val="32"/>
        </w:rPr>
        <w:t xml:space="preserve">COMPREHENSIVE TECHNICAL &amp; STRATEGIC AUDIT</w:t>
      </w:r>
    </w:p>
    <w:p>
      <w:pPr>
        <w:spacing w:after="80"/>
      </w:pPr>
      <w:r>
        <w:rPr>
          <w:rFonts w:ascii="Arial" w:cs="Arial" w:eastAsia="Arial" w:hAnsi="Arial"/>
          <w:color w:val="64748B"/>
          <w:sz w:val="22"/>
          <w:szCs w:val="22"/>
        </w:rPr>
        <w:t xml:space="preserve">Bain Senior Partner Assessment for DAX-40 FMCG Client Readiness</w:t>
      </w:r>
    </w:p>
    <w:p>
      <w:pPr>
        <w:spacing w:after="600"/>
      </w:pPr>
    </w:p>
    <w:p>
      <w:r>
        <w:rPr>
          <w:rFonts w:ascii="Arial" w:cs="Arial" w:eastAsia="Arial" w:hAnsi="Arial"/>
          <w:b/>
          <w:bCs/>
          <w:color w:val="DC2626"/>
          <w:sz w:val="20"/>
          <w:szCs w:val="20"/>
        </w:rPr>
        <w:t xml:space="preserve">CONFIDENTIAL</w:t>
      </w:r>
    </w:p>
    <w:p>
      <w:pPr>
        <w:spacing w:after="100"/>
      </w:pPr>
    </w:p>
    <w:p>
      <w:r>
        <w:rPr>
          <w:rFonts w:ascii="Arial" w:cs="Arial" w:eastAsia="Arial" w:hAnsi="Arial"/>
          <w:color w:val="64748B"/>
          <w:sz w:val="20"/>
          <w:szCs w:val="20"/>
        </w:rPr>
        <w:t xml:space="preserve">Prepared: March 26, 2026</w:t>
      </w:r>
    </w:p>
    <w:p>
      <w:r>
        <w:rPr>
          <w:rFonts w:ascii="Arial" w:cs="Arial" w:eastAsia="Arial" w:hAnsi="Arial"/>
          <w:color w:val="64748B"/>
          <w:sz w:val="20"/>
          <w:szCs w:val="20"/>
        </w:rPr>
        <w:t xml:space="preserve">Version: 2.0.0 Audit</w:t>
      </w:r>
    </w:p>
    <w:p>
      <w:r>
        <w:rPr>
          <w:rFonts w:ascii="Arial" w:cs="Arial" w:eastAsia="Arial" w:hAnsi="Arial"/>
          <w:color w:val="64748B"/>
          <w:sz w:val="20"/>
          <w:szCs w:val="20"/>
        </w:rPr>
        <w:t xml:space="preserve">Classification: Internal Use Only</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3"/>
              <w:left w:val="single" w:color="C9A84C" w:sz="3"/>
              <w:bottom w:val="single" w:color="C9A84C" w:sz="3"/>
              <w:right w:val="single" w:color="C9A84C" w:sz="3"/>
            </w:tcBorders>
            <w:shd w:fill="FFFBEB" w:val="clear"/>
            <w:tcMar>
              <w:top w:type="dxa" w:w="160"/>
              <w:left w:type="dxa" w:w="200"/>
              <w:bottom w:type="dxa" w:w="160"/>
              <w:right w:type="dxa" w:w="200"/>
            </w:tcMar>
          </w:tcPr>
          <w:p>
            <w:pPr>
              <w:spacing w:after="80"/>
            </w:pPr>
            <w:r>
              <w:rPr>
                <w:rFonts w:ascii="Arial" w:cs="Arial" w:eastAsia="Arial" w:hAnsi="Arial"/>
                <w:b/>
                <w:bCs/>
                <w:color w:val="C9A84C"/>
                <w:sz w:val="22"/>
                <w:szCs w:val="22"/>
              </w:rPr>
              <w:t xml:space="preserve">OVERALL VERDICT</w:t>
            </w:r>
          </w:p>
          <w:p>
            <w:pPr>
              <w:spacing w:after="80"/>
            </w:pPr>
            <w:r>
              <w:rPr>
                <w:rFonts w:ascii="Arial" w:cs="Arial" w:eastAsia="Arial" w:hAnsi="Arial"/>
                <w:sz w:val="22"/>
                <w:szCs w:val="22"/>
              </w:rPr>
              <w:t xml:space="preserve">PULSE is an architecturally sound, intellectually ambitious platform that is approximately 55% complete. The core simulation engine (Bayesian MC + Causal DAG + Continuous Paths) is production-quality and represents genuine analytical innovation. However, the gap between the v2.1 specification and the current implementation is significant: zero test coverage, multiple stubbed modules, an empty integrations layer, and a dashboard running entirely on mock data. In its current state, it would not pass a Bain Quality Review for client delivery.</w:t>
            </w:r>
          </w:p>
          <w:p>
            <w:pPr>
              <w:spacing w:after="120" w:line="276"/>
            </w:pPr>
            <w:r>
              <w:rPr>
                <w:rFonts w:ascii="Arial" w:cs="Arial" w:eastAsia="Arial" w:hAnsi="Arial"/>
                <w:sz w:val="22"/>
                <w:szCs w:val="22"/>
              </w:rPr>
              <w:t xml:space="preserve">The path to production-readiness requires </w:t>
            </w:r>
            <w:r>
              <w:rPr>
                <w:rFonts w:ascii="Arial" w:cs="Arial" w:eastAsia="Arial" w:hAnsi="Arial"/>
                <w:b/>
                <w:bCs/>
                <w:sz w:val="22"/>
                <w:szCs w:val="22"/>
              </w:rPr>
              <w:t xml:space="preserve">4-6 weeks of focused engineering</w:t>
            </w:r>
            <w:r>
              <w:rPr>
                <w:rFonts w:ascii="Arial" w:cs="Arial" w:eastAsia="Arial" w:hAnsi="Arial"/>
                <w:sz w:val="22"/>
                <w:szCs w:val="22"/>
              </w:rPr>
              <w:t xml:space="preserve">, not a redesign. The architecture is right; the execution needs completion.</w:t>
            </w:r>
          </w:p>
        </w:tc>
      </w:tr>
    </w:tbl>
    <w:p>
      <w:pPr>
        <w:spacing w:after="200"/>
      </w:pPr>
    </w:p>
    <w:p>
      <w:pPr>
        <w:pStyle w:val="Heading2"/>
      </w:pPr>
      <w:r>
        <w:t xml:space="preserve">Audit Scope &amp; Methodology</w:t>
      </w:r>
    </w:p>
    <w:p>
      <w:pPr>
        <w:spacing w:after="120" w:line="276"/>
      </w:pPr>
      <w:r>
        <w:rPr>
          <w:rFonts w:ascii="Arial" w:cs="Arial" w:eastAsia="Arial" w:hAnsi="Arial"/>
          <w:sz w:val="22"/>
          <w:szCs w:val="22"/>
        </w:rPr>
        <w:t xml:space="preserve">This audit was conducted through exhaustive line-by-line code review of every Python module (6,656 LOC across 21 modules), every React component (4,600+ LOC across 15 components), the full dependency tree (47 packages), database schema, API specification (40+ endpoints), and configuration system. The assessment uses three lenses: (1) Technical quality and completeness, (2) Strategic fitness for a DAX-40 FMCG client, and (3) The Bain Senior Partner Test from the PULSE specification itself.</w:t>
      </w:r>
    </w:p>
    <w:p>
      <w:pPr>
        <w:spacing w:after="100"/>
      </w:pPr>
    </w:p>
    <w:p>
      <w:pPr>
        <w:pStyle w:val="Heading2"/>
      </w:pPr>
      <w:r>
        <w:t xml:space="preserve">Headline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1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1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Score</w:t>
            </w:r>
          </w:p>
        </w:tc>
        <w:tc>
          <w:tcPr>
            <w:tcW w:type="dxa" w:w="37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Finding</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Simulation Engine</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16A34A"/>
                <w:sz w:val="20"/>
                <w:szCs w:val="20"/>
              </w:rPr>
              <w:t xml:space="preserve">PRODUCTION</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90%</w:t>
            </w:r>
          </w:p>
        </w:tc>
        <w:tc>
          <w:tcPr>
            <w:tcW w:type="dxa" w:w="37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Bayesian MC + copula + causal DAG fully functional</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Financial Firewall</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16A34A"/>
                <w:sz w:val="20"/>
                <w:szCs w:val="20"/>
              </w:rPr>
              <w:t xml:space="preserve">PRODUCTION</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95%</w:t>
            </w:r>
          </w:p>
        </w:tc>
        <w:tc>
          <w:tcPr>
            <w:tcW w:type="dxa" w:w="37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Three-layer defense, no bypass vectors identified</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Ingestion (V12 Reader)</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16A34A"/>
                <w:sz w:val="20"/>
                <w:szCs w:val="20"/>
              </w:rPr>
              <w:t xml:space="preserve">PRODUCTION</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95%</w:t>
            </w:r>
          </w:p>
        </w:tc>
        <w:tc>
          <w:tcPr>
            <w:tcW w:type="dxa" w:w="37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Robust flexible parser, auto-detects schema</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Causal DAG</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16A34A"/>
                <w:sz w:val="20"/>
                <w:szCs w:val="20"/>
              </w:rPr>
              <w:t xml:space="preserve">PRODUCTION</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95%</w:t>
            </w:r>
          </w:p>
        </w:tc>
        <w:tc>
          <w:tcPr>
            <w:tcW w:type="dxa" w:w="37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16 edges, lag structure, shock propagation</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Paths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2563EB"/>
                <w:sz w:val="20"/>
                <w:szCs w:val="20"/>
              </w:rPr>
              <w:t xml:space="preserve">FUNCTIONAL</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85%</w:t>
            </w:r>
          </w:p>
        </w:tc>
        <w:tc>
          <w:tcPr>
            <w:tcW w:type="dxa" w:w="37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5-year paths, velocity, force-specific curves</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Scenarios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2563EB"/>
                <w:sz w:val="20"/>
                <w:szCs w:val="20"/>
              </w:rPr>
              <w:t xml:space="preserve">FUNCTIONAL</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80%</w:t>
            </w:r>
          </w:p>
        </w:tc>
        <w:tc>
          <w:tcPr>
            <w:tcW w:type="dxa" w:w="37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7 built-in, DAG propagation, no custom builder</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Resource Allocator</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PARTIAL</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60%</w:t>
            </w:r>
          </w:p>
        </w:tc>
        <w:tc>
          <w:tcPr>
            <w:tcW w:type="dxa" w:w="37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Mean-variance setup correct, scipy call missing</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Game Theory</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20"/>
                <w:szCs w:val="20"/>
              </w:rPr>
              <w:t xml:space="preserve">STUB</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30%</w:t>
            </w:r>
          </w:p>
        </w:tc>
        <w:tc>
          <w:tcPr>
            <w:tcW w:type="dxa" w:w="37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Competitor profiles defined, zero logic</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Backtesting</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20"/>
                <w:szCs w:val="20"/>
              </w:rPr>
              <w:t xml:space="preserve">STUB</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37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Dataclasses only, no calibration logic</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Delphi Elicitation</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20"/>
                <w:szCs w:val="20"/>
              </w:rPr>
              <w:t xml:space="preserve">STUB</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25%</w:t>
            </w:r>
          </w:p>
        </w:tc>
        <w:tc>
          <w:tcPr>
            <w:tcW w:type="dxa" w:w="37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Framework exists, no orchestration</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War Room Dashboard</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2563EB"/>
                <w:sz w:val="20"/>
                <w:szCs w:val="20"/>
              </w:rPr>
              <w:t xml:space="preserve">FUNCTIONAL</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85%</w:t>
            </w:r>
          </w:p>
        </w:tc>
        <w:tc>
          <w:tcPr>
            <w:tcW w:type="dxa" w:w="37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13 components, Apple-grade design, mock data only</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FastAPI Server</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2563EB"/>
                <w:sz w:val="20"/>
                <w:szCs w:val="20"/>
              </w:rPr>
              <w:t xml:space="preserve">FUNCTIONAL</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70%</w:t>
            </w:r>
          </w:p>
        </w:tc>
        <w:tc>
          <w:tcPr>
            <w:tcW w:type="dxa" w:w="37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40+ endpoints, some return stubs</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AI Layer</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20"/>
                <w:szCs w:val="20"/>
              </w:rPr>
              <w:t xml:space="preserve">STUB</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20%</w:t>
            </w:r>
          </w:p>
        </w:tc>
        <w:tc>
          <w:tcPr>
            <w:tcW w:type="dxa" w:w="37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Provider abstraction done, all methods return TODO</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External Integrations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20"/>
                <w:szCs w:val="20"/>
              </w:rPr>
              <w:t xml:space="preserve">MISSING</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0%</w:t>
            </w:r>
          </w:p>
        </w:tc>
        <w:tc>
          <w:tcPr>
            <w:tcW w:type="dxa" w:w="37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Empty directory, zero API modules written</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Test Suite</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20"/>
                <w:szCs w:val="20"/>
              </w:rPr>
              <w:t xml:space="preserve">MISSING</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0%</w:t>
            </w:r>
          </w:p>
        </w:tc>
        <w:tc>
          <w:tcPr>
            <w:tcW w:type="dxa" w:w="37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Zero test files exist</w:t>
            </w:r>
          </w:p>
        </w:tc>
      </w:tr>
      <w:tr>
        <w:tc>
          <w:tcPr>
            <w:tcW w:type="dxa" w:w="3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Power BI Export</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PARTIAL</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40%</w:t>
            </w:r>
          </w:p>
        </w:tc>
        <w:tc>
          <w:tcPr>
            <w:tcW w:type="dxa" w:w="37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JSON structure designed, no API push</w:t>
            </w:r>
          </w:p>
        </w:tc>
      </w:tr>
    </w:tbl>
    <w:p>
      <w:r>
        <w:br w:type="page"/>
      </w:r>
    </w:p>
    <w:p>
      <w:pPr>
        <w:pStyle w:val="Heading1"/>
      </w:pPr>
      <w:r>
        <w:t xml:space="preserve">1. What Works Brilliantly</w:t>
      </w:r>
    </w:p>
    <w:p>
      <w:pPr>
        <w:spacing w:after="120" w:line="276"/>
      </w:pPr>
      <w:r>
        <w:rPr>
          <w:rFonts w:ascii="Arial" w:cs="Arial" w:eastAsia="Arial" w:hAnsi="Arial"/>
          <w:sz w:val="22"/>
          <w:szCs w:val="22"/>
        </w:rPr>
        <w:t xml:space="preserve">Before critiquing gaps, it is essential to acknowledge what the engineering team built exceptionally well. These components would survive scrutiny from McKinsey QuantumBlack or Bain GAMMA.</w:t>
      </w:r>
    </w:p>
    <w:p>
      <w:pPr>
        <w:pStyle w:val="Heading2"/>
      </w:pPr>
      <w:r>
        <w:t xml:space="preserve">1.1 The Bayesian Monte Carlo Engine</w:t>
      </w:r>
    </w:p>
    <w:p>
      <w:pPr>
        <w:spacing w:after="120" w:line="276"/>
      </w:pPr>
      <w:r>
        <w:rPr>
          <w:rFonts w:ascii="Arial" w:cs="Arial" w:eastAsia="Arial" w:hAnsi="Arial"/>
          <w:sz w:val="22"/>
          <w:szCs w:val="22"/>
        </w:rPr>
        <w:t xml:space="preserve">The simulation engine (bayesian_mc.py, 500+ LOC) implements a genuine Bayesian hierarchical model with copula-based dependencies. This is not a toy Monte Carlo with triangular distributions. Key technical achievements include Beta posterior priors that update with evidence, a Gaussian copula for normal-times correlation (within-force rho of 0.3), a t-copula with 4 degrees of freedom for tail dependence (the critical insight that in crises, correlations spike), Cholesky decomposition with eigenvalue fallback for robustness, and Gelman-Rubin convergence diagnostics. The architecture correctly models that when government regulation tightens, the impact on technology costs and consumer behavior is not independent but structurally correlated through heavy tails.</w:t>
      </w:r>
    </w:p>
    <w:p>
      <w:pPr>
        <w:pStyle w:val="Heading2"/>
      </w:pPr>
      <w:r>
        <w:t xml:space="preserve">1.2 The Causal DAG</w:t>
      </w:r>
    </w:p>
    <w:p>
      <w:pPr>
        <w:spacing w:after="120" w:line="276"/>
      </w:pPr>
      <w:r>
        <w:rPr>
          <w:rFonts w:ascii="Arial" w:cs="Arial" w:eastAsia="Arial" w:hAnsi="Arial"/>
          <w:sz w:val="22"/>
          <w:szCs w:val="22"/>
        </w:rPr>
        <w:t xml:space="preserve">The directed acyclic graph (dag.py, 218 LOC) encodes 16 causal edges between the 6 strategic forces with propagation weights (0.3-0.6), lag structures (0-2 years), documented mechanisms, and evidence strength ratings. The shock propagation algorithm correctly handles multi-year lag structures. This means a regulatory shock in Year 1 propagates to technology costs in Year 2 and shelf prices in Year 3, producing fundamentally different scenario signatures than an independent-force model. This is the core intellectual innovation that distinguishes PULSE from standard Monte Carlo tools.</w:t>
      </w:r>
    </w:p>
    <w:p>
      <w:pPr>
        <w:pStyle w:val="Heading2"/>
      </w:pPr>
      <w:r>
        <w:t xml:space="preserve">1.3 The Financial Data Firewall</w:t>
      </w:r>
    </w:p>
    <w:p>
      <w:pPr>
        <w:spacing w:after="120" w:line="276"/>
      </w:pPr>
      <w:r>
        <w:rPr>
          <w:rFonts w:ascii="Arial" w:cs="Arial" w:eastAsia="Arial" w:hAnsi="Arial"/>
          <w:sz w:val="22"/>
          <w:szCs w:val="22"/>
        </w:rPr>
        <w:t xml:space="preserve">The three-layer firewall (firewall.py, 150+ LOC) implements defense-in-depth: column header scanning against 20+ financial keywords, numeric value thresholds (anything above 50 is flagged, since scores are 1-5), and text pattern matching via regex for currency symbols and financial terminology. This is security by architecture, not by policy. The bright line between relative percentage shifts and absolute Euro figures is enforced at the data layer, not just documented in a spec.</w:t>
      </w:r>
    </w:p>
    <w:p>
      <w:pPr>
        <w:pStyle w:val="Heading2"/>
      </w:pPr>
      <w:r>
        <w:t xml:space="preserve">1.4 The War Room Dashboard</w:t>
      </w:r>
    </w:p>
    <w:p>
      <w:pPr>
        <w:spacing w:after="120" w:line="276"/>
      </w:pPr>
      <w:r>
        <w:rPr>
          <w:rFonts w:ascii="Arial" w:cs="Arial" w:eastAsia="Arial" w:hAnsi="Arial"/>
          <w:sz w:val="22"/>
          <w:szCs w:val="22"/>
        </w:rPr>
        <w:t xml:space="preserve">The React dashboard (13 components, 4,600+ LOC) achieves genuine Apple-grade design quality. The dark navy color system, glassmorphism panels, Framer Motion spring animations at 60fps, and contextual drill-down architecture deliver the single-view War Room concept from the specification. The heatmap, path timeline with confidence bands, causal flow SVG with shock propagation, force waterfall decomposition, and trend explorer with inline editing are all production-quality components. However, the dashboard currently runs entirely on mock data generated within WarRoom.jsx, not from the FastAPI backend.</w:t>
      </w:r>
    </w:p>
    <w:p>
      <w:r>
        <w:br w:type="page"/>
      </w:r>
    </w:p>
    <w:p>
      <w:pPr>
        <w:pStyle w:val="Heading1"/>
      </w:pPr>
      <w:r>
        <w:t xml:space="preserve">2. Critical Findings: What Must Change</w:t>
      </w:r>
    </w:p>
    <w:p>
      <w:pPr>
        <w:pStyle w:val="Heading2"/>
      </w:pPr>
      <w:r>
        <w:t xml:space="preserve">2.1 Finding #1: Zero Test Coverage (Severity: CRITICAL)</w:t>
      </w:r>
    </w:p>
    <w:p>
      <w:pPr>
        <w:spacing w:after="120" w:line="276"/>
      </w:pPr>
      <w:r>
        <w:rPr>
          <w:rFonts w:ascii="Arial" w:cs="Arial" w:eastAsia="Arial" w:hAnsi="Arial"/>
          <w:b/>
          <w:bCs/>
          <w:sz w:val="22"/>
          <w:szCs w:val="22"/>
        </w:rPr>
        <w:t xml:space="preserve">The tests/ directory is completely empty. </w:t>
      </w:r>
      <w:r>
        <w:rPr>
          <w:rFonts w:ascii="Arial" w:cs="Arial" w:eastAsia="Arial" w:hAnsi="Arial"/>
          <w:sz w:val="22"/>
          <w:szCs w:val="22"/>
        </w:rPr>
        <w:t xml:space="preserve">Not a single unit test, integration test, security test, or property-based test exists. For a tool that will inform multi-million-Euro category allocation decisions at a DAX-40 company, this is disqualifying. The specification itself mandates security tests (financial firewall validation), parity tests (V12 matching within 0.01 percentage points), statistical tests (Monte Carlo convergence with Gelman-Rubin R-hat below 1.05), causal tests (shock propagation respects lag), and integration tests (full pipeline end-to-end).</w:t>
      </w: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Before any new feature development, write a comprehensive test suite. Target 80%+ line coverage on the simulation engine, 100% coverage on the firewall, and end-to-end integration tests. Estimated effort: 40-50 engineer-hours. This is non-negotiable for client delivery.</w:t>
      </w:r>
    </w:p>
    <w:p>
      <w:pPr>
        <w:pStyle w:val="Heading2"/>
      </w:pPr>
      <w:r>
        <w:t xml:space="preserve">2.2 Finding #2: Backtesting Engine is a Stub (Severity: CRITICAL)</w:t>
      </w:r>
    </w:p>
    <w:p>
      <w:pPr>
        <w:spacing w:after="120" w:line="276"/>
      </w:pPr>
      <w:r>
        <w:rPr>
          <w:rFonts w:ascii="Arial" w:cs="Arial" w:eastAsia="Arial" w:hAnsi="Arial"/>
          <w:sz w:val="22"/>
          <w:szCs w:val="22"/>
        </w:rPr>
        <w:t xml:space="preserve">The specification positions backtesting as Phase 0, meaning it must run before any prediction is made to earn model credibility. The current implementation contains only dataclass definitions and a docstring. No historical version loading, no attenuation calibration, no distribution fitting, no accuracy scoring. This means the default attenuation factor of 0.5 is assumed, not empirically derived. No ExCo will trust a model that cannot demonstrate historical accuracy.</w:t>
      </w: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If V1-V11 historical versions exist, implement the calibration pipeline immediately. If they do not exist, prominently label all outputs as prior-driven with assumed parameters, and implement a forward-looking validation framework that tracks prediction accuracy starting from first use.</w:t>
      </w:r>
    </w:p>
    <w:p>
      <w:pPr>
        <w:pStyle w:val="Heading2"/>
      </w:pPr>
      <w:r>
        <w:t xml:space="preserve">2.3 Finding #3: Dashboard Runs on Mock Data (Severity: HIGH)</w:t>
      </w:r>
    </w:p>
    <w:p>
      <w:pPr>
        <w:spacing w:after="120" w:line="276"/>
      </w:pPr>
      <w:r>
        <w:rPr>
          <w:rFonts w:ascii="Arial" w:cs="Arial" w:eastAsia="Arial" w:hAnsi="Arial"/>
          <w:sz w:val="22"/>
          <w:szCs w:val="22"/>
        </w:rPr>
        <w:t xml:space="preserve">The War Room dashboard looks production-ready but is functionally a design prototype. The WarRoom.jsx component contains a generateMockData() function that creates realistic-looking but entirely fabricated data: random shift paths, random force contributions, 35 hardcoded trend descriptions. The usePulse() hook connects to the FastAPI backend, but multiple API endpoints return stubs or incomplete responses. The dashboard has never been validated against actual PULSE simulation output.</w:t>
      </w: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Complete the FastAPI endpoint implementations and remove mock data generation. Run a V12 ingestion through the full pipeline and verify the dashboard renders actual simulation results correctly. This is the single highest-impact integration task.</w:t>
      </w:r>
    </w:p>
    <w:p>
      <w:pPr>
        <w:pStyle w:val="Heading2"/>
      </w:pPr>
      <w:r>
        <w:t xml:space="preserve">2.4 Finding #4: The Optimizer Does Not Optimize (Severity: HIGH)</w:t>
      </w:r>
    </w:p>
    <w:p>
      <w:pPr>
        <w:spacing w:after="120" w:line="276"/>
      </w:pPr>
      <w:r>
        <w:rPr>
          <w:rFonts w:ascii="Arial" w:cs="Arial" w:eastAsia="Arial" w:hAnsi="Arial"/>
          <w:sz w:val="22"/>
          <w:szCs w:val="22"/>
        </w:rPr>
        <w:t xml:space="preserve">The resource allocation optimizer (allocation.py, 170 LOC) correctly defines the mean-variance objective function, constructs the covariance matrix with within-business-unit correlation, and sets up constraint bounds. Then the function ends. The scipy.optimize.minimize() call is never made. The function literally does not return results. This means the allocation recommendations shown in the dashboard are mock data, and the CLI pipeline silently skips optimization.</w:t>
      </w: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This is a 20-minute fix: add the scipy minimize call, implement the turnover constraint, and return the optimized weights. The hardest part (objective function design) is already done correctly.</w:t>
      </w:r>
    </w:p>
    <w:p>
      <w:pPr>
        <w:pStyle w:val="Heading2"/>
      </w:pPr>
      <w:r>
        <w:t xml:space="preserve">2.5 Finding #5: Game Theory Layer is Non-Functional (Severity: MEDIUM-HIGH)</w:t>
      </w:r>
    </w:p>
    <w:p>
      <w:pPr>
        <w:spacing w:after="120" w:line="276"/>
      </w:pPr>
      <w:r>
        <w:rPr>
          <w:rFonts w:ascii="Arial" w:cs="Arial" w:eastAsia="Arial" w:hAnsi="Arial"/>
          <w:sz w:val="22"/>
          <w:szCs w:val="22"/>
        </w:rPr>
        <w:t xml:space="preserve">Three competitor profiles (P&amp;G, Unilever, Reckitt) are defined with archetypes and response patterns, and 15 response-to-pool-effect mappings exist. But the core methods, estimate_competitive_response() and competitive_equilibrium(), contain only pass statements. The iterative Nash-like equilibrium solver described in the specification does not exist. This matters because profit pool shifts without competitive response modeling are first-order estimates only. In FMCG, a price war triggered by one player restructures the entire pool. The specification correctly identifies this as a key differentiator.</w:t>
      </w: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Implement a simplified Cournot-style equilibrium model. Full Nash equilibrium is computationally expensive and likely over-engineered for this use case. A 3-iteration response loop where each competitor adjusts to the current shift profile would capture 80% of the strategic value.</w:t>
      </w:r>
    </w:p>
    <w:p>
      <w:pPr>
        <w:pStyle w:val="Heading2"/>
      </w:pPr>
      <w:r>
        <w:t xml:space="preserve">2.6 Finding #6: External API Integrations Do Not Exist (Severity: MEDIUM)</w:t>
      </w:r>
    </w:p>
    <w:p>
      <w:pPr>
        <w:spacing w:after="120" w:line="276"/>
      </w:pPr>
      <w:r>
        <w:rPr>
          <w:rFonts w:ascii="Arial" w:cs="Arial" w:eastAsia="Arial" w:hAnsi="Arial"/>
          <w:sz w:val="22"/>
          <w:szCs w:val="22"/>
        </w:rPr>
        <w:t xml:space="preserve">The specification proudly describes 19 free APIs with zero running cost. The requirements.txt installs 7 Python packages for these APIs (gdeltdoc, pytrends, praw, fredapi, etc.). The pulse/integrations/ directory is completely empty. Not a single API integration module has been written. This means the AI trend scanner (which depends on GDELT, GNews, RSS feeds, regulatory APIs) cannot function even if the AI layer were complete.</w:t>
      </w: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Prioritize the no-key-required integrations first: GDELT (global news volume), EUR-Lex (EU regulation), ECHA (chemical regulation), World Bank (macro data), SEC EDGAR (competitor filings). These provide immediate analytical value with zero registration overhead. Budget 3-4 hours per integration module.</w:t>
      </w:r>
    </w:p>
    <w:p>
      <w:pPr>
        <w:pStyle w:val="Heading2"/>
      </w:pPr>
      <w:r>
        <w:t xml:space="preserve">2.7 Finding #7: AI Layer Returns Placeholder Text (Severity: MEDIUM)</w:t>
      </w:r>
    </w:p>
    <w:p>
      <w:pPr>
        <w:spacing w:after="120" w:line="276"/>
      </w:pPr>
      <w:r>
        <w:rPr>
          <w:rFonts w:ascii="Arial" w:cs="Arial" w:eastAsia="Arial" w:hAnsi="Arial"/>
          <w:sz w:val="22"/>
          <w:szCs w:val="22"/>
        </w:rPr>
        <w:t xml:space="preserve">The LLMProvider abstraction is well-designed with a clean ABC, factory function, and config-based provider switching. However, ClaudeProvider.complete() returns the string TODO: Claude API not yet implemented, and AzureOpenAIProvider.complete() returns similarly. All four feature modules (scanner, calibrator, narrator, chat) contain method signatures with docstrings but no implementation. The AI layer is architecturally sound but functionally inert.</w:t>
      </w:r>
    </w:p>
    <w:p>
      <w:pPr>
        <w:spacing w:after="120" w:line="276"/>
      </w:pPr>
      <w:r>
        <w:rPr>
          <w:rFonts w:ascii="Arial" w:cs="Arial" w:eastAsia="Arial" w:hAnsi="Arial"/>
          <w:b/>
          <w:bCs/>
          <w:sz w:val="22"/>
          <w:szCs w:val="22"/>
        </w:rPr>
        <w:t xml:space="preserve">Recommendation: </w:t>
      </w:r>
      <w:r>
        <w:rPr>
          <w:rFonts w:ascii="Arial" w:cs="Arial" w:eastAsia="Arial" w:hAnsi="Arial"/>
          <w:sz w:val="22"/>
          <w:szCs w:val="22"/>
        </w:rPr>
        <w:t xml:space="preserve">For MVP, implement only the Claude provider (since the Anthropic SDK is already imported) and focus on two high-value features: (1) the trend scanner with RSS feed parsing, and (2) the scenario narrator that generates causal explanations of shift matrices. Chat and calibrator can wait for Phase 3.</w:t>
      </w:r>
    </w:p>
    <w:p>
      <w:r>
        <w:br w:type="page"/>
      </w:r>
    </w:p>
    <w:p>
      <w:pPr>
        <w:pStyle w:val="Heading1"/>
      </w:pPr>
      <w:r>
        <w:t xml:space="preserve">3. Architectural Recommendations</w:t>
      </w:r>
    </w:p>
    <w:p>
      <w:pPr>
        <w:pStyle w:val="Heading2"/>
      </w:pPr>
      <w:r>
        <w:t xml:space="preserve">3.1 Fix the Sensitivity Analysis Return Bug</w:t>
      </w:r>
    </w:p>
    <w:p>
      <w:pPr>
        <w:spacing w:after="120" w:line="276"/>
      </w:pPr>
      <w:r>
        <w:rPr>
          <w:rFonts w:ascii="Arial" w:cs="Arial" w:eastAsia="Arial" w:hAnsi="Arial"/>
          <w:sz w:val="22"/>
          <w:szCs w:val="22"/>
        </w:rPr>
        <w:t xml:space="preserve">The tornado_analysis() function in sensitivity.py computes sensitivity values correctly but is missing a return statement. The function ends after appending results to a list that is never returned. This is a one-line fix that unblocks the entire sensitivity panel in the dashboard.</w:t>
      </w:r>
    </w:p>
    <w:p>
      <w:pPr>
        <w:pStyle w:val="Heading2"/>
      </w:pPr>
      <w:r>
        <w:t xml:space="preserve">3.2 Add Database Persistence for Trends</w:t>
      </w:r>
    </w:p>
    <w:p>
      <w:pPr>
        <w:spacing w:after="120" w:line="276"/>
      </w:pPr>
      <w:r>
        <w:rPr>
          <w:rFonts w:ascii="Arial" w:cs="Arial" w:eastAsia="Arial" w:hAnsi="Arial"/>
          <w:sz w:val="22"/>
          <w:szCs w:val="22"/>
        </w:rPr>
        <w:t xml:space="preserve">The SQLite schema in the specification defines 10+ tables. The current implementation uses only 2 tables (audit_log, config_snapshots) created by the audit logger. Trends are held in memory via the TrendDatabase dataclass and lost on restart. For production use, trends, simulation runs, Delphi scores, and trigger states need database persistence. The schema design in the spec is solid and should be implemented as-is.</w:t>
      </w:r>
    </w:p>
    <w:p>
      <w:pPr>
        <w:pStyle w:val="Heading2"/>
      </w:pPr>
      <w:r>
        <w:t xml:space="preserve">3.3 Wire Dashboard to Backend</w:t>
      </w:r>
    </w:p>
    <w:p>
      <w:pPr>
        <w:spacing w:after="120" w:line="276"/>
      </w:pPr>
      <w:r>
        <w:rPr>
          <w:rFonts w:ascii="Arial" w:cs="Arial" w:eastAsia="Arial" w:hAnsi="Arial"/>
          <w:sz w:val="22"/>
          <w:szCs w:val="22"/>
        </w:rPr>
        <w:t xml:space="preserve">The dashboard-to-backend integration requires completing three tasks. First, ensure the POST /simulate endpoint runs a full Bayesian MC and returns properly formatted shift matrices with continuous paths and percentile distributions. Second, ensure the GET /trends endpoint returns all 60 trends with exposure scores in the format TrendExplorer.jsx expects. Third, verify that the PUT /trends/{id} endpoint triggers a re-simulation and the dashboard reflects the updated results. The api.js client and usePulse() hook are already written correctly for these endpoints.</w:t>
      </w:r>
    </w:p>
    <w:p>
      <w:pPr>
        <w:pStyle w:val="Heading2"/>
      </w:pPr>
      <w:r>
        <w:t xml:space="preserve">3.4 Implement Proper Error Boundaries in React</w:t>
      </w:r>
    </w:p>
    <w:p>
      <w:pPr>
        <w:spacing w:after="120" w:line="276"/>
      </w:pPr>
      <w:r>
        <w:rPr>
          <w:rFonts w:ascii="Arial" w:cs="Arial" w:eastAsia="Arial" w:hAnsi="Arial"/>
          <w:sz w:val="22"/>
          <w:szCs w:val="22"/>
        </w:rPr>
        <w:t xml:space="preserve">The dashboard has no React error boundary. A single rendering error in any component crashes the entire War Room. For ExCo presentations, this is unacceptable. Wrap the main WarRoom component in an error boundary that displays a graceful fallback and logs the error for debugging.</w:t>
      </w:r>
    </w:p>
    <w:p>
      <w:pPr>
        <w:pStyle w:val="Heading2"/>
      </w:pPr>
      <w:r>
        <w:t xml:space="preserve">3.5 Remove Unused Radix UI Dependencies</w:t>
      </w:r>
    </w:p>
    <w:p>
      <w:pPr>
        <w:spacing w:after="120" w:line="276"/>
      </w:pPr>
      <w:r>
        <w:rPr>
          <w:rFonts w:ascii="Arial" w:cs="Arial" w:eastAsia="Arial" w:hAnsi="Arial"/>
          <w:sz w:val="22"/>
          <w:szCs w:val="22"/>
        </w:rPr>
        <w:t xml:space="preserve">Five Radix UI packages are installed (dialog, select, slider, tabs, tooltip) but none are imported or used anywhere in the codebase. Remove them to reduce bundle size and dependency surface area, or commit to using them for Phase 3 features.</w:t>
      </w:r>
    </w:p>
    <w:p>
      <w:pPr>
        <w:pStyle w:val="Heading2"/>
      </w:pPr>
      <w:r>
        <w:t xml:space="preserve">3.6 Add Azure OpenAI to Requirements</w:t>
      </w:r>
    </w:p>
    <w:p>
      <w:pPr>
        <w:spacing w:after="120" w:line="276"/>
      </w:pPr>
      <w:r>
        <w:rPr>
          <w:rFonts w:ascii="Arial" w:cs="Arial" w:eastAsia="Arial" w:hAnsi="Arial"/>
          <w:sz w:val="22"/>
          <w:szCs w:val="22"/>
        </w:rPr>
        <w:t xml:space="preserve">The specification describes Azure OpenAI as the production provider via Henkel's Microsoft tenant, but the openai package is not in requirements.txt. This blocks the provider-swap feature that the spec calls a one-line config change. Add openai&gt;=1.5 to dependencies and implement the AzureOpenAIProvider.complete() method.</w:t>
      </w:r>
    </w:p>
    <w:p>
      <w:r>
        <w:br w:type="page"/>
      </w:r>
    </w:p>
    <w:p>
      <w:pPr>
        <w:pStyle w:val="Heading1"/>
      </w:pPr>
      <w:r>
        <w:t xml:space="preserve">4. Strategic Fit Assessment: The Bain Partner Lens</w:t>
      </w:r>
    </w:p>
    <w:p>
      <w:pPr>
        <w:pStyle w:val="Heading2"/>
      </w:pPr>
      <w:r>
        <w:t xml:space="preserve">4.1 Would a Bain Senior Partner Present This to a DAX-40 CEO?</w:t>
      </w:r>
    </w:p>
    <w:p>
      <w:pPr>
        <w:spacing w:after="120" w:line="276"/>
      </w:pPr>
      <w:r>
        <w:rPr>
          <w:rFonts w:ascii="Arial" w:cs="Arial" w:eastAsia="Arial" w:hAnsi="Arial"/>
          <w:b/>
          <w:bCs/>
          <w:sz w:val="22"/>
          <w:szCs w:val="22"/>
        </w:rPr>
        <w:t xml:space="preserve">Today: No. In 6 weeks: Yes.</w:t>
      </w:r>
      <w:r>
        <w:rPr>
          <w:rFonts w:ascii="Arial" w:cs="Arial" w:eastAsia="Arial" w:hAnsi="Arial"/>
          <w:sz w:val="22"/>
          <w:szCs w:val="22"/>
        </w:rPr>
        <w:t xml:space="preserve"> The intellectual framework is genuinely differentiated. Bayesian hierarchical models with copula tail dependence, causal DAG propagation, and continuous path modeling represent a meaningful advance over standard profit pool analysis. The War Room UX is executive-grade. The security architecture is rigorous. But a Bain partner would never present a tool with zero test coverage, stubbed analytical modules, and a dashboard running on fake data. The gap is execution, not vision.</w:t>
      </w:r>
    </w:p>
    <w:p>
      <w:pPr>
        <w:pStyle w:val="Heading2"/>
      </w:pPr>
      <w:r>
        <w:t xml:space="preserve">4.2 Would the CFO Trust the Backtesting Accuracy Score?</w:t>
      </w:r>
    </w:p>
    <w:p>
      <w:pPr>
        <w:spacing w:after="120" w:line="276"/>
      </w:pPr>
      <w:r>
        <w:rPr>
          <w:rFonts w:ascii="Arial" w:cs="Arial" w:eastAsia="Arial" w:hAnsi="Arial"/>
          <w:sz w:val="22"/>
          <w:szCs w:val="22"/>
        </w:rPr>
        <w:t xml:space="preserve">No, because it does not exist. The specification mandates a backtesting accuracy score reported with every Shift Matrix output (e.g., PULSE predicted 73% of historical shifts within the 80% confidence interval). The current implementation reports backtesting_accuracy: null. A CFO seeing this would rightfully question the entire model. Implementing backtesting against even 2-3 historical versions with public market data (Euromonitor total market sizes) would transform credibility.</w:t>
      </w:r>
    </w:p>
    <w:p>
      <w:pPr>
        <w:pStyle w:val="Heading2"/>
      </w:pPr>
      <w:r>
        <w:t xml:space="preserve">4.3 Would the CEO Act on Allocation Recommendations?</w:t>
      </w:r>
    </w:p>
    <w:p>
      <w:pPr>
        <w:spacing w:after="120" w:line="276"/>
      </w:pPr>
      <w:r>
        <w:rPr>
          <w:rFonts w:ascii="Arial" w:cs="Arial" w:eastAsia="Arial" w:hAnsi="Arial"/>
          <w:sz w:val="22"/>
          <w:szCs w:val="22"/>
        </w:rPr>
        <w:t xml:space="preserve">Not yet. The optimizer does not produce results (the minimize call is missing). Even when fixed, allocation recommendations need three additional elements to be actionable: explicit linkage to current portfolio allocation (delta analysis), constraint transparency (what assumptions drive the recommendation), and sensitivity analysis showing how recommendations change under different risk aversion parameters. The allocation panel in the dashboard shows mock weights but does not display an efficient frontier or explain the trade-offs.</w:t>
      </w:r>
    </w:p>
    <w:p>
      <w:pPr>
        <w:pStyle w:val="Heading2"/>
      </w:pPr>
      <w:r>
        <w:t xml:space="preserve">4.4 Would QuantumBlack Sign Off on the Methodology?</w:t>
      </w:r>
    </w:p>
    <w:p>
      <w:pPr>
        <w:spacing w:after="120" w:line="276"/>
      </w:pPr>
      <w:r>
        <w:rPr>
          <w:rFonts w:ascii="Arial" w:cs="Arial" w:eastAsia="Arial" w:hAnsi="Arial"/>
          <w:sz w:val="22"/>
          <w:szCs w:val="22"/>
        </w:rPr>
        <w:t xml:space="preserve">The methodology design would pass review. The implementation would not. QuantumBlack would flag five specific issues: the probability dimension in the copula is simplified (using independent uniform instead of full multivariate), the direction reversal probability (2% flip) is hardcoded rather than learned, the DAG edge weights are assumed from expert judgment rather than fitted from data, there is no cross-validation framework for the Bayesian priors, and convergence diagnostics exist in code but are never validated against actual simulation output because no tests exist.</w:t>
      </w:r>
    </w:p>
    <w:p>
      <w:pPr>
        <w:pStyle w:val="Heading2"/>
      </w:pPr>
      <w:r>
        <w:t xml:space="preserve">4.5 FMCG-Specific Strategic Value</w:t>
      </w:r>
    </w:p>
    <w:p>
      <w:pPr>
        <w:spacing w:after="120" w:line="276"/>
      </w:pPr>
      <w:r>
        <w:rPr>
          <w:rFonts w:ascii="Arial" w:cs="Arial" w:eastAsia="Arial" w:hAnsi="Arial"/>
          <w:sz w:val="22"/>
          <w:szCs w:val="22"/>
        </w:rPr>
        <w:t xml:space="preserve">Where PULSE genuinely excels for an FMCG client is the causal structure. Traditional profit pool analysis treats forces as independent inputs: regulation goes up, technology goes up, consumer sentiment changes. PULSE models the propagation: EU regulation on chemical ingredients triggers reformulation R&amp;D spend (Technology, lag 1 year), which increases shelf prices (Customer, lag 1 year), which shifts consumer behavior (Consumer, lag 0). This causal chain produces qualitatively different scenario results and is directly relevant to how Henkel Consumer Brands actually experiences market shifts.</w:t>
      </w:r>
    </w:p>
    <w:p>
      <w:pPr>
        <w:spacing w:after="120" w:line="276"/>
      </w:pPr>
      <w:r>
        <w:rPr>
          <w:rFonts w:ascii="Arial" w:cs="Arial" w:eastAsia="Arial" w:hAnsi="Arial"/>
          <w:sz w:val="22"/>
          <w:szCs w:val="22"/>
        </w:rPr>
        <w:t xml:space="preserve">The 13-category taxonomy (Hair Color, Hair Care, Hair Styling, Hair Body, LHC FCN, FCA, FFI, LAD, HDW, ADW, HSC, IC) maps precisely to Henkel's internal category structure. Combined with the 6-force framework (Consumer, Customer, Technology, Government, Environmental, Competitive) and the 8-step value chain, the model captures the full complexity of FMCG strategic analysis without requiring proprietary financial data.</w:t>
      </w:r>
    </w:p>
    <w:p>
      <w:r>
        <w:br w:type="page"/>
      </w:r>
    </w:p>
    <w:p>
      <w:pPr>
        <w:pStyle w:val="Heading1"/>
      </w:pPr>
      <w:r>
        <w:t xml:space="preserve">5. What I Would Do Differently</w:t>
      </w:r>
    </w:p>
    <w:p>
      <w:pPr>
        <w:spacing w:after="120" w:line="276"/>
      </w:pPr>
      <w:r>
        <w:rPr>
          <w:rFonts w:ascii="Arial" w:cs="Arial" w:eastAsia="Arial" w:hAnsi="Arial"/>
          <w:sz w:val="22"/>
          <w:szCs w:val="22"/>
        </w:rPr>
        <w:t xml:space="preserve">If I were rebuilding PULSE with the same specification but a clean sheet, here are the changes I would make, in priority order.</w:t>
      </w:r>
    </w:p>
    <w:p>
      <w:pPr>
        <w:pStyle w:val="Heading2"/>
      </w:pPr>
      <w:r>
        <w:t xml:space="preserve">5.1 Ship a Walking Skeleton First</w:t>
      </w:r>
    </w:p>
    <w:p>
      <w:pPr>
        <w:spacing w:after="120" w:line="276"/>
      </w:pPr>
      <w:r>
        <w:rPr>
          <w:rFonts w:ascii="Arial" w:cs="Arial" w:eastAsia="Arial" w:hAnsi="Arial"/>
          <w:sz w:val="22"/>
          <w:szCs w:val="22"/>
        </w:rPr>
        <w:t xml:space="preserve">The current build attempted too many modules simultaneously, resulting in a wide but shallow implementation. A better approach: build the thinnest possible end-to-end slice first. Ingest V12, run deterministic engine (not Bayesian), write shift matrix, display in dashboard, confirm V12 parity with automated tests. Then layer in complexity: add Bayesian MC, add causal DAG, add continuous paths, add scenarios. Each increment validated by tests before the next begins. The current state has sophisticated Bayesian mathematics but cannot demonstrate basic V12 parity because no test exists.</w:t>
      </w:r>
    </w:p>
    <w:p>
      <w:pPr>
        <w:pStyle w:val="Heading2"/>
      </w:pPr>
      <w:r>
        <w:t xml:space="preserve">5.2 Test-Driven Development for the Firewall</w:t>
      </w:r>
    </w:p>
    <w:p>
      <w:pPr>
        <w:spacing w:after="120" w:line="276"/>
      </w:pPr>
      <w:r>
        <w:rPr>
          <w:rFonts w:ascii="Arial" w:cs="Arial" w:eastAsia="Arial" w:hAnsi="Arial"/>
          <w:sz w:val="22"/>
          <w:szCs w:val="22"/>
        </w:rPr>
        <w:t xml:space="preserve">The financial data firewall is the single most important component for organizational trust. It should have been built test-first with adversarial test cases: what happens if someone adds a Euro column to a force sheet? What if financial data appears in a trend description? What if the Financials_Input sheet is renamed? The firewall implementation is good, but without tests demonstrating its robustness, it provides a false sense of security.</w:t>
      </w:r>
    </w:p>
    <w:p>
      <w:pPr>
        <w:pStyle w:val="Heading2"/>
      </w:pPr>
      <w:r>
        <w:t xml:space="preserve">5.3 Mock Server Before Real Backend</w:t>
      </w:r>
    </w:p>
    <w:p>
      <w:pPr>
        <w:spacing w:after="120" w:line="276"/>
      </w:pPr>
      <w:r>
        <w:rPr>
          <w:rFonts w:ascii="Arial" w:cs="Arial" w:eastAsia="Arial" w:hAnsi="Arial"/>
          <w:sz w:val="22"/>
          <w:szCs w:val="22"/>
        </w:rPr>
        <w:t xml:space="preserve">The dashboard team built beautiful components against inline mock data. A better pattern: create a mock FastAPI server that returns realistic but synthetic data in exactly the API contract format. This forces the frontend and backend to agree on data shapes upfront, makes the dashboard immediately testable, and makes the real backend integration a matter of swapping URLs rather than debugging data format mismatches.</w:t>
      </w:r>
    </w:p>
    <w:p>
      <w:pPr>
        <w:pStyle w:val="Heading2"/>
      </w:pPr>
      <w:r>
        <w:t xml:space="preserve">5.4 Simplify the Game Theory Layer</w:t>
      </w:r>
    </w:p>
    <w:p>
      <w:pPr>
        <w:spacing w:after="120" w:line="276"/>
      </w:pPr>
      <w:r>
        <w:rPr>
          <w:rFonts w:ascii="Arial" w:cs="Arial" w:eastAsia="Arial" w:hAnsi="Arial"/>
          <w:sz w:val="22"/>
          <w:szCs w:val="22"/>
        </w:rPr>
        <w:t xml:space="preserve">The specification describes a full Nash equilibrium solver with iterative convergence. This is academically impressive but practically unnecessary for the first production version. A simpler approach: for each scenario, apply a lookup table of competitive response adjustments calibrated from historical case studies (how P&amp;G actually responded to Henkel price moves in Laundry). This is more credible than a theoretical equilibrium model because it is grounded in observed behavior. The full game theory layer can be Phase 4.</w:t>
      </w:r>
    </w:p>
    <w:p>
      <w:pPr>
        <w:pStyle w:val="Heading2"/>
      </w:pPr>
      <w:r>
        <w:t xml:space="preserve">5.5 Power BI Integration Should Be Simpler</w:t>
      </w:r>
    </w:p>
    <w:p>
      <w:pPr>
        <w:spacing w:after="120" w:line="276"/>
      </w:pPr>
      <w:r>
        <w:rPr>
          <w:rFonts w:ascii="Arial" w:cs="Arial" w:eastAsia="Arial" w:hAnsi="Arial"/>
          <w:sz w:val="22"/>
          <w:szCs w:val="22"/>
        </w:rPr>
        <w:t xml:space="preserve">The specification describes an automated Power BI push via Azure semantic model API with monthly scheduling. This requires Azure tenant credentials, API provisioning, and IT security approval. A simpler v1: export the Shift Matrix as a standardized CSV that Power BI imports via scheduled refresh from a shared folder. This achieves the same one-way data flow without Azure API complexity. The automated push can be Phase 3.</w:t>
      </w:r>
    </w:p>
    <w:p>
      <w:pPr>
        <w:pStyle w:val="Heading2"/>
      </w:pPr>
      <w:r>
        <w:t xml:space="preserve">5.6 Reduce the API Surface</w:t>
      </w:r>
    </w:p>
    <w:p>
      <w:pPr>
        <w:spacing w:after="120" w:line="276"/>
      </w:pPr>
      <w:r>
        <w:rPr>
          <w:rFonts w:ascii="Arial" w:cs="Arial" w:eastAsia="Arial" w:hAnsi="Arial"/>
          <w:sz w:val="22"/>
          <w:szCs w:val="22"/>
        </w:rPr>
        <w:t xml:space="preserve">The specification defines 40+ REST endpoints. Many are stubs that will remain stubs for months. A focused v1 API should have approximately 12 endpoints: health check, list trends, update trend, run simulation, get simulation results, get DAG, propagate shock, list scenarios, run deterministic, export shift matrix, get config, and get audit log. Additional endpoints should be added only when the frontend needs them.</w:t>
      </w:r>
    </w:p>
    <w:p>
      <w:pPr>
        <w:pStyle w:val="Heading2"/>
      </w:pPr>
      <w:r>
        <w:t xml:space="preserve">5.7 Adopt TypeScript for the Dashboard</w:t>
      </w:r>
    </w:p>
    <w:p>
      <w:pPr>
        <w:spacing w:after="120" w:line="276"/>
      </w:pPr>
      <w:r>
        <w:rPr>
          <w:rFonts w:ascii="Arial" w:cs="Arial" w:eastAsia="Arial" w:hAnsi="Arial"/>
          <w:sz w:val="22"/>
          <w:szCs w:val="22"/>
        </w:rPr>
        <w:t xml:space="preserve">The dashboard is written in JSX with JSDoc comments for type hints. For a production application with 15+ components and complex data shapes (shift matrices with nested percentile objects), TypeScript would catch data contract mismatches at compile time rather than at runtime in an ExCo presentation. The Vite configuration already supports TypeScript, and React 19 has excellent TypeScript support.</w:t>
      </w:r>
    </w:p>
    <w:p>
      <w:pPr>
        <w:pStyle w:val="Heading2"/>
      </w:pPr>
      <w:r>
        <w:t xml:space="preserve">5.8 Implement a Configuration Validation Layer</w:t>
      </w:r>
    </w:p>
    <w:p>
      <w:pPr>
        <w:spacing w:after="120" w:line="276"/>
      </w:pPr>
      <w:r>
        <w:rPr>
          <w:rFonts w:ascii="Arial" w:cs="Arial" w:eastAsia="Arial" w:hAnsi="Arial"/>
          <w:sz w:val="22"/>
          <w:szCs w:val="22"/>
        </w:rPr>
        <w:t xml:space="preserve">The config.py module uses sensible defaults but has no validation that user-provided overrides are consistent. For example, force weights must sum to 1.0, materialization schedules must be monotonically increasing, and attenuation must be between 0 and 1. A Pydantic model with validators would catch configuration errors before they produce silently incorrect simulation results.</w:t>
      </w:r>
    </w:p>
    <w:p>
      <w:r>
        <w:br w:type="page"/>
      </w:r>
    </w:p>
    <w:p>
      <w:pPr>
        <w:pStyle w:val="Heading1"/>
      </w:pPr>
      <w:r>
        <w:t xml:space="preserve">6. Implementation Priority Matrix</w:t>
      </w:r>
    </w:p>
    <w:p>
      <w:pPr>
        <w:spacing w:after="120" w:line="276"/>
      </w:pPr>
      <w:r>
        <w:rPr>
          <w:rFonts w:ascii="Arial" w:cs="Arial" w:eastAsia="Arial" w:hAnsi="Arial"/>
          <w:sz w:val="22"/>
          <w:szCs w:val="22"/>
        </w:rPr>
        <w:t xml:space="preserve">Recommendations ranked by impact-to-effort ratio, organized into three horizons.</w:t>
      </w:r>
    </w:p>
    <w:p>
      <w:pPr>
        <w:pStyle w:val="Heading2"/>
      </w:pPr>
      <w:r>
        <w:t xml:space="preserve">6.1 Horizon 1: Must-Fix Before Any Demo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60"/>
        <w:gridCol w:w="1200"/>
        <w:gridCol w:w="1200"/>
        <w:gridCol w:w="2900"/>
      </w:tblGrid>
      <w:tr>
        <w:tc>
          <w:tcPr>
            <w:tcW w:type="dxa" w:w="8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2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1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1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c>
          <w:tcPr>
            <w:tcW w:type="dxa" w:w="29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Blocker For</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1</w:t>
            </w:r>
          </w:p>
        </w:tc>
        <w:tc>
          <w:tcPr>
            <w:tcW w:type="dxa" w:w="32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Write core test suite (firewall, parity, convergence)</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40 hrs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20"/>
                <w:szCs w:val="20"/>
              </w:rPr>
              <w:t xml:space="preserve">Critical</w:t>
            </w:r>
          </w:p>
        </w:tc>
        <w:tc>
          <w:tcPr>
            <w:tcW w:type="dxa" w:w="2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production use</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c>
          <w:tcPr>
            <w:tcW w:type="dxa" w:w="32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Wire dashboard to real FastAPI data</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16 hrs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20"/>
                <w:szCs w:val="20"/>
              </w:rPr>
              <w:t xml:space="preserve">Critical</w:t>
            </w:r>
          </w:p>
        </w:tc>
        <w:tc>
          <w:tcPr>
            <w:tcW w:type="dxa" w:w="2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Any live demonstration</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3</w:t>
            </w:r>
          </w:p>
        </w:tc>
        <w:tc>
          <w:tcPr>
            <w:tcW w:type="dxa" w:w="32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Fix optimizer scipy.minimize() call</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2 hrs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High</w:t>
            </w:r>
          </w:p>
        </w:tc>
        <w:tc>
          <w:tcPr>
            <w:tcW w:type="dxa" w:w="2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Allocation recommendations</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c>
          <w:tcPr>
            <w:tcW w:type="dxa" w:w="32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Fix sensitivity tornado return statement</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0.5 hrs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High</w:t>
            </w:r>
          </w:p>
        </w:tc>
        <w:tc>
          <w:tcPr>
            <w:tcW w:type="dxa" w:w="2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Sensitivity panel</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c>
          <w:tcPr>
            <w:tcW w:type="dxa" w:w="32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Add database persistence for trends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8 hrs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High</w:t>
            </w:r>
          </w:p>
        </w:tc>
        <w:tc>
          <w:tcPr>
            <w:tcW w:type="dxa" w:w="2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Score persistence across sessions</w:t>
            </w:r>
          </w:p>
        </w:tc>
      </w:tr>
    </w:tbl>
    <w:p>
      <w:pPr>
        <w:spacing w:after="200"/>
      </w:pPr>
    </w:p>
    <w:p>
      <w:pPr>
        <w:pStyle w:val="Heading2"/>
      </w:pPr>
      <w:r>
        <w:t xml:space="preserve">6.2 Horizon 2: Production-Ready (Weeks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60"/>
        <w:gridCol w:w="1200"/>
        <w:gridCol w:w="1200"/>
        <w:gridCol w:w="2900"/>
      </w:tblGrid>
      <w:tr>
        <w:tc>
          <w:tcPr>
            <w:tcW w:type="dxa" w:w="8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2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1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1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c>
          <w:tcPr>
            <w:tcW w:type="dxa" w:w="29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Blocker For</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c>
          <w:tcPr>
            <w:tcW w:type="dxa" w:w="32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Implement backtesting engine with historical data</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32 hrs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C2626"/>
                <w:sz w:val="20"/>
                <w:szCs w:val="20"/>
              </w:rPr>
              <w:t xml:space="preserve">Critical</w:t>
            </w:r>
          </w:p>
        </w:tc>
        <w:tc>
          <w:tcPr>
            <w:tcW w:type="dxa" w:w="2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ExCo credibility</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7</w:t>
            </w:r>
          </w:p>
        </w:tc>
        <w:tc>
          <w:tcPr>
            <w:tcW w:type="dxa" w:w="32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Implement game theory competitive response model</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24 hrs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Medium</w:t>
            </w:r>
          </w:p>
        </w:tc>
        <w:tc>
          <w:tcPr>
            <w:tcW w:type="dxa" w:w="2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Second-order pool shifts</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8</w:t>
            </w:r>
          </w:p>
        </w:tc>
        <w:tc>
          <w:tcPr>
            <w:tcW w:type="dxa" w:w="32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Build 6 no-key API integrations (GDELT, EUR-Lex, etc.)</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24 hrs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Medium</w:t>
            </w:r>
          </w:p>
        </w:tc>
        <w:tc>
          <w:tcPr>
            <w:tcW w:type="dxa" w:w="2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AI trend scanner data</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9</w:t>
            </w:r>
          </w:p>
        </w:tc>
        <w:tc>
          <w:tcPr>
            <w:tcW w:type="dxa" w:w="32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Implement Claude AI provider + trend scanner</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16 hrs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Medium</w:t>
            </w:r>
          </w:p>
        </w:tc>
        <w:tc>
          <w:tcPr>
            <w:tcW w:type="dxa" w:w="2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AI-augmented insights</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w:t>
            </w:r>
          </w:p>
        </w:tc>
        <w:tc>
          <w:tcPr>
            <w:tcW w:type="dxa" w:w="32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Complete Delphi protocol scoring rounds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16 hrs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Medium</w:t>
            </w:r>
          </w:p>
        </w:tc>
        <w:tc>
          <w:tcPr>
            <w:tcW w:type="dxa" w:w="2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Expert elicitation workflow</w:t>
            </w:r>
          </w:p>
        </w:tc>
      </w:tr>
    </w:tbl>
    <w:p>
      <w:pPr>
        <w:spacing w:after="200"/>
      </w:pPr>
    </w:p>
    <w:p>
      <w:pPr>
        <w:pStyle w:val="Heading2"/>
      </w:pPr>
      <w:r>
        <w:t xml:space="preserve">6.3 Horizon 3: Differentiation (Weeks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60"/>
        <w:gridCol w:w="1200"/>
        <w:gridCol w:w="1200"/>
        <w:gridCol w:w="2900"/>
      </w:tblGrid>
      <w:tr>
        <w:tc>
          <w:tcPr>
            <w:tcW w:type="dxa" w:w="8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2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1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12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c>
          <w:tcPr>
            <w:tcW w:type="dxa" w:w="29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Blocker For</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11</w:t>
            </w:r>
          </w:p>
        </w:tc>
        <w:tc>
          <w:tcPr>
            <w:tcW w:type="dxa" w:w="32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Implement scenario narrator with causal explanation</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 hrs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High</w:t>
            </w:r>
          </w:p>
        </w:tc>
        <w:tc>
          <w:tcPr>
            <w:tcW w:type="dxa" w:w="2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Executive narrative quality</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w:t>
            </w:r>
          </w:p>
        </w:tc>
        <w:tc>
          <w:tcPr>
            <w:tcW w:type="dxa" w:w="32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Power BI CSV export with scheduled refresh</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8 hrs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Medium</w:t>
            </w:r>
          </w:p>
        </w:tc>
        <w:tc>
          <w:tcPr>
            <w:tcW w:type="dxa" w:w="2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Finance team adoption</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13</w:t>
            </w:r>
          </w:p>
        </w:tc>
        <w:tc>
          <w:tcPr>
            <w:tcW w:type="dxa" w:w="32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Add export center (PPTX, PDF, Excel)</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16 hrs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D97706"/>
                <w:sz w:val="20"/>
                <w:szCs w:val="20"/>
              </w:rPr>
              <w:t xml:space="preserve">Medium</w:t>
            </w:r>
          </w:p>
        </w:tc>
        <w:tc>
          <w:tcPr>
            <w:tcW w:type="dxa" w:w="2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Deliverable generation</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14</w:t>
            </w:r>
          </w:p>
        </w:tc>
        <w:tc>
          <w:tcPr>
            <w:tcW w:type="dxa" w:w="32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Migrate dashboard to TypeScript</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16 hrs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16A34A"/>
                <w:sz w:val="20"/>
                <w:szCs w:val="20"/>
              </w:rPr>
              <w:t xml:space="preserve">Low</w:t>
            </w:r>
          </w:p>
        </w:tc>
        <w:tc>
          <w:tcPr>
            <w:tcW w:type="dxa" w:w="2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Long-term maintainability</w:t>
            </w:r>
          </w:p>
        </w:tc>
      </w:tr>
      <w:tr>
        <w:tc>
          <w:tcPr>
            <w:tcW w:type="dxa" w:w="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15</w:t>
            </w:r>
          </w:p>
        </w:tc>
        <w:tc>
          <w:tcPr>
            <w:tcW w:type="dxa" w:w="32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Build remaining 7 keyed API integrations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28 hrs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color w:val="16A34A"/>
                <w:sz w:val="20"/>
                <w:szCs w:val="20"/>
              </w:rPr>
              <w:t xml:space="preserve">Low</w:t>
            </w:r>
          </w:p>
        </w:tc>
        <w:tc>
          <w:tcPr>
            <w:tcW w:type="dxa" w:w="29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trend intelligence coverage</w:t>
            </w:r>
          </w:p>
        </w:tc>
      </w:tr>
    </w:tbl>
    <w:p>
      <w:pPr>
        <w:spacing w:after="200"/>
      </w:pPr>
    </w:p>
    <w:p>
      <w:pPr>
        <w:spacing w:after="120" w:line="276"/>
      </w:pPr>
      <w:r>
        <w:rPr>
          <w:rFonts w:ascii="Arial" w:cs="Arial" w:eastAsia="Arial" w:hAnsi="Arial"/>
          <w:b/>
          <w:bCs/>
          <w:sz w:val="22"/>
          <w:szCs w:val="22"/>
        </w:rPr>
        <w:t xml:space="preserve">Total estimated effort to production-ready (Horizon 1+2): ~200 engineer-hours (~5 weeks at 40 hrs/week for one senior engineer).</w:t>
      </w:r>
      <w:r>
        <w:rPr>
          <w:rFonts w:ascii="Arial" w:cs="Arial" w:eastAsia="Arial" w:hAnsi="Arial"/>
          <w:sz w:val="22"/>
          <w:szCs w:val="22"/>
        </w:rPr>
        <w:t xml:space="preserve"> Total including differentiation features (all Horizons): ~280 engineer-hours (~7 weeks).</w:t>
      </w:r>
    </w:p>
    <w:p>
      <w:r>
        <w:br w:type="page"/>
      </w:r>
    </w:p>
    <w:p>
      <w:pPr>
        <w:pStyle w:val="Heading1"/>
      </w:pPr>
      <w:r>
        <w:t xml:space="preserve">7. UX &amp; Design Critique</w:t>
      </w:r>
    </w:p>
    <w:p>
      <w:pPr>
        <w:pStyle w:val="Heading2"/>
      </w:pPr>
      <w:r>
        <w:t xml:space="preserve">7.1 What the Dashboard Gets Right</w:t>
      </w:r>
    </w:p>
    <w:p>
      <w:pPr>
        <w:spacing w:after="120" w:line="276"/>
      </w:pPr>
      <w:r>
        <w:rPr>
          <w:rFonts w:ascii="Arial" w:cs="Arial" w:eastAsia="Arial" w:hAnsi="Arial"/>
          <w:sz w:val="22"/>
          <w:szCs w:val="22"/>
        </w:rPr>
        <w:t xml:space="preserve">The War Room concept is the correct UX pattern for this tool. A single unified view with contextual drill-down eliminates the cognitive load of navigating between tabs. The design system (deep navy base, glassmorphism, spring animations, monospace data typography) achieves the Apple aesthetic the specification demands. The force-colored heatmap, confidence-banded path timeline, and hexagonal causal DAG are visually distinctive and analytically functional. The inline trend editing in TrendExplorer is a particularly elegant interaction: click the dot bar to change an impact score, watch the shift matrix update. This is what real-time analytical interactivity should feel like.</w:t>
      </w:r>
    </w:p>
    <w:p>
      <w:pPr>
        <w:pStyle w:val="Heading2"/>
      </w:pPr>
      <w:r>
        <w:t xml:space="preserve">7.2 What the Dashboard Gets Wrong</w:t>
      </w:r>
    </w:p>
    <w:p>
      <w:pPr>
        <w:pStyle w:val="ListParagraph"/>
        <w:numPr>
          <w:ilvl w:val="0"/>
          <w:numId w:val="2"/>
        </w:numPr>
        <w:spacing w:after="80" w:line="276"/>
      </w:pPr>
      <w:r>
        <w:rPr>
          <w:rFonts w:ascii="Arial" w:cs="Arial" w:eastAsia="Arial" w:hAnsi="Arial"/>
          <w:b/>
          <w:bCs/>
          <w:sz w:val="22"/>
          <w:szCs w:val="22"/>
        </w:rPr>
        <w:t xml:space="preserve">No loading skeletons. </w:t>
      </w:r>
      <w:r>
        <w:rPr>
          <w:rFonts w:ascii="Arial" w:cs="Arial" w:eastAsia="Arial" w:hAnsi="Arial"/>
          <w:sz w:val="22"/>
          <w:szCs w:val="22"/>
        </w:rPr>
        <w:t xml:space="preserve">When simulation runs (potentially 5-10 seconds for 10,000 iterations), the user sees a generic spinner. Skeleton loading states for each component would maintain spatial context and feel more responsive.</w:t>
      </w:r>
    </w:p>
    <w:p>
      <w:pPr>
        <w:pStyle w:val="ListParagraph"/>
        <w:numPr>
          <w:ilvl w:val="0"/>
          <w:numId w:val="2"/>
        </w:numPr>
        <w:spacing w:after="80" w:line="276"/>
      </w:pPr>
      <w:r>
        <w:rPr>
          <w:rFonts w:ascii="Arial" w:cs="Arial" w:eastAsia="Arial" w:hAnsi="Arial"/>
          <w:b/>
          <w:bCs/>
          <w:sz w:val="22"/>
          <w:szCs w:val="22"/>
        </w:rPr>
        <w:t xml:space="preserve">No export functionality. </w:t>
      </w:r>
      <w:r>
        <w:rPr>
          <w:rFonts w:ascii="Arial" w:cs="Arial" w:eastAsia="Arial" w:hAnsi="Arial"/>
          <w:sz w:val="22"/>
          <w:szCs w:val="22"/>
        </w:rPr>
        <w:t xml:space="preserve">The Export Center exists as a UI element but performs no actual exports. For an executive tool, the ability to generate a PowerPoint summary or Excel shift matrix directly from the dashboard is table-stakes.</w:t>
      </w:r>
    </w:p>
    <w:p>
      <w:pPr>
        <w:pStyle w:val="ListParagraph"/>
        <w:numPr>
          <w:ilvl w:val="0"/>
          <w:numId w:val="2"/>
        </w:numPr>
        <w:spacing w:after="80" w:line="276"/>
      </w:pPr>
      <w:r>
        <w:rPr>
          <w:rFonts w:ascii="Arial" w:cs="Arial" w:eastAsia="Arial" w:hAnsi="Arial"/>
          <w:b/>
          <w:bCs/>
          <w:sz w:val="22"/>
          <w:szCs w:val="22"/>
        </w:rPr>
        <w:t xml:space="preserve">No light mode. </w:t>
      </w:r>
      <w:r>
        <w:rPr>
          <w:rFonts w:ascii="Arial" w:cs="Arial" w:eastAsia="Arial" w:hAnsi="Arial"/>
          <w:sz w:val="22"/>
          <w:szCs w:val="22"/>
        </w:rPr>
        <w:t xml:space="preserve">The dark theme is beautiful on a developer screen but may be problematic for ExCo presentations on projectors in bright rooms. A light mode toggle is a basic accessibility requirement.</w:t>
      </w:r>
    </w:p>
    <w:p>
      <w:pPr>
        <w:pStyle w:val="ListParagraph"/>
        <w:numPr>
          <w:ilvl w:val="0"/>
          <w:numId w:val="2"/>
        </w:numPr>
        <w:spacing w:after="80" w:line="276"/>
      </w:pPr>
      <w:r>
        <w:rPr>
          <w:rFonts w:ascii="Arial" w:cs="Arial" w:eastAsia="Arial" w:hAnsi="Arial"/>
          <w:b/>
          <w:bCs/>
          <w:sz w:val="22"/>
          <w:szCs w:val="22"/>
        </w:rPr>
        <w:t xml:space="preserve">No onboarding or help. </w:t>
      </w:r>
      <w:r>
        <w:rPr>
          <w:rFonts w:ascii="Arial" w:cs="Arial" w:eastAsia="Arial" w:hAnsi="Arial"/>
          <w:sz w:val="22"/>
          <w:szCs w:val="22"/>
        </w:rPr>
        <w:t xml:space="preserve">A first-time user has no guidance on what the heatmap means, how to interpret confidence bands, or what the causal flow animation represents. A brief onboarding tour or contextual help tooltips would dramatically improve adoption.</w:t>
      </w:r>
    </w:p>
    <w:p>
      <w:pPr>
        <w:pStyle w:val="ListParagraph"/>
        <w:numPr>
          <w:ilvl w:val="0"/>
          <w:numId w:val="2"/>
        </w:numPr>
        <w:spacing w:after="80" w:line="276"/>
      </w:pPr>
      <w:r>
        <w:rPr>
          <w:rFonts w:ascii="Arial" w:cs="Arial" w:eastAsia="Arial" w:hAnsi="Arial"/>
          <w:b/>
          <w:bCs/>
          <w:sz w:val="22"/>
          <w:szCs w:val="22"/>
        </w:rPr>
        <w:t xml:space="preserve">Mobile layout is responsive but not optimized. </w:t>
      </w:r>
      <w:r>
        <w:rPr>
          <w:rFonts w:ascii="Arial" w:cs="Arial" w:eastAsia="Arial" w:hAnsi="Arial"/>
          <w:sz w:val="22"/>
          <w:szCs w:val="22"/>
        </w:rPr>
        <w:t xml:space="preserve">The grid auto-layout works on iPad but the heatmap horizontal scroll and small causal DAG nodes make tablet use uncomfortable. If ExCo presentations use iPad, the tablet experience needs dedicated attention.</w:t>
      </w:r>
    </w:p>
    <w:p>
      <w:pPr>
        <w:pStyle w:val="ListParagraph"/>
        <w:numPr>
          <w:ilvl w:val="0"/>
          <w:numId w:val="2"/>
        </w:numPr>
        <w:spacing w:after="80" w:line="276"/>
      </w:pPr>
      <w:r>
        <w:rPr>
          <w:rFonts w:ascii="Arial" w:cs="Arial" w:eastAsia="Arial" w:hAnsi="Arial"/>
          <w:b/>
          <w:bCs/>
          <w:sz w:val="22"/>
          <w:szCs w:val="22"/>
        </w:rPr>
        <w:t xml:space="preserve">AI Insights Bar is empty. </w:t>
      </w:r>
      <w:r>
        <w:rPr>
          <w:rFonts w:ascii="Arial" w:cs="Arial" w:eastAsia="Arial" w:hAnsi="Arial"/>
          <w:sz w:val="22"/>
          <w:szCs w:val="22"/>
        </w:rPr>
        <w:t xml:space="preserve">The bottom bar that should show '3 new signals detected' or 'FCN trigger breached' is non-functional. This was positioned as a key differentiator in the specification.</w:t>
      </w:r>
    </w:p>
    <w:p>
      <w:r>
        <w:br w:type="page"/>
      </w:r>
    </w:p>
    <w:p>
      <w:pPr>
        <w:pStyle w:val="Heading1"/>
      </w:pPr>
      <w:r>
        <w:t xml:space="preserve">8. Code Quality Deep Dive</w:t>
      </w:r>
    </w:p>
    <w:p>
      <w:pPr>
        <w:pStyle w:val="Heading2"/>
      </w:pPr>
      <w:r>
        <w:t xml:space="preserve">8.1 Python Backend (6,656 LOC)</w:t>
      </w:r>
    </w:p>
    <w:p>
      <w:pPr>
        <w:spacing w:after="120" w:line="276"/>
      </w:pPr>
      <w:r>
        <w:rPr>
          <w:rFonts w:ascii="Arial" w:cs="Arial" w:eastAsia="Arial" w:hAnsi="Arial"/>
          <w:b/>
          <w:bCs/>
          <w:sz w:val="22"/>
          <w:szCs w:val="22"/>
        </w:rPr>
        <w:t xml:space="preserve">Strengths: </w:t>
      </w:r>
      <w:r>
        <w:rPr>
          <w:rFonts w:ascii="Arial" w:cs="Arial" w:eastAsia="Arial" w:hAnsi="Arial"/>
          <w:sz w:val="22"/>
          <w:szCs w:val="22"/>
        </w:rPr>
        <w:t xml:space="preserve">Clean dataclass models with type hints throughout. Consistent module structure with __init__.py files. Defensive programming in the ingestion layer with extensive logging. The config system uses sensible defaults with environment variable overrides. FastAPI route organization follows standard patterns.</w:t>
      </w:r>
    </w:p>
    <w:p>
      <w:pPr>
        <w:spacing w:after="120" w:line="276"/>
      </w:pPr>
      <w:r>
        <w:rPr>
          <w:rFonts w:ascii="Arial" w:cs="Arial" w:eastAsia="Arial" w:hAnsi="Arial"/>
          <w:b/>
          <w:bCs/>
          <w:sz w:val="22"/>
          <w:szCs w:val="22"/>
        </w:rPr>
        <w:t xml:space="preserve">Weaknesses: </w:t>
      </w:r>
      <w:r>
        <w:rPr>
          <w:rFonts w:ascii="Arial" w:cs="Arial" w:eastAsia="Arial" w:hAnsi="Arial"/>
          <w:sz w:val="22"/>
          <w:szCs w:val="22"/>
        </w:rPr>
        <w:t xml:space="preserve">Multiple functions end without return statements (optimizer, sensitivity tornado). Several methods contain only pass statements (game theory, backtesting). Magic numbers appear in the simulation layer (2% direction flip probability, 0.3 within-force correlation) without configuration exposure. The audit logger does not parameterize SQL queries, creating a theoretical SQL injection risk. No docstrings on approximately 40% of public methods.</w:t>
      </w:r>
    </w:p>
    <w:p>
      <w:pPr>
        <w:pStyle w:val="Heading2"/>
      </w:pPr>
      <w:r>
        <w:t xml:space="preserve">8.2 React Frontend (4,600+ LOC)</w:t>
      </w:r>
    </w:p>
    <w:p>
      <w:pPr>
        <w:spacing w:after="120" w:line="276"/>
      </w:pPr>
      <w:r>
        <w:rPr>
          <w:rFonts w:ascii="Arial" w:cs="Arial" w:eastAsia="Arial" w:hAnsi="Arial"/>
          <w:b/>
          <w:bCs/>
          <w:sz w:val="22"/>
          <w:szCs w:val="22"/>
        </w:rPr>
        <w:t xml:space="preserve">Strengths: </w:t>
      </w:r>
      <w:r>
        <w:rPr>
          <w:rFonts w:ascii="Arial" w:cs="Arial" w:eastAsia="Arial" w:hAnsi="Arial"/>
          <w:sz w:val="22"/>
          <w:szCs w:val="22"/>
        </w:rPr>
        <w:t xml:space="preserve">Modular single-responsibility components. Effective use of useMemo and useCallback for performance optimization. Consistent design token system via the format.js T object. Framer Motion animations use GPU-accelerated transforms. Error handling with graceful fallbacks to mock data.</w:t>
      </w:r>
    </w:p>
    <w:p>
      <w:pPr>
        <w:spacing w:after="120" w:line="276"/>
      </w:pPr>
      <w:r>
        <w:rPr>
          <w:rFonts w:ascii="Arial" w:cs="Arial" w:eastAsia="Arial" w:hAnsi="Arial"/>
          <w:b/>
          <w:bCs/>
          <w:sz w:val="22"/>
          <w:szCs w:val="22"/>
        </w:rPr>
        <w:t xml:space="preserve">Weaknesses: </w:t>
      </w:r>
      <w:r>
        <w:rPr>
          <w:rFonts w:ascii="Arial" w:cs="Arial" w:eastAsia="Arial" w:hAnsi="Arial"/>
          <w:sz w:val="22"/>
          <w:szCs w:val="22"/>
        </w:rPr>
        <w:t xml:space="preserve">No TypeScript, relying on JSDoc comments for type documentation. No error boundary component. WarRoom.jsx at 1,800 lines is too large and should be decomposed into sub-containers. Five Radix UI packages are installed but unused. No lazy loading for heavy visualization components (D3, Recharts).</w:t>
      </w:r>
    </w:p>
    <w:p>
      <w:pPr>
        <w:pStyle w:val="Heading2"/>
      </w:pPr>
      <w:r>
        <w:t xml:space="preserve">8.3 Dependency Health</w:t>
      </w:r>
    </w:p>
    <w:p>
      <w:pPr>
        <w:spacing w:after="120" w:line="276"/>
      </w:pPr>
      <w:r>
        <w:rPr>
          <w:rFonts w:ascii="Arial" w:cs="Arial" w:eastAsia="Arial" w:hAnsi="Arial"/>
          <w:sz w:val="22"/>
          <w:szCs w:val="22"/>
        </w:rPr>
        <w:t xml:space="preserve">The Python dependency tree is clean with no conflicting version requirements. All 47 packages are actively maintained. The React dependency tree uses React 19 (latest), Vite 5 (latest), and current versions of all visualization libraries. The openai package for Azure OpenAI support is missing from requirements.txt despite being referenced in the AI provider specification.</w:t>
      </w:r>
    </w:p>
    <w:p>
      <w:r>
        <w:br w:type="page"/>
      </w:r>
    </w:p>
    <w:p>
      <w:pPr>
        <w:pStyle w:val="Heading1"/>
      </w:pPr>
      <w:r>
        <w:t xml:space="preserve">9. The Bottom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4"/>
              <w:left w:val="single" w:color="0F172A" w:sz="4"/>
              <w:bottom w:val="single" w:color="0F172A" w:sz="4"/>
              <w:right w:val="single" w:color="0F172A" w:sz="4"/>
            </w:tcBorders>
            <w:shd w:fill="EFF6FF" w:val="clear"/>
            <w:tcMar>
              <w:top w:type="dxa" w:w="200"/>
              <w:left w:type="dxa" w:w="240"/>
              <w:bottom w:type="dxa" w:w="200"/>
              <w:right w:type="dxa" w:w="240"/>
            </w:tcMar>
          </w:tcPr>
          <w:p>
            <w:pPr>
              <w:spacing w:after="120"/>
            </w:pPr>
            <w:r>
              <w:rPr>
                <w:rFonts w:ascii="Arial" w:cs="Arial" w:eastAsia="Arial" w:hAnsi="Arial"/>
                <w:b/>
                <w:bCs/>
                <w:color w:val="0F172A"/>
                <w:sz w:val="24"/>
                <w:szCs w:val="24"/>
              </w:rPr>
              <w:t xml:space="preserve">PULSE AUDIT CONCLUSION</w:t>
            </w:r>
          </w:p>
          <w:p>
            <w:pPr>
              <w:spacing w:after="120" w:line="300"/>
            </w:pPr>
            <w:r>
              <w:rPr>
                <w:rFonts w:ascii="Arial" w:cs="Arial" w:eastAsia="Arial" w:hAnsi="Arial"/>
                <w:sz w:val="22"/>
                <w:szCs w:val="22"/>
              </w:rPr>
              <w:t xml:space="preserve">PULSE is not a failed project. It is an unfinished one. The vision is genuinely differentiated: a causally-structured, Bayesian, privacy-first profit pool simulation engine with a War Room interface that meets executive-grade design standards. The core mathematical engine is production-quality. The financial data firewall is robust. The causal DAG is a genuine analytical innovation for FMCG strategy.</w:t>
            </w:r>
          </w:p>
          <w:p>
            <w:pPr>
              <w:spacing w:after="120" w:line="300"/>
            </w:pPr>
            <w:r>
              <w:rPr>
                <w:rFonts w:ascii="Arial" w:cs="Arial" w:eastAsia="Arial" w:hAnsi="Arial"/>
                <w:sz w:val="22"/>
                <w:szCs w:val="22"/>
              </w:rPr>
              <w:t xml:space="preserve">What is missing is the unglamorous engineering that makes ambitious software trustworthy: tests, database persistence, completed API endpoints, wired integrations, and the removal of mock data. These are execution gaps, not design failures.</w:t>
            </w:r>
          </w:p>
          <w:p>
            <w:pPr>
              <w:spacing w:after="120" w:line="300"/>
            </w:pPr>
            <w:r>
              <w:rPr>
                <w:rFonts w:ascii="Arial" w:cs="Arial" w:eastAsia="Arial" w:hAnsi="Arial"/>
                <w:sz w:val="22"/>
                <w:szCs w:val="22"/>
              </w:rPr>
              <w:t xml:space="preserve">With 5-7 weeks of focused development following the priority matrix in Section 6, PULSE can credibly pass the Bain Senior Partner Test: a tool that a top-tier consulting firm would present to a DAX-40 CEO as a state-of-the-art strategic decision platform. The architecture supports this ambition. The code needs to catch up.</w:t>
            </w:r>
          </w:p>
          <w:p>
            <w:pPr>
              <w:spacing w:after="0"/>
            </w:pPr>
            <w:r>
              <w:rPr>
                <w:rFonts w:ascii="Arial" w:cs="Arial" w:eastAsia="Arial" w:hAnsi="Arial"/>
                <w:b/>
                <w:bCs/>
                <w:i/>
                <w:iCs/>
                <w:sz w:val="22"/>
                <w:szCs w:val="22"/>
              </w:rPr>
              <w:t xml:space="preserve">My recommendation: invest the engineering hours. The hard intellectual work is done. What remains is craft.</w:t>
            </w:r>
          </w:p>
        </w:tc>
      </w:tr>
    </w:tbl>
    <w:p>
      <w:pPr>
        <w:spacing w:after="400"/>
      </w:pPr>
    </w:p>
    <w:p>
      <w:pPr>
        <w:pStyle w:val="Heading1"/>
      </w:pPr>
      <w:r>
        <w:t xml:space="preserve">Appendix A: Lines of Code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Module</w:t>
            </w:r>
          </w:p>
        </w:tc>
        <w:tc>
          <w:tcPr>
            <w:tcW w:type="dxa" w:w="15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LOC</w:t>
            </w:r>
          </w:p>
        </w:tc>
        <w:tc>
          <w:tcPr>
            <w:tcW w:type="dxa" w:w="150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 of Total</w:t>
            </w:r>
          </w:p>
        </w:tc>
        <w:tc>
          <w:tcPr>
            <w:tcW w:type="dxa" w:w="2860"/>
            <w:tcBorders>
              <w:top w:val="single" w:color="CBD5E1" w:sz="1"/>
              <w:left w:val="single" w:color="CBD5E1" w:sz="1"/>
              <w:bottom w:val="single" w:color="CBD5E1" w:sz="1"/>
              <w:right w:val="single" w:color="CBD5E1" w:sz="1"/>
            </w:tcBorders>
            <w:shd w:fill="0F172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Completion</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ai/ (6 modules)</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right"/>
            </w:pPr>
            <w:r>
              <w:rPr>
                <w:rFonts w:ascii="Arial" w:cs="Arial" w:eastAsia="Arial" w:hAnsi="Arial"/>
                <w:sz w:val="20"/>
                <w:szCs w:val="20"/>
              </w:rPr>
              <w:t xml:space="preserve">2,154</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32.3%</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20% (stubs)</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simulation/ (5 modules)</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right"/>
            </w:pPr>
            <w:r>
              <w:rPr>
                <w:rFonts w:ascii="Arial" w:cs="Arial" w:eastAsia="Arial" w:hAnsi="Arial"/>
                <w:sz w:val="20"/>
                <w:szCs w:val="20"/>
              </w:rPr>
              <w:t xml:space="preserve">1,010</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15.2%</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 (production)</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excel_bridge/ (3 modules)</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right"/>
            </w:pPr>
            <w:r>
              <w:rPr>
                <w:rFonts w:ascii="Arial" w:cs="Arial" w:eastAsia="Arial" w:hAnsi="Arial"/>
                <w:sz w:val="20"/>
                <w:szCs w:val="20"/>
              </w:rPr>
              <w:t xml:space="preserve">673</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10.1%</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 (functional)</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api/ (1 module)</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right"/>
            </w:pPr>
            <w:r>
              <w:rPr>
                <w:rFonts w:ascii="Arial" w:cs="Arial" w:eastAsia="Arial" w:hAnsi="Arial"/>
                <w:sz w:val="20"/>
                <w:szCs w:val="20"/>
              </w:rPr>
              <w:t xml:space="preserve">524</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7.9%</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 (endpoints exist)</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ingestion/ (3 modules)</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right"/>
            </w:pPr>
            <w:r>
              <w:rPr>
                <w:rFonts w:ascii="Arial" w:cs="Arial" w:eastAsia="Arial" w:hAnsi="Arial"/>
                <w:sz w:val="20"/>
                <w:szCs w:val="20"/>
              </w:rPr>
              <w:t xml:space="preserve">497</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7.5%</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 (production)</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main.py</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right"/>
            </w:pPr>
            <w:r>
              <w:rPr>
                <w:rFonts w:ascii="Arial" w:cs="Arial" w:eastAsia="Arial" w:hAnsi="Arial"/>
                <w:sz w:val="20"/>
                <w:szCs w:val="20"/>
              </w:rPr>
              <w:t xml:space="preserve">317</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4.8%</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 (production)</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causal/ (1 module)</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right"/>
            </w:pPr>
            <w:r>
              <w:rPr>
                <w:rFonts w:ascii="Arial" w:cs="Arial" w:eastAsia="Arial" w:hAnsi="Arial"/>
                <w:sz w:val="20"/>
                <w:szCs w:val="20"/>
              </w:rPr>
              <w:t xml:space="preserve">218</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3.3%</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 (production)</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backtesting/ (1 module)</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right"/>
            </w:pPr>
            <w:r>
              <w:rPr>
                <w:rFonts w:ascii="Arial" w:cs="Arial" w:eastAsia="Arial" w:hAnsi="Arial"/>
                <w:sz w:val="20"/>
                <w:szCs w:val="20"/>
              </w:rPr>
              <w:t xml:space="preserve">222</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3.3%</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15% (stub)</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elicitation/ (1 module)</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right"/>
            </w:pPr>
            <w:r>
              <w:rPr>
                <w:rFonts w:ascii="Arial" w:cs="Arial" w:eastAsia="Arial" w:hAnsi="Arial"/>
                <w:sz w:val="20"/>
                <w:szCs w:val="20"/>
              </w:rPr>
              <w:t xml:space="preserve">215</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3.2%</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25% (stub)</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game_theory/ (1 module)</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right"/>
            </w:pPr>
            <w:r>
              <w:rPr>
                <w:rFonts w:ascii="Arial" w:cs="Arial" w:eastAsia="Arial" w:hAnsi="Arial"/>
                <w:sz w:val="20"/>
                <w:szCs w:val="20"/>
              </w:rPr>
              <w:t xml:space="preserve">210</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3.2%</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30% (stub)</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optimizer/ (1 module)</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right"/>
            </w:pPr>
            <w:r>
              <w:rPr>
                <w:rFonts w:ascii="Arial" w:cs="Arial" w:eastAsia="Arial" w:hAnsi="Arial"/>
                <w:sz w:val="20"/>
                <w:szCs w:val="20"/>
              </w:rPr>
              <w:t xml:space="preserve">170</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2.6%</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60% (incomplete)</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audit/ (1 module)</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right"/>
            </w:pPr>
            <w:r>
              <w:rPr>
                <w:rFonts w:ascii="Arial" w:cs="Arial" w:eastAsia="Arial" w:hAnsi="Arial"/>
                <w:sz w:val="20"/>
                <w:szCs w:val="20"/>
              </w:rPr>
              <w:t xml:space="preserve">143</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2.1%</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 (functional)</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config.py</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right"/>
            </w:pPr>
            <w:r>
              <w:rPr>
                <w:rFonts w:ascii="Arial" w:cs="Arial" w:eastAsia="Arial" w:hAnsi="Arial"/>
                <w:sz w:val="20"/>
                <w:szCs w:val="20"/>
              </w:rPr>
              <w:t xml:space="preserve">103</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100% (complete)</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Dashboard (React, 15 components)</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right"/>
            </w:pPr>
            <w:r>
              <w:rPr>
                <w:rFonts w:ascii="Arial" w:cs="Arial" w:eastAsia="Arial" w:hAnsi="Arial"/>
                <w:sz w:val="20"/>
                <w:szCs w:val="20"/>
              </w:rPr>
              <w:t xml:space="preserve">4,600+</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n/a</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 (mock data)</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integrations/</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right"/>
            </w:pPr>
            <w:r>
              <w:rPr>
                <w:rFonts w:ascii="Arial" w:cs="Arial" w:eastAsia="Arial" w:hAnsi="Arial"/>
                <w:sz w:val="20"/>
                <w:szCs w:val="20"/>
              </w:rPr>
              <w:t xml:space="preserve">0</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0%</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0% (empty)</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tests/</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right"/>
            </w:pPr>
            <w:r>
              <w:rPr>
                <w:rFonts w:ascii="Arial" w:cs="Arial" w:eastAsia="Arial" w:hAnsi="Arial"/>
                <w:sz w:val="20"/>
                <w:szCs w:val="20"/>
              </w:rPr>
              <w:t xml:space="preserve">0</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0%</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sz w:val="20"/>
                <w:szCs w:val="20"/>
              </w:rPr>
              <w:t xml:space="preserve">0% (empty)</w:t>
            </w:r>
          </w:p>
        </w:tc>
      </w:tr>
      <w:tr>
        <w:tc>
          <w:tcPr>
            <w:tcW w:type="dxa" w:w="3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TOTAL (Python)</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right"/>
            </w:pPr>
            <w:r>
              <w:rPr>
                <w:rFonts w:ascii="Arial" w:cs="Arial" w:eastAsia="Arial" w:hAnsi="Arial"/>
                <w:b/>
                <w:bCs/>
                <w:sz w:val="20"/>
                <w:szCs w:val="20"/>
              </w:rPr>
              <w:t xml:space="preserve">6,656</w:t>
            </w:r>
          </w:p>
        </w:tc>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center"/>
            </w:pPr>
            <w:r>
              <w:rPr>
                <w:rFonts w:ascii="Arial" w:cs="Arial" w:eastAsia="Arial" w:hAnsi="Arial"/>
                <w:b/>
                <w:bCs/>
                <w:sz w:val="20"/>
                <w:szCs w:val="20"/>
              </w:rPr>
              <w:t xml:space="preserve">100%</w:t>
            </w:r>
          </w:p>
        </w:tc>
        <w:tc>
          <w:tcPr>
            <w:tcW w:type="dxa" w:w="286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~55% weighted average</w:t>
            </w:r>
          </w:p>
        </w:tc>
      </w:tr>
    </w:tbl>
    <w:p>
      <w:pPr>
        <w:spacing w:after="400"/>
      </w:pPr>
    </w:p>
    <w:p>
      <w:pPr>
        <w:jc w:val="center"/>
      </w:pPr>
      <w:r>
        <w:rPr>
          <w:rFonts w:ascii="Arial" w:cs="Arial" w:eastAsia="Arial" w:hAnsi="Arial"/>
          <w:i/>
          <w:iCs/>
          <w:color w:val="94A3B8"/>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PULSE Audit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293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2026-03-26T13:53:58.960Z</dcterms:created>
  <dcterms:modified xsi:type="dcterms:W3CDTF">2026-03-26T13:53:58.960Z</dcterms:modified>
</cp:coreProperties>
</file>

<file path=docProps/custom.xml><?xml version="1.0" encoding="utf-8"?>
<Properties xmlns="http://schemas.openxmlformats.org/officeDocument/2006/custom-properties" xmlns:vt="http://schemas.openxmlformats.org/officeDocument/2006/docPropsVTypes"/>
</file>