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400"/>
      </w:pPr>
    </w:p>
    <w:p>
      <w:pPr>
        <w:spacing w:after="80"/>
        <w:jc w:val="left"/>
      </w:pPr>
      <w:r>
        <w:rPr>
          <w:rFonts w:ascii="Arial" w:cs="Arial" w:eastAsia="Arial" w:hAnsi="Arial"/>
          <w:b/>
          <w:bCs/>
          <w:caps/>
          <w:color w:val="2563EB"/>
          <w:spacing w:val="120"/>
          <w:sz w:val="22"/>
          <w:szCs w:val="22"/>
        </w:rPr>
        <w:t xml:space="preserve">INTERNAL BRIEFING</w:t>
      </w:r>
    </w:p>
    <w:p>
      <w:pPr>
        <w:pBdr>
          <w:bottom w:val="single" w:color="2563EB" w:sz="6" w:space="1"/>
        </w:pBdr>
        <w:spacing w:after="300"/>
      </w:pPr>
      <w:r>
        <w:rPr>
          <w:rFonts w:ascii="Arial" w:cs="Arial" w:eastAsia="Arial" w:hAnsi="Arial"/>
          <w:b/>
          <w:bCs/>
          <w:color w:val="0F172A"/>
          <w:sz w:val="72"/>
          <w:szCs w:val="72"/>
        </w:rPr>
        <w:t xml:space="preserve">PRISM</w:t>
      </w:r>
      <w:r>
        <w:rPr>
          <w:rFonts w:ascii="Arial" w:cs="Arial" w:eastAsia="Arial" w:hAnsi="Arial"/>
          <w:color w:val="475569"/>
          <w:sz w:val="36"/>
          <w:szCs w:val="36"/>
        </w:rPr>
        <w:t xml:space="preserve">  v2.3</w:t>
      </w:r>
    </w:p>
    <w:p>
      <w:pPr>
        <w:spacing w:after="120"/>
      </w:pPr>
      <w:r>
        <w:rPr>
          <w:rFonts w:ascii="Arial" w:cs="Arial" w:eastAsia="Arial" w:hAnsi="Arial"/>
          <w:color w:val="1E3A5F"/>
          <w:sz w:val="28"/>
          <w:szCs w:val="28"/>
        </w:rPr>
        <w:t xml:space="preserve">Profit Pool Risk &amp; Intelligence Simulation Model</w:t>
      </w:r>
    </w:p>
    <w:p>
      <w:pPr>
        <w:spacing w:after="600"/>
      </w:pPr>
      <w:r>
        <w:rPr>
          <w:rFonts w:ascii="Arial" w:cs="Arial" w:eastAsia="Arial" w:hAnsi="Arial"/>
          <w:i/>
          <w:iCs/>
          <w:color w:val="475569"/>
          <w:sz w:val="22"/>
          <w:szCs w:val="22"/>
        </w:rPr>
        <w:t xml:space="preserve">A Bayesian, causally-structured profit pool simulation engine
for strategic decision support at Henkel Consumer Brands</w:t>
      </w:r>
    </w:p>
    <w:p>
      <w:pPr>
        <w:spacing w:after="1200"/>
      </w:pP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tblGrid>
      <w:tr>
        <w:tc>
          <w:tcPr>
            <w:tcW w:type="dxa" w:w="1800"/>
            <w:tcBorders>
              <w:top w:val="none" w:sz="0"/>
              <w:left w:val="none" w:sz="0"/>
              <w:bottom w:val="none" w:sz="0"/>
              <w:right w:val="none" w:sz="0"/>
            </w:tcBorders>
            <w:tcMar>
              <w:top w:type="dxa" w:w="40"/>
              <w:left w:type="dxa" w:w="0"/>
              <w:bottom w:type="dxa" w:w="40"/>
              <w:right w:type="dxa" w:w="80"/>
            </w:tcMar>
          </w:tcPr>
          <w:p>
            <w:r>
              <w:rPr>
                <w:rFonts w:ascii="Arial" w:cs="Arial" w:eastAsia="Arial" w:hAnsi="Arial"/>
                <w:color w:val="475569"/>
                <w:sz w:val="20"/>
                <w:szCs w:val="20"/>
              </w:rPr>
              <w:t xml:space="preserve">Classification:</w:t>
            </w:r>
          </w:p>
        </w:tc>
        <w:tc>
          <w:tcPr>
            <w:tcW w:type="dxa" w:w="3000"/>
            <w:tcBorders>
              <w:top w:val="none" w:sz="0"/>
              <w:left w:val="none" w:sz="0"/>
              <w:bottom w:val="none" w:sz="0"/>
              <w:right w:val="none" w:sz="0"/>
            </w:tcBorders>
            <w:tcMar>
              <w:top w:type="dxa" w:w="40"/>
              <w:left w:type="dxa" w:w="0"/>
              <w:bottom w:type="dxa" w:w="40"/>
              <w:right w:type="dxa" w:w="0"/>
            </w:tcMar>
          </w:tcPr>
          <w:p>
            <w:r>
              <w:rPr>
                <w:rFonts w:ascii="Arial" w:cs="Arial" w:eastAsia="Arial" w:hAnsi="Arial"/>
                <w:b/>
                <w:bCs/>
                <w:color w:val="0F172A"/>
                <w:sz w:val="20"/>
                <w:szCs w:val="20"/>
              </w:rPr>
              <w:t xml:space="preserve">Confidential — Internal</w:t>
            </w:r>
          </w:p>
        </w:tc>
      </w:tr>
      <w:tr>
        <w:tc>
          <w:tcPr>
            <w:tcW w:type="dxa" w:w="1800"/>
            <w:tcBorders>
              <w:top w:val="none" w:sz="0"/>
              <w:left w:val="none" w:sz="0"/>
              <w:bottom w:val="none" w:sz="0"/>
              <w:right w:val="none" w:sz="0"/>
            </w:tcBorders>
            <w:tcMar>
              <w:top w:type="dxa" w:w="40"/>
              <w:left w:type="dxa" w:w="0"/>
              <w:bottom w:type="dxa" w:w="40"/>
              <w:right w:type="dxa" w:w="80"/>
            </w:tcMar>
          </w:tcPr>
          <w:p>
            <w:r>
              <w:rPr>
                <w:rFonts w:ascii="Arial" w:cs="Arial" w:eastAsia="Arial" w:hAnsi="Arial"/>
                <w:color w:val="475569"/>
                <w:sz w:val="20"/>
                <w:szCs w:val="20"/>
              </w:rPr>
              <w:t xml:space="preserve">Date:</w:t>
            </w:r>
          </w:p>
        </w:tc>
        <w:tc>
          <w:tcPr>
            <w:tcW w:type="dxa" w:w="3000"/>
            <w:tcBorders>
              <w:top w:val="none" w:sz="0"/>
              <w:left w:val="none" w:sz="0"/>
              <w:bottom w:val="none" w:sz="0"/>
              <w:right w:val="none" w:sz="0"/>
            </w:tcBorders>
            <w:tcMar>
              <w:top w:type="dxa" w:w="40"/>
              <w:left w:type="dxa" w:w="0"/>
              <w:bottom w:type="dxa" w:w="40"/>
              <w:right w:type="dxa" w:w="0"/>
            </w:tcMar>
          </w:tcPr>
          <w:p>
            <w:r>
              <w:rPr>
                <w:rFonts w:ascii="Arial" w:cs="Arial" w:eastAsia="Arial" w:hAnsi="Arial"/>
                <w:color w:val="1E293B"/>
                <w:sz w:val="20"/>
                <w:szCs w:val="20"/>
              </w:rPr>
              <w:t xml:space="preserve">March 2026</w:t>
            </w:r>
          </w:p>
        </w:tc>
      </w:tr>
      <w:tr>
        <w:tc>
          <w:tcPr>
            <w:tcW w:type="dxa" w:w="1800"/>
            <w:tcBorders>
              <w:top w:val="none" w:sz="0"/>
              <w:left w:val="none" w:sz="0"/>
              <w:bottom w:val="none" w:sz="0"/>
              <w:right w:val="none" w:sz="0"/>
            </w:tcBorders>
            <w:tcMar>
              <w:top w:type="dxa" w:w="40"/>
              <w:left w:type="dxa" w:w="0"/>
              <w:bottom w:type="dxa" w:w="40"/>
              <w:right w:type="dxa" w:w="80"/>
            </w:tcMar>
          </w:tcPr>
          <w:p>
            <w:r>
              <w:rPr>
                <w:rFonts w:ascii="Arial" w:cs="Arial" w:eastAsia="Arial" w:hAnsi="Arial"/>
                <w:color w:val="475569"/>
                <w:sz w:val="20"/>
                <w:szCs w:val="20"/>
              </w:rPr>
              <w:t xml:space="preserve">Audience:</w:t>
            </w:r>
          </w:p>
        </w:tc>
        <w:tc>
          <w:tcPr>
            <w:tcW w:type="dxa" w:w="3000"/>
            <w:tcBorders>
              <w:top w:val="none" w:sz="0"/>
              <w:left w:val="none" w:sz="0"/>
              <w:bottom w:val="none" w:sz="0"/>
              <w:right w:val="none" w:sz="0"/>
            </w:tcBorders>
            <w:tcMar>
              <w:top w:type="dxa" w:w="40"/>
              <w:left w:type="dxa" w:w="0"/>
              <w:bottom w:type="dxa" w:w="40"/>
              <w:right w:type="dxa" w:w="0"/>
            </w:tcMar>
          </w:tcPr>
          <w:p>
            <w:r>
              <w:rPr>
                <w:rFonts w:ascii="Arial" w:cs="Arial" w:eastAsia="Arial" w:hAnsi="Arial"/>
                <w:color w:val="1E293B"/>
                <w:sz w:val="20"/>
                <w:szCs w:val="20"/>
              </w:rPr>
              <w:t xml:space="preserve">Senior Management Team</w:t>
            </w:r>
          </w:p>
        </w:tc>
      </w:tr>
    </w:tbl>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0F172A"/>
          <w:sz w:val="32"/>
          <w:szCs w:val="32"/>
        </w:rPr>
        <w:t xml:space="preserve">1. Executive Summary</w:t>
      </w:r>
    </w:p>
    <w:p>
      <w:pPr>
        <w:spacing w:after="160" w:line="312"/>
      </w:pPr>
      <w:r>
        <w:rPr>
          <w:rFonts w:ascii="Arial" w:cs="Arial" w:eastAsia="Arial" w:hAnsi="Arial"/>
          <w:color w:val="1E293B"/>
          <w:sz w:val="22"/>
          <w:szCs w:val="22"/>
        </w:rPr>
        <w:t xml:space="preserve">PRISM (Profit Pool Risk &amp; Intelligence Simulation Model) is a </w:t>
      </w:r>
      <w:r>
        <w:rPr>
          <w:rFonts w:ascii="Arial" w:cs="Arial" w:eastAsia="Arial" w:hAnsi="Arial"/>
          <w:b/>
          <w:bCs/>
          <w:color w:val="1E293B"/>
          <w:sz w:val="22"/>
          <w:szCs w:val="22"/>
        </w:rPr>
        <w:t xml:space="preserve">probabilistic, AI-augmented profit pool simulation engine</w:t>
      </w:r>
      <w:r>
        <w:rPr>
          <w:rFonts w:ascii="Arial" w:cs="Arial" w:eastAsia="Arial" w:hAnsi="Arial"/>
          <w:color w:val="1E293B"/>
          <w:sz w:val="22"/>
          <w:szCs w:val="22"/>
        </w:rPr>
        <w:t xml:space="preserve"> that we have built to replace and substantially upgrade the static Excel-based strategic force assessment (V12). It transforms directional expert scores into a fully quantified, causally-structured projection of how profit pools across our 13 HCB categories will shift over the 2026–2030 planning horizon.</w:t>
      </w:r>
    </w:p>
    <w:p>
      <w:pPr>
        <w:spacing w:after="160" w:line="312"/>
      </w:pPr>
      <w:r>
        <w:rPr>
          <w:rFonts w:ascii="Arial" w:cs="Arial" w:eastAsia="Arial" w:hAnsi="Arial"/>
          <w:color w:val="1E293B"/>
          <w:sz w:val="22"/>
          <w:szCs w:val="22"/>
        </w:rPr>
        <w:t xml:space="preserve">The central output is the </w:t>
      </w:r>
      <w:r>
        <w:rPr>
          <w:rFonts w:ascii="Arial" w:cs="Arial" w:eastAsia="Arial" w:hAnsi="Arial"/>
          <w:b/>
          <w:bCs/>
          <w:color w:val="1E293B"/>
          <w:sz w:val="22"/>
          <w:szCs w:val="22"/>
        </w:rPr>
        <w:t xml:space="preserve">Shift Matrix</w:t>
      </w:r>
      <w:r>
        <w:rPr>
          <w:rFonts w:ascii="Arial" w:cs="Arial" w:eastAsia="Arial" w:hAnsi="Arial"/>
          <w:color w:val="1E293B"/>
          <w:sz w:val="22"/>
          <w:szCs w:val="22"/>
        </w:rPr>
        <w:t xml:space="preserve"> — a table of percentage-based impacts by category × force × year, delivered with full confidence intervals (p10 through p90). These shifts are applied directly to actual financial data in Excel or Power BI, enabling scenario-based planning at every level of granularity: </w:t>
      </w:r>
      <w:r>
        <w:rPr>
          <w:rFonts w:ascii="JetBrains Mono" w:cs="JetBrains Mono" w:eastAsia="JetBrains Mono" w:hAnsi="JetBrains Mono"/>
          <w:color w:val="2563EB"/>
          <w:sz w:val="20"/>
          <w:szCs w:val="20"/>
        </w:rPr>
        <w:t xml:space="preserve">GP1_projected = GP1_actual × (1 + shift_median)</w:t>
      </w:r>
      <w:r>
        <w:rPr>
          <w:rFonts w:ascii="Arial" w:cs="Arial" w:eastAsia="Arial" w:hAnsi="Arial"/>
          <w:color w:val="1E293B"/>
          <w:sz w:val="22"/>
          <w:szCs w:val="22"/>
        </w:rPr>
        <w:t xml:space="preserve">.</w:t>
      </w:r>
    </w:p>
    <w:p>
      <w:pPr>
        <w:spacing w:after="160" w:line="312"/>
      </w:pPr>
      <w:r>
        <w:rPr>
          <w:rFonts w:ascii="Arial" w:cs="Arial" w:eastAsia="Arial" w:hAnsi="Arial"/>
          <w:color w:val="1E293B"/>
          <w:sz w:val="22"/>
          <w:szCs w:val="22"/>
        </w:rPr>
        <w:t xml:space="preserve">PRISM does not replace human judgment. It augments it. Every AI suggestion requires human review. Every score originates from structured expert elicitation. The model earns credibility through backtesting before it makes predictions.</w:t>
      </w:r>
    </w:p>
    <w:p>
      <w:pPr>
        <w:pStyle w:val="Heading1"/>
        <w:spacing w:after="200" w:before="360"/>
      </w:pPr>
      <w:r>
        <w:rPr>
          <w:rFonts w:ascii="Arial" w:cs="Arial" w:eastAsia="Arial" w:hAnsi="Arial"/>
          <w:b/>
          <w:bCs/>
          <w:color w:val="0F172A"/>
          <w:sz w:val="32"/>
          <w:szCs w:val="32"/>
        </w:rPr>
        <w:t xml:space="preserve">2. Why This Matters: The Profit Pool Logic</w:t>
      </w:r>
    </w:p>
    <w:p>
      <w:pPr>
        <w:spacing w:after="160" w:line="312"/>
      </w:pPr>
      <w:r>
        <w:rPr>
          <w:rFonts w:ascii="Arial" w:cs="Arial" w:eastAsia="Arial" w:hAnsi="Arial"/>
          <w:color w:val="1E293B"/>
          <w:sz w:val="22"/>
          <w:szCs w:val="22"/>
        </w:rPr>
        <w:t xml:space="preserve">The strategic premise behind PRISM is that </w:t>
      </w:r>
      <w:r>
        <w:rPr>
          <w:rFonts w:ascii="Arial" w:cs="Arial" w:eastAsia="Arial" w:hAnsi="Arial"/>
          <w:b/>
          <w:bCs/>
          <w:color w:val="1E293B"/>
          <w:sz w:val="22"/>
          <w:szCs w:val="22"/>
        </w:rPr>
        <w:t xml:space="preserve">revenue growth without profit pool awareness is a vanity metric</w:t>
      </w:r>
      <w:r>
        <w:rPr>
          <w:rFonts w:ascii="Arial" w:cs="Arial" w:eastAsia="Arial" w:hAnsi="Arial"/>
          <w:color w:val="1E293B"/>
          <w:sz w:val="22"/>
          <w:szCs w:val="22"/>
        </w:rPr>
        <w:t xml:space="preserve">. What matters is not just whether a category grows, but where the profit accumulates, who captures it, and which structural forces are shifting it.</w:t>
      </w:r>
    </w:p>
    <w:p>
      <w:pPr>
        <w:spacing w:after="160" w:line="312"/>
      </w:pPr>
      <w:r>
        <w:rPr>
          <w:rFonts w:ascii="Arial" w:cs="Arial" w:eastAsia="Arial" w:hAnsi="Arial"/>
          <w:color w:val="1E293B"/>
          <w:sz w:val="22"/>
          <w:szCs w:val="22"/>
        </w:rPr>
        <w:t xml:space="preserve">A profit pool represents the total economic profit generated across a category, distributed along the value chain: from raw materials sourcing through manufacturing, branding, distribution, retail, and after-sale. Profit pools shift over time driven by six structural forces: Consumer behavior, Technology disruption, Government regulation, Environmental pressure, Customer (retail/channel) dynamics, and Competitive repositioning.</w:t>
      </w:r>
    </w:p>
    <w:p>
      <w:pPr>
        <w:spacing w:after="160" w:line="312"/>
      </w:pPr>
      <w:r>
        <w:rPr>
          <w:rFonts w:ascii="Arial" w:cs="Arial" w:eastAsia="Arial" w:hAnsi="Arial"/>
          <w:color w:val="1E293B"/>
          <w:sz w:val="22"/>
          <w:szCs w:val="22"/>
        </w:rPr>
        <w:t xml:space="preserve">PRISM quantifies these shifts. For each of our 13 HCB categories, it answers three questions: </w:t>
      </w:r>
      <w:r>
        <w:rPr>
          <w:rFonts w:ascii="Arial" w:cs="Arial" w:eastAsia="Arial" w:hAnsi="Arial"/>
          <w:b/>
          <w:bCs/>
          <w:color w:val="1E293B"/>
          <w:sz w:val="22"/>
          <w:szCs w:val="22"/>
        </w:rPr>
        <w:t xml:space="preserve">How much will the profit pool shift?</w:t>
      </w:r>
      <w:r>
        <w:rPr>
          <w:rFonts w:ascii="Arial" w:cs="Arial" w:eastAsia="Arial" w:hAnsi="Arial"/>
          <w:color w:val="1E293B"/>
          <w:sz w:val="22"/>
          <w:szCs w:val="22"/>
        </w:rPr>
        <w:t xml:space="preserve"> (magnitude and direction), </w:t>
      </w:r>
      <w:r>
        <w:rPr>
          <w:rFonts w:ascii="Arial" w:cs="Arial" w:eastAsia="Arial" w:hAnsi="Arial"/>
          <w:b/>
          <w:bCs/>
          <w:color w:val="1E293B"/>
          <w:sz w:val="22"/>
          <w:szCs w:val="22"/>
        </w:rPr>
        <w:t xml:space="preserve">Why?</w:t>
      </w:r>
      <w:r>
        <w:rPr>
          <w:rFonts w:ascii="Arial" w:cs="Arial" w:eastAsia="Arial" w:hAnsi="Arial"/>
          <w:color w:val="1E293B"/>
          <w:sz w:val="22"/>
          <w:szCs w:val="22"/>
        </w:rPr>
        <w:t xml:space="preserve"> (which forces, through which causal pathways), and </w:t>
      </w:r>
      <w:r>
        <w:rPr>
          <w:rFonts w:ascii="Arial" w:cs="Arial" w:eastAsia="Arial" w:hAnsi="Arial"/>
          <w:b/>
          <w:bCs/>
          <w:color w:val="1E293B"/>
          <w:sz w:val="22"/>
          <w:szCs w:val="22"/>
        </w:rPr>
        <w:t xml:space="preserve">What should we do about it?</w:t>
      </w:r>
      <w:r>
        <w:rPr>
          <w:rFonts w:ascii="Arial" w:cs="Arial" w:eastAsia="Arial" w:hAnsi="Arial"/>
          <w:color w:val="1E293B"/>
          <w:sz w:val="22"/>
          <w:szCs w:val="22"/>
        </w:rPr>
        <w:t xml:space="preserve"> (resource allocation recommendations).</w:t>
      </w:r>
    </w:p>
    <w:p>
      <w:pPr>
        <w:spacing w:after="160" w:line="312"/>
      </w:pPr>
      <w:r>
        <w:rPr>
          <w:rFonts w:ascii="Arial" w:cs="Arial" w:eastAsia="Arial" w:hAnsi="Arial"/>
          <w:color w:val="1E293B"/>
          <w:sz w:val="22"/>
          <w:szCs w:val="22"/>
        </w:rPr>
        <w:t xml:space="preserve">The model tracks 55 trends across six force dimensions, each scored on probability of materialization (1–5) and economic scope (the fraction of category GP1 that the trend can realistically touch, ranging from 2% to 25%). These scores are not arbitrary — they originate from a formal Delphi expert elicitation protocol with calibration exercises, bias detection, and inter-rater reliability measurement.</w:t>
      </w:r>
    </w:p>
    <w:p>
      <w:pPr>
        <w:pStyle w:val="Heading1"/>
        <w:spacing w:after="200" w:before="360"/>
      </w:pPr>
      <w:r>
        <w:rPr>
          <w:rFonts w:ascii="Arial" w:cs="Arial" w:eastAsia="Arial" w:hAnsi="Arial"/>
          <w:b/>
          <w:bCs/>
          <w:color w:val="0F172A"/>
          <w:sz w:val="32"/>
          <w:szCs w:val="32"/>
        </w:rPr>
        <w:t xml:space="preserve">3. How It Works: The Engine Mechanics</w:t>
      </w:r>
    </w:p>
    <w:p>
      <w:pPr>
        <w:pStyle w:val="Heading2"/>
        <w:spacing w:after="120" w:before="240"/>
      </w:pPr>
      <w:r>
        <w:rPr>
          <w:rFonts w:ascii="Arial" w:cs="Arial" w:eastAsia="Arial" w:hAnsi="Arial"/>
          <w:b/>
          <w:bCs/>
          <w:color w:val="1E3A5F"/>
          <w:sz w:val="26"/>
          <w:szCs w:val="26"/>
        </w:rPr>
        <w:t xml:space="preserve">3.1 From Expert Scores to Probabilistic Distributions</w:t>
      </w:r>
    </w:p>
    <w:p>
      <w:pPr>
        <w:spacing w:after="160" w:line="312"/>
      </w:pPr>
      <w:r>
        <w:rPr>
          <w:rFonts w:ascii="Arial" w:cs="Arial" w:eastAsia="Arial" w:hAnsi="Arial"/>
          <w:color w:val="1E293B"/>
          <w:sz w:val="22"/>
          <w:szCs w:val="22"/>
        </w:rPr>
        <w:t xml:space="preserve">Traditional force assessments produce point estimates: a single score per trend. PRISM replaces these with </w:t>
      </w:r>
      <w:r>
        <w:rPr>
          <w:rFonts w:ascii="Arial" w:cs="Arial" w:eastAsia="Arial" w:hAnsi="Arial"/>
          <w:b/>
          <w:bCs/>
          <w:color w:val="1E293B"/>
          <w:sz w:val="22"/>
          <w:szCs w:val="22"/>
        </w:rPr>
        <w:t xml:space="preserve">Bayesian posterior distributions</w:t>
      </w:r>
      <w:r>
        <w:rPr>
          <w:rFonts w:ascii="Arial" w:cs="Arial" w:eastAsia="Arial" w:hAnsi="Arial"/>
          <w:color w:val="1E293B"/>
          <w:sz w:val="22"/>
          <w:szCs w:val="22"/>
        </w:rPr>
        <w:t xml:space="preserve">. Each trend’s probability score is modeled as a Beta distribution whose parameters update as evidence arrives. When backtesting data exists (comparing past predictions against actual market outcomes), the posteriors are empirically calibrated. When it does not, weakly informative priors (Beta(2,2)) are used and clearly labeled as such.</w:t>
      </w:r>
    </w:p>
    <w:p>
      <w:pPr>
        <w:spacing w:after="160" w:line="312"/>
      </w:pPr>
      <w:r>
        <w:rPr>
          <w:rFonts w:ascii="Arial" w:cs="Arial" w:eastAsia="Arial" w:hAnsi="Arial"/>
          <w:color w:val="1E293B"/>
          <w:sz w:val="22"/>
          <w:szCs w:val="22"/>
        </w:rPr>
        <w:t xml:space="preserve">This matters because a score of “4 out of 5” tells you nothing about uncertainty. A Bayesian posterior tells you: “We are 80% confident the true probability lies between 0.65 and 0.90.” That uncertainty propagates through the entire simulation, producing honest confidence intervals on every output.</w:t>
      </w:r>
    </w:p>
    <w:p>
      <w:pPr>
        <w:pStyle w:val="Heading2"/>
        <w:spacing w:after="120" w:before="240"/>
      </w:pPr>
      <w:r>
        <w:rPr>
          <w:rFonts w:ascii="Arial" w:cs="Arial" w:eastAsia="Arial" w:hAnsi="Arial"/>
          <w:b/>
          <w:bCs/>
          <w:color w:val="1E3A5F"/>
          <w:sz w:val="26"/>
          <w:szCs w:val="26"/>
        </w:rPr>
        <w:t xml:space="preserve">3.2 Copula-Based Dependency Modeling</w:t>
      </w:r>
    </w:p>
    <w:p>
      <w:pPr>
        <w:spacing w:after="160" w:line="312"/>
      </w:pPr>
      <w:r>
        <w:rPr>
          <w:rFonts w:ascii="Arial" w:cs="Arial" w:eastAsia="Arial" w:hAnsi="Arial"/>
          <w:color w:val="1E293B"/>
          <w:sz w:val="22"/>
          <w:szCs w:val="22"/>
        </w:rPr>
        <w:t xml:space="preserve">Trends do not materialize independently. When regulatory pressure increases, it simultaneously affects reformulation costs, consumer willingness-to-pay, and competitive positioning. PRISM models these dependencies using a </w:t>
      </w:r>
      <w:r>
        <w:rPr>
          <w:rFonts w:ascii="Arial" w:cs="Arial" w:eastAsia="Arial" w:hAnsi="Arial"/>
          <w:b/>
          <w:bCs/>
          <w:color w:val="1E293B"/>
          <w:sz w:val="22"/>
          <w:szCs w:val="22"/>
        </w:rPr>
        <w:t xml:space="preserve">Gaussian copula with t-copula tails</w:t>
      </w:r>
      <w:r>
        <w:rPr>
          <w:rFonts w:ascii="Arial" w:cs="Arial" w:eastAsia="Arial" w:hAnsi="Arial"/>
          <w:color w:val="1E293B"/>
          <w:sz w:val="22"/>
          <w:szCs w:val="22"/>
        </w:rPr>
        <w:t xml:space="preserve"> (4 degrees of freedom). The key insight: linear correlation underestimates tail dependence. In crisis scenarios, things go wrong together more than normal-distribution models predict. The t-copula captures this “crisis correlation” effect, producing more realistic worst-case scenarios.</w:t>
      </w:r>
    </w:p>
    <w:p>
      <w:pPr>
        <w:pStyle w:val="Heading2"/>
        <w:spacing w:after="120" w:before="240"/>
      </w:pPr>
      <w:r>
        <w:rPr>
          <w:rFonts w:ascii="Arial" w:cs="Arial" w:eastAsia="Arial" w:hAnsi="Arial"/>
          <w:b/>
          <w:bCs/>
          <w:color w:val="1E3A5F"/>
          <w:sz w:val="26"/>
          <w:szCs w:val="26"/>
        </w:rPr>
        <w:t xml:space="preserve">3.3 The Causal DAG: Forces Are Not Independent</w:t>
      </w:r>
    </w:p>
    <w:p>
      <w:pPr>
        <w:spacing w:after="160" w:line="312"/>
      </w:pPr>
      <w:r>
        <w:rPr>
          <w:rFonts w:ascii="Arial" w:cs="Arial" w:eastAsia="Arial" w:hAnsi="Arial"/>
          <w:color w:val="1E293B"/>
          <w:sz w:val="22"/>
          <w:szCs w:val="22"/>
        </w:rPr>
        <w:t xml:space="preserve">This is one of PRISM’s most important innovations. The six strategic forces are connected through a </w:t>
      </w:r>
      <w:r>
        <w:rPr>
          <w:rFonts w:ascii="Arial" w:cs="Arial" w:eastAsia="Arial" w:hAnsi="Arial"/>
          <w:b/>
          <w:bCs/>
          <w:color w:val="1E293B"/>
          <w:sz w:val="22"/>
          <w:szCs w:val="22"/>
        </w:rPr>
        <w:t xml:space="preserve">Directed Acyclic Graph (DAG)</w:t>
      </w:r>
      <w:r>
        <w:rPr>
          <w:rFonts w:ascii="Arial" w:cs="Arial" w:eastAsia="Arial" w:hAnsi="Arial"/>
          <w:color w:val="1E293B"/>
          <w:sz w:val="22"/>
          <w:szCs w:val="22"/>
        </w:rPr>
        <w:t xml:space="preserve"> that models causal propagation. For example: EU regulation on PFAS (Government) triggers reformulation R&amp;D spend (Technology, weight 0.6, 1-year lag), which increases shelf prices (Customer, weight 0.4, 1-year lag), which shifts consumer behavior (Consumer). When you “shock” one force in the model, the impact propagates through these directed causal pathways — each with a calibrated weight and time lag.</w:t>
      </w:r>
    </w:p>
    <w:p>
      <w:pPr>
        <w:spacing w:after="160" w:line="312"/>
      </w:pPr>
      <w:r>
        <w:rPr>
          <w:rFonts w:ascii="Arial" w:cs="Arial" w:eastAsia="Arial" w:hAnsi="Arial"/>
          <w:color w:val="1E293B"/>
          <w:sz w:val="22"/>
          <w:szCs w:val="22"/>
        </w:rPr>
        <w:t xml:space="preserve">This makes PRISM fundamentally different from models that treat each force as an independent input channel. A regulatory shock and a technology shock produce different propagation signatures, enabling structurally different scenario responses.</w:t>
      </w:r>
    </w:p>
    <w:p>
      <w:pPr>
        <w:pStyle w:val="Heading2"/>
        <w:spacing w:after="120" w:before="240"/>
      </w:pPr>
      <w:r>
        <w:rPr>
          <w:rFonts w:ascii="Arial" w:cs="Arial" w:eastAsia="Arial" w:hAnsi="Arial"/>
          <w:b/>
          <w:bCs/>
          <w:color w:val="1E3A5F"/>
          <w:sz w:val="26"/>
          <w:szCs w:val="26"/>
        </w:rPr>
        <w:t xml:space="preserve">3.4 Continuous Path Modeling (2026–2030)</w:t>
      </w:r>
    </w:p>
    <w:p>
      <w:pPr>
        <w:spacing w:after="160" w:line="312"/>
      </w:pPr>
      <w:r>
        <w:rPr>
          <w:rFonts w:ascii="Arial" w:cs="Arial" w:eastAsia="Arial" w:hAnsi="Arial"/>
          <w:color w:val="1E293B"/>
          <w:sz w:val="22"/>
          <w:szCs w:val="22"/>
        </w:rPr>
        <w:t xml:space="preserve">Instead of two discrete time horizons (mid-term and long-term), PRISM produces continuous annual paths from 2026 through 2030. Each trend follows a materialization curve — regulatory trends front-load (step-function-like, because laws have effective dates), while technology trends follow S-curves (slow adoption, rapid acceleration, plateau). The model tracks path velocity (rate of change) and acceleration (change in rate of change), enabling early-warning triggers: if a category’s shift exceeds a predefined threshold by a given year, an alert fires.</w:t>
      </w:r>
    </w:p>
    <w:p>
      <w:pPr>
        <w:pStyle w:val="Heading2"/>
        <w:spacing w:after="120" w:before="240"/>
      </w:pPr>
      <w:r>
        <w:rPr>
          <w:rFonts w:ascii="Arial" w:cs="Arial" w:eastAsia="Arial" w:hAnsi="Arial"/>
          <w:b/>
          <w:bCs/>
          <w:color w:val="1E3A5F"/>
          <w:sz w:val="26"/>
          <w:szCs w:val="26"/>
        </w:rPr>
        <w:t xml:space="preserve">3.5 Game Theory: Competitive Responses</w:t>
      </w:r>
    </w:p>
    <w:p>
      <w:pPr>
        <w:spacing w:after="160" w:line="312"/>
      </w:pPr>
      <w:r>
        <w:rPr>
          <w:rFonts w:ascii="Arial" w:cs="Arial" w:eastAsia="Arial" w:hAnsi="Arial"/>
          <w:color w:val="1E293B"/>
          <w:sz w:val="22"/>
          <w:szCs w:val="22"/>
        </w:rPr>
        <w:t xml:space="preserve">Profit pools shift partly because competitors act. PRISM includes a simplified game-theoretic layer that models the likely strategic responses of the top 3–5 competitors (P&amp;G, Unilever, Reckitt) based on their archetypes (premium defender, sustainability leader, hygiene specialist) and historical response patterns. The model iteratively estimates competitive responses until reaching a Nash-like equilibrium, producing second-order pool shift effects.</w:t>
      </w:r>
    </w:p>
    <w:p>
      <w:pPr>
        <w:pStyle w:val="Heading2"/>
        <w:spacing w:after="120" w:before="240"/>
      </w:pPr>
      <w:r>
        <w:rPr>
          <w:rFonts w:ascii="Arial" w:cs="Arial" w:eastAsia="Arial" w:hAnsi="Arial"/>
          <w:b/>
          <w:bCs/>
          <w:color w:val="1E3A5F"/>
          <w:sz w:val="26"/>
          <w:szCs w:val="26"/>
        </w:rPr>
        <w:t xml:space="preserve">3.6 Resource Allocation Optimizer</w:t>
      </w:r>
    </w:p>
    <w:p>
      <w:pPr>
        <w:spacing w:after="160" w:line="312"/>
      </w:pPr>
      <w:r>
        <w:rPr>
          <w:rFonts w:ascii="Arial" w:cs="Arial" w:eastAsia="Arial" w:hAnsi="Arial"/>
          <w:color w:val="1E293B"/>
          <w:sz w:val="22"/>
          <w:szCs w:val="22"/>
        </w:rPr>
        <w:t xml:space="preserve">PRISM does not stop at analysis. The optimizer takes the full Monte Carlo distribution of category shifts and solves a mean-variance optimization: </w:t>
      </w:r>
      <w:r>
        <w:rPr>
          <w:rFonts w:ascii="Arial" w:cs="Arial" w:eastAsia="Arial" w:hAnsi="Arial"/>
          <w:b/>
          <w:bCs/>
          <w:color w:val="1E293B"/>
          <w:sz w:val="22"/>
          <w:szCs w:val="22"/>
        </w:rPr>
        <w:t xml:space="preserve">maximize risk-adjusted pool capture across the 13-category portfolio</w:t>
      </w:r>
      <w:r>
        <w:rPr>
          <w:rFonts w:ascii="Arial" w:cs="Arial" w:eastAsia="Arial" w:hAnsi="Arial"/>
          <w:color w:val="1E293B"/>
          <w:sz w:val="22"/>
          <w:szCs w:val="22"/>
        </w:rPr>
        <w:t xml:space="preserve">, subject to minimum/maximum allocation constraints and a turnover limit (preventing unrealistic year-over-year reallocation). The output is relative weights (“invest X% more in Care vs. Color”), never absolute €M.</w:t>
      </w:r>
    </w:p>
    <w:p>
      <w:pPr>
        <w:pStyle w:val="Heading1"/>
        <w:spacing w:after="200" w:before="360"/>
      </w:pPr>
      <w:r>
        <w:rPr>
          <w:rFonts w:ascii="Arial" w:cs="Arial" w:eastAsia="Arial" w:hAnsi="Arial"/>
          <w:b/>
          <w:bCs/>
          <w:color w:val="0F172A"/>
          <w:sz w:val="32"/>
          <w:szCs w:val="32"/>
        </w:rPr>
        <w:t xml:space="preserve">4. The Trend Database</w:t>
      </w:r>
    </w:p>
    <w:p>
      <w:pPr>
        <w:spacing w:after="160" w:line="312"/>
      </w:pPr>
      <w:r>
        <w:rPr>
          <w:rFonts w:ascii="Arial" w:cs="Arial" w:eastAsia="Arial" w:hAnsi="Arial"/>
          <w:color w:val="1E293B"/>
          <w:sz w:val="22"/>
          <w:szCs w:val="22"/>
        </w:rPr>
        <w:t xml:space="preserve">PRISM tracks 55 trends distributed across six force dimensions. Each trend carries a structured evidence base with sources rated on a 9-tier credibility scale (S-tier: official regulatory/legislative, down to E-tier: social media, never cited without higher-tier corroboration). The database was expanded based on Senior Partner-level gap analysis to include emerging forces such as Generative AI Product Discovery Disruption, Tariffs/Trade Wars/Deglobalization, Energy Cost Volatility, and the Refill &amp; Reuse Economy.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Force Dimension</w:t>
            </w:r>
          </w:p>
        </w:tc>
        <w:tc>
          <w:tcPr>
            <w:tcW w:type="dxa" w:w="1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Trends</w:t>
            </w:r>
          </w:p>
        </w:tc>
        <w:tc>
          <w:tcPr>
            <w:tcW w:type="dxa" w:w="47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Themes</w:t>
            </w:r>
          </w:p>
        </w:tc>
      </w:tr>
      <w:tr>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1E293B"/>
                <w:sz w:val="20"/>
                <w:szCs w:val="20"/>
              </w:rPr>
              <w:t xml:space="preserve">Consumer</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15</w:t>
            </w:r>
          </w:p>
        </w:tc>
        <w:tc>
          <w:tcPr>
            <w:tcW w:type="dxa" w:w="47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Natural/Clean Beauty, Private Label, Silver Economy, DTC, Between-Wash Care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bCs/>
                <w:color w:val="1E293B"/>
                <w:sz w:val="20"/>
                <w:szCs w:val="20"/>
              </w:rPr>
              <w:t xml:space="preserve">Technology</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10</w:t>
            </w:r>
          </w:p>
        </w:tc>
        <w:tc>
          <w:tcPr>
            <w:tcW w:type="dxa" w:w="4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GenAI Discovery, Smart Dosing, Waterless/Concentrated, AI Marketing</w:t>
            </w:r>
          </w:p>
        </w:tc>
      </w:tr>
      <w:tr>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1E293B"/>
                <w:sz w:val="20"/>
                <w:szCs w:val="20"/>
              </w:rPr>
              <w:t xml:space="preserve">Environmental</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8</w:t>
            </w:r>
          </w:p>
        </w:tc>
        <w:tc>
          <w:tcPr>
            <w:tcW w:type="dxa" w:w="47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PFAS Regulation, Microplastics, Energy Cost Volatility, Textile Longevity</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bCs/>
                <w:color w:val="1E293B"/>
                <w:sz w:val="20"/>
                <w:szCs w:val="20"/>
              </w:rPr>
              <w:t xml:space="preserve">Government</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8</w:t>
            </w:r>
          </w:p>
        </w:tc>
        <w:tc>
          <w:tcPr>
            <w:tcW w:type="dxa" w:w="4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DPP/Ecodesign, CSRD, Tariffs/Deglobalization, Water Scarcity Policy</w:t>
            </w:r>
          </w:p>
        </w:tc>
      </w:tr>
      <w:tr>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1E293B"/>
                <w:sz w:val="20"/>
                <w:szCs w:val="20"/>
              </w:rPr>
              <w:t xml:space="preserve">Customer (Retail)</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7</w:t>
            </w:r>
          </w:p>
        </w:tc>
        <w:tc>
          <w:tcPr>
            <w:tcW w:type="dxa" w:w="47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E-Commerce Acceleration, Retail Media, Discounter Expansion</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bCs/>
                <w:color w:val="1E293B"/>
                <w:sz w:val="20"/>
                <w:szCs w:val="20"/>
              </w:rPr>
              <w:t xml:space="preserve">Competitive</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7</w:t>
            </w:r>
          </w:p>
        </w:tc>
        <w:tc>
          <w:tcPr>
            <w:tcW w:type="dxa" w:w="4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M&amp;A Consolidation, Private Label Premiumization, DTC Challenger Brands</w:t>
            </w:r>
          </w:p>
        </w:tc>
      </w:tr>
    </w:tbl>
    <w:p>
      <w:pPr>
        <w:spacing w:after="200"/>
      </w:pPr>
    </w:p>
    <w:p>
      <w:pPr>
        <w:spacing w:after="160" w:line="312"/>
      </w:pPr>
      <w:r>
        <w:rPr>
          <w:rFonts w:ascii="Arial" w:cs="Arial" w:eastAsia="Arial" w:hAnsi="Arial"/>
          <w:color w:val="1E293B"/>
          <w:sz w:val="22"/>
          <w:szCs w:val="22"/>
        </w:rPr>
        <w:t xml:space="preserve">All 220 sources across these 55 trends are rated with credibility badges (S through E) and are updated with 2025–2026 market intelligence. The scoring formula is intentionally simple: </w:t>
      </w:r>
      <w:r>
        <w:rPr>
          <w:rFonts w:ascii="JetBrains Mono" w:cs="JetBrains Mono" w:eastAsia="JetBrains Mono" w:hAnsi="JetBrains Mono"/>
          <w:color w:val="2563EB"/>
          <w:sz w:val="20"/>
          <w:szCs w:val="20"/>
        </w:rPr>
        <w:t xml:space="preserve">normalized_score = probability × gp1_pct_affected × direction</w:t>
      </w:r>
      <w:r>
        <w:rPr>
          <w:rFonts w:ascii="Arial" w:cs="Arial" w:eastAsia="Arial" w:hAnsi="Arial"/>
          <w:color w:val="1E293B"/>
          <w:sz w:val="22"/>
          <w:szCs w:val="22"/>
        </w:rPr>
        <w:t xml:space="preserve">. This two-dimensional scoring (likelihood × economic magnitude) eliminates the double-counting that existed in earlier three-factor models.</w:t>
      </w:r>
    </w:p>
    <w:p>
      <w:r>
        <w:br w:type="page"/>
      </w:r>
    </w:p>
    <w:p>
      <w:pPr>
        <w:pStyle w:val="Heading1"/>
        <w:spacing w:after="200" w:before="360"/>
      </w:pPr>
      <w:r>
        <w:rPr>
          <w:rFonts w:ascii="Arial" w:cs="Arial" w:eastAsia="Arial" w:hAnsi="Arial"/>
          <w:b/>
          <w:bCs/>
          <w:color w:val="0F172A"/>
          <w:sz w:val="32"/>
          <w:szCs w:val="32"/>
        </w:rPr>
        <w:t xml:space="preserve">5. Technology Architecture</w:t>
      </w:r>
    </w:p>
    <w:p>
      <w:pPr>
        <w:spacing w:after="160" w:line="312"/>
      </w:pPr>
      <w:r>
        <w:rPr>
          <w:rFonts w:ascii="Arial" w:cs="Arial" w:eastAsia="Arial" w:hAnsi="Arial"/>
          <w:color w:val="1E293B"/>
          <w:sz w:val="22"/>
          <w:szCs w:val="22"/>
        </w:rPr>
        <w:t xml:space="preserve">PRISM follows a </w:t>
      </w:r>
      <w:r>
        <w:rPr>
          <w:rFonts w:ascii="Arial" w:cs="Arial" w:eastAsia="Arial" w:hAnsi="Arial"/>
          <w:b/>
          <w:bCs/>
          <w:color w:val="1E293B"/>
          <w:sz w:val="22"/>
          <w:szCs w:val="22"/>
        </w:rPr>
        <w:t xml:space="preserve">“Excel as interface, Python as engine”</w:t>
      </w:r>
      <w:r>
        <w:rPr>
          <w:rFonts w:ascii="Arial" w:cs="Arial" w:eastAsia="Arial" w:hAnsi="Arial"/>
          <w:color w:val="1E293B"/>
          <w:sz w:val="22"/>
          <w:szCs w:val="22"/>
        </w:rPr>
        <w:t xml:space="preserve"> philosophy. Users interact through familiar tools — Excel for financial modeling, Power BI for ExCo reporting, and a React-based War Room dashboard for interactive strategy exploration. The computational engine runs in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3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Stack</w:t>
            </w:r>
          </w:p>
        </w:tc>
        <w:tc>
          <w:tcPr>
            <w:tcW w:type="dxa" w:w="37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1E293B"/>
                <w:sz w:val="20"/>
                <w:szCs w:val="20"/>
              </w:rPr>
              <w:t xml:space="preserve">Simulation Engine</w:t>
            </w:r>
          </w:p>
        </w:tc>
        <w:tc>
          <w:tcPr>
            <w:tcW w:type="dxa" w:w="3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Python 3.11+ / NumPy / SciPy / NetworkX</w:t>
            </w:r>
          </w:p>
        </w:tc>
        <w:tc>
          <w:tcPr>
            <w:tcW w:type="dxa" w:w="37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Bayesian MC, copula sampling, causal DAG propagation, optimization</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bCs/>
                <w:color w:val="1E293B"/>
                <w:sz w:val="20"/>
                <w:szCs w:val="20"/>
              </w:rPr>
              <w:t xml:space="preserve">API Server</w:t>
            </w:r>
          </w:p>
        </w:tc>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FastAPI / Uvicorn / Pydantic</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REST API serving simulation results to frontend and Power BI</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1E293B"/>
                <w:sz w:val="20"/>
                <w:szCs w:val="20"/>
              </w:rPr>
              <w:t xml:space="preserve">War Room Dashboard</w:t>
            </w:r>
          </w:p>
        </w:tc>
        <w:tc>
          <w:tcPr>
            <w:tcW w:type="dxa" w:w="3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React 18 / Vite / D3 / Recharts / Tailwind / Framer Motion</w:t>
            </w:r>
          </w:p>
        </w:tc>
        <w:tc>
          <w:tcPr>
            <w:tcW w:type="dxa" w:w="37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Interactive strategy exploration with contextual drill-down</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bCs/>
                <w:color w:val="1E293B"/>
                <w:sz w:val="20"/>
                <w:szCs w:val="20"/>
              </w:rPr>
              <w:t xml:space="preserve">Data Store</w:t>
            </w:r>
          </w:p>
        </w:tc>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SQLite (schema-enforced)</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Trends, scores, simulation runs, audit trail, Delphi rounds</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1E293B"/>
                <w:sz w:val="20"/>
                <w:szCs w:val="20"/>
              </w:rPr>
              <w:t xml:space="preserve">AI Layer</w:t>
            </w:r>
          </w:p>
        </w:tc>
        <w:tc>
          <w:tcPr>
            <w:tcW w:type="dxa" w:w="3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Provider-agnostic (Claude API → Azure OpenAI)</w:t>
            </w:r>
          </w:p>
        </w:tc>
        <w:tc>
          <w:tcPr>
            <w:tcW w:type="dxa" w:w="37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Trend scanning, score calibration, narrative generation, NL chat</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bCs/>
                <w:color w:val="1E293B"/>
                <w:sz w:val="20"/>
                <w:szCs w:val="20"/>
              </w:rPr>
              <w:t xml:space="preserve">Financial Lens</w:t>
            </w:r>
          </w:p>
        </w:tc>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Power BI (DAX) + Excel Bridge</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ExCo/Finance see €M impact; strategy team sees relative %</w:t>
            </w:r>
          </w:p>
        </w:tc>
      </w:tr>
    </w:tbl>
    <w:p>
      <w:pPr>
        <w:spacing w:after="200"/>
      </w:pPr>
    </w:p>
    <w:p>
      <w:pPr>
        <w:spacing w:after="160" w:line="312"/>
      </w:pPr>
      <w:r>
        <w:rPr>
          <w:rFonts w:ascii="Arial" w:cs="Arial" w:eastAsia="Arial" w:hAnsi="Arial"/>
          <w:color w:val="1E293B"/>
          <w:sz w:val="22"/>
          <w:szCs w:val="22"/>
        </w:rPr>
        <w:t xml:space="preserve">A critical design choice is </w:t>
      </w:r>
      <w:r>
        <w:rPr>
          <w:rFonts w:ascii="Arial" w:cs="Arial" w:eastAsia="Arial" w:hAnsi="Arial"/>
          <w:b/>
          <w:bCs/>
          <w:color w:val="1E293B"/>
          <w:sz w:val="22"/>
          <w:szCs w:val="22"/>
        </w:rPr>
        <w:t xml:space="preserve">LLM-provider agnosticism</w:t>
      </w:r>
      <w:r>
        <w:rPr>
          <w:rFonts w:ascii="Arial" w:cs="Arial" w:eastAsia="Arial" w:hAnsi="Arial"/>
          <w:color w:val="1E293B"/>
          <w:sz w:val="22"/>
          <w:szCs w:val="22"/>
        </w:rPr>
        <w:t xml:space="preserve">. The MVP uses the Claude API for rapid iteration. Production deployment swaps to Azure OpenAI inside Henkel’s Microsoft tenant via a single configuration change — zero additional InfoSec approval, riding on the existing Copilot approval. The provider-agnostic interface ensures switching is a one-line config change, not a code change.</w:t>
      </w:r>
    </w:p>
    <w:p>
      <w:pPr>
        <w:spacing w:after="160" w:line="312"/>
      </w:pPr>
      <w:r>
        <w:rPr>
          <w:rFonts w:ascii="Arial" w:cs="Arial" w:eastAsia="Arial" w:hAnsi="Arial"/>
          <w:color w:val="1E293B"/>
          <w:sz w:val="22"/>
          <w:szCs w:val="22"/>
        </w:rPr>
        <w:t xml:space="preserve">The architecture enforces a strict </w:t>
      </w:r>
      <w:r>
        <w:rPr>
          <w:rFonts w:ascii="Arial" w:cs="Arial" w:eastAsia="Arial" w:hAnsi="Arial"/>
          <w:b/>
          <w:bCs/>
          <w:color w:val="1E293B"/>
          <w:sz w:val="22"/>
          <w:szCs w:val="22"/>
        </w:rPr>
        <w:t xml:space="preserve">data separation principle</w:t>
      </w:r>
      <w:r>
        <w:rPr>
          <w:rFonts w:ascii="Arial" w:cs="Arial" w:eastAsia="Arial" w:hAnsi="Arial"/>
          <w:color w:val="1E293B"/>
          <w:sz w:val="22"/>
          <w:szCs w:val="22"/>
        </w:rPr>
        <w:t xml:space="preserve">: PRISM never sees absolute financial figures (€M). It outputs only relative percentage shifts. Power BI consumes the Shift Matrix and applies it to actual financials through DAX formulas. This one-directional data flow means the simulation engine operates entirely in the domain of strategic intelligence, not financial reporting.</w:t>
      </w:r>
    </w:p>
    <w:p>
      <w:pPr>
        <w:pStyle w:val="Heading1"/>
        <w:spacing w:after="200" w:before="360"/>
      </w:pPr>
      <w:r>
        <w:rPr>
          <w:rFonts w:ascii="Arial" w:cs="Arial" w:eastAsia="Arial" w:hAnsi="Arial"/>
          <w:b/>
          <w:bCs/>
          <w:color w:val="0F172A"/>
          <w:sz w:val="32"/>
          <w:szCs w:val="32"/>
        </w:rPr>
        <w:t xml:space="preserve">6. Scenario Framework &amp; Outputs</w:t>
      </w:r>
    </w:p>
    <w:p>
      <w:pPr>
        <w:spacing w:after="160" w:line="312"/>
      </w:pPr>
      <w:r>
        <w:rPr>
          <w:rFonts w:ascii="Arial" w:cs="Arial" w:eastAsia="Arial" w:hAnsi="Arial"/>
          <w:color w:val="1E293B"/>
          <w:sz w:val="22"/>
          <w:szCs w:val="22"/>
        </w:rPr>
        <w:t xml:space="preserve">PRISM ships with five pre-defined scenarios, each structurally distinct because causal propagation produces different signatures depending on the origin of the shock:</w:t>
      </w:r>
    </w:p>
    <w:p>
      <w:pPr>
        <w:pStyle w:val="ListParagraph"/>
        <w:numPr>
          <w:ilvl w:val="0"/>
          <w:numId w:val="2"/>
        </w:numPr>
        <w:spacing w:after="100" w:line="312"/>
      </w:pPr>
      <w:r>
        <w:rPr>
          <w:rFonts w:ascii="Arial" w:cs="Arial" w:eastAsia="Arial" w:hAnsi="Arial"/>
          <w:b/>
          <w:bCs/>
          <w:color w:val="1E293B"/>
          <w:sz w:val="22"/>
          <w:szCs w:val="22"/>
        </w:rPr>
        <w:t xml:space="preserve">Base Case: </w:t>
      </w:r>
      <w:r>
        <w:rPr>
          <w:rFonts w:ascii="Arial" w:cs="Arial" w:eastAsia="Arial" w:hAnsi="Arial"/>
          <w:color w:val="1E293B"/>
          <w:sz w:val="22"/>
          <w:szCs w:val="22"/>
        </w:rPr>
        <w:t xml:space="preserve">Current scores, full causal DAG active, no external shocks. This is the “most likely” trajectory.</w:t>
      </w:r>
    </w:p>
    <w:p>
      <w:pPr>
        <w:pStyle w:val="ListParagraph"/>
        <w:numPr>
          <w:ilvl w:val="0"/>
          <w:numId w:val="2"/>
        </w:numPr>
        <w:spacing w:after="100" w:line="312"/>
      </w:pPr>
      <w:r>
        <w:rPr>
          <w:rFonts w:ascii="Arial" w:cs="Arial" w:eastAsia="Arial" w:hAnsi="Arial"/>
          <w:b/>
          <w:bCs/>
          <w:color w:val="1E293B"/>
          <w:sz w:val="22"/>
          <w:szCs w:val="22"/>
        </w:rPr>
        <w:t xml:space="preserve">Green Squeeze: </w:t>
      </w:r>
      <w:r>
        <w:rPr>
          <w:rFonts w:ascii="Arial" w:cs="Arial" w:eastAsia="Arial" w:hAnsi="Arial"/>
          <w:color w:val="1E293B"/>
          <w:sz w:val="22"/>
          <w:szCs w:val="22"/>
        </w:rPr>
        <w:t xml:space="preserve">Environmental shock propagates to Government (+reformulation costs), Technology (+capex), Customer (+shelf price), Consumer (+willingness to pay premium).</w:t>
      </w:r>
    </w:p>
    <w:p>
      <w:pPr>
        <w:pStyle w:val="ListParagraph"/>
        <w:numPr>
          <w:ilvl w:val="0"/>
          <w:numId w:val="2"/>
        </w:numPr>
        <w:spacing w:after="100" w:line="312"/>
      </w:pPr>
      <w:r>
        <w:rPr>
          <w:rFonts w:ascii="Arial" w:cs="Arial" w:eastAsia="Arial" w:hAnsi="Arial"/>
          <w:b/>
          <w:bCs/>
          <w:color w:val="1E293B"/>
          <w:sz w:val="22"/>
          <w:szCs w:val="22"/>
        </w:rPr>
        <w:t xml:space="preserve">Tech Disruption: </w:t>
      </w:r>
      <w:r>
        <w:rPr>
          <w:rFonts w:ascii="Arial" w:cs="Arial" w:eastAsia="Arial" w:hAnsi="Arial"/>
          <w:color w:val="1E293B"/>
          <w:sz w:val="22"/>
          <w:szCs w:val="22"/>
        </w:rPr>
        <w:t xml:space="preserve">Technology shock propagates to Consumer (adoption curve), Competitive (first-mover advantage), Customer (channel shift).</w:t>
      </w:r>
    </w:p>
    <w:p>
      <w:pPr>
        <w:pStyle w:val="ListParagraph"/>
        <w:numPr>
          <w:ilvl w:val="0"/>
          <w:numId w:val="2"/>
        </w:numPr>
        <w:spacing w:after="100" w:line="312"/>
      </w:pPr>
      <w:r>
        <w:rPr>
          <w:rFonts w:ascii="Arial" w:cs="Arial" w:eastAsia="Arial" w:hAnsi="Arial"/>
          <w:b/>
          <w:bCs/>
          <w:color w:val="1E293B"/>
          <w:sz w:val="22"/>
          <w:szCs w:val="22"/>
        </w:rPr>
        <w:t xml:space="preserve">Regulatory Cascade: </w:t>
      </w:r>
      <w:r>
        <w:rPr>
          <w:rFonts w:ascii="Arial" w:cs="Arial" w:eastAsia="Arial" w:hAnsi="Arial"/>
          <w:color w:val="1E293B"/>
          <w:sz w:val="22"/>
          <w:szCs w:val="22"/>
        </w:rPr>
        <w:t xml:space="preserve">Government shock propagates through the DAG with proper lag structure, front-loading regulatory compliance costs.</w:t>
      </w:r>
    </w:p>
    <w:p>
      <w:pPr>
        <w:pStyle w:val="ListParagraph"/>
        <w:numPr>
          <w:ilvl w:val="0"/>
          <w:numId w:val="2"/>
        </w:numPr>
        <w:spacing w:after="160" w:line="312"/>
      </w:pPr>
      <w:r>
        <w:rPr>
          <w:rFonts w:ascii="Arial" w:cs="Arial" w:eastAsia="Arial" w:hAnsi="Arial"/>
          <w:b/>
          <w:bCs/>
          <w:color w:val="1E293B"/>
          <w:sz w:val="22"/>
          <w:szCs w:val="22"/>
        </w:rPr>
        <w:t xml:space="preserve">Perfect Storm: </w:t>
      </w:r>
      <w:r>
        <w:rPr>
          <w:rFonts w:ascii="Arial" w:cs="Arial" w:eastAsia="Arial" w:hAnsi="Arial"/>
          <w:color w:val="1E293B"/>
          <w:sz w:val="22"/>
          <w:szCs w:val="22"/>
        </w:rPr>
        <w:t xml:space="preserve">Correlated tail event using t-copula at 1st percentile — much more realistic than “all forces at +1σ”.</w:t>
      </w:r>
    </w:p>
    <w:p>
      <w:pPr>
        <w:spacing w:after="160" w:line="312"/>
      </w:pPr>
      <w:r>
        <w:rPr>
          <w:rFonts w:ascii="Arial" w:cs="Arial" w:eastAsia="Arial" w:hAnsi="Arial"/>
          <w:color w:val="1E293B"/>
          <w:sz w:val="22"/>
          <w:szCs w:val="22"/>
        </w:rPr>
        <w:t xml:space="preserve">Users can also build custom scenarios by shocking any force; the DAG propagates the consequences automatically. Each scenario produces a full Shift Matrix with continuous paths, velocity tracking, trigger evaluations, causal decomposition, and allocation recommendations.</w:t>
      </w:r>
    </w:p>
    <w:p>
      <w:pPr>
        <w:pStyle w:val="Heading1"/>
        <w:spacing w:after="200" w:before="360"/>
      </w:pPr>
      <w:r>
        <w:rPr>
          <w:rFonts w:ascii="Arial" w:cs="Arial" w:eastAsia="Arial" w:hAnsi="Arial"/>
          <w:b/>
          <w:bCs/>
          <w:color w:val="0F172A"/>
          <w:sz w:val="32"/>
          <w:szCs w:val="32"/>
        </w:rPr>
        <w:t xml:space="preserve">7. Backtesting &amp; Credibility</w:t>
      </w:r>
    </w:p>
    <w:p>
      <w:pPr>
        <w:spacing w:after="160" w:line="312"/>
      </w:pPr>
      <w:r>
        <w:rPr>
          <w:rFonts w:ascii="Arial" w:cs="Arial" w:eastAsia="Arial" w:hAnsi="Arial"/>
          <w:color w:val="1E293B"/>
          <w:sz w:val="22"/>
          <w:szCs w:val="22"/>
        </w:rPr>
        <w:t xml:space="preserve">PRISM earns credibility before it makes predictions. If historical assessment versions (V1 through V11) and corresponding market-level actuals are available, Phase 0 runs a full backtesting calibration: </w:t>
      </w:r>
      <w:r>
        <w:rPr>
          <w:rFonts w:ascii="Arial" w:cs="Arial" w:eastAsia="Arial" w:hAnsi="Arial"/>
          <w:b/>
          <w:bCs/>
          <w:color w:val="1E293B"/>
          <w:sz w:val="22"/>
          <w:szCs w:val="22"/>
        </w:rPr>
        <w:t xml:space="preserve">what would PRISM have predicted in 2020, and how does that compare to what actually happened by 2024?</w:t>
      </w:r>
    </w:p>
    <w:p>
      <w:pPr>
        <w:spacing w:after="160" w:line="312"/>
      </w:pPr>
      <w:r>
        <w:rPr>
          <w:rFonts w:ascii="Arial" w:cs="Arial" w:eastAsia="Arial" w:hAnsi="Arial"/>
          <w:color w:val="1E293B"/>
          <w:sz w:val="22"/>
          <w:szCs w:val="22"/>
        </w:rPr>
        <w:t xml:space="preserve">Backtesting empirically derives four parameters that would otherwise be assumed: the attenuation factor (how much of a theoretical impact actually materializes in the market), the correct distribution shapes (learned from prediction errors, not assumed triangular), the correlation structure (fitted, not flat), and the causal DAG weights (derived from historical force co-movements rather than expert guesses). The resulting model accuracy score is reported transparently alongside every output.</w:t>
      </w:r>
    </w:p>
    <w:p>
      <w:pPr>
        <w:spacing w:after="160" w:line="312"/>
      </w:pPr>
      <w:r>
        <w:rPr>
          <w:rFonts w:ascii="Arial" w:cs="Arial" w:eastAsia="Arial" w:hAnsi="Arial"/>
          <w:color w:val="1E293B"/>
          <w:sz w:val="22"/>
          <w:szCs w:val="22"/>
        </w:rPr>
        <w:t xml:space="preserve">When backtesting data is unavailable, PRISM operates with weakly informative priors and clearly labels all outputs as “prior-driven, not calibrated.” Intellectual honesty about the limits of the model is a design principle, not an afterthought.</w:t>
      </w:r>
    </w:p>
    <w:p>
      <w:pPr>
        <w:pStyle w:val="Heading1"/>
        <w:spacing w:after="200" w:before="360"/>
      </w:pPr>
      <w:r>
        <w:rPr>
          <w:rFonts w:ascii="Arial" w:cs="Arial" w:eastAsia="Arial" w:hAnsi="Arial"/>
          <w:b/>
          <w:bCs/>
          <w:color w:val="0F172A"/>
          <w:sz w:val="32"/>
          <w:szCs w:val="32"/>
        </w:rPr>
        <w:t xml:space="preserve">8. The War Room Dashboard</w:t>
      </w:r>
    </w:p>
    <w:p>
      <w:pPr>
        <w:spacing w:after="160" w:line="312"/>
      </w:pPr>
      <w:r>
        <w:rPr>
          <w:rFonts w:ascii="Arial" w:cs="Arial" w:eastAsia="Arial" w:hAnsi="Arial"/>
          <w:color w:val="1E293B"/>
          <w:sz w:val="22"/>
          <w:szCs w:val="22"/>
        </w:rPr>
        <w:t xml:space="preserve">The user interface follows a single-view “War Room” design inspired by McKinsey’s best digital tools. Instead of eight separate tabs forcing executives to navigate and mentally stitch together a narrative, PRISM presents one unified screen with contextual drill-down.</w:t>
      </w:r>
    </w:p>
    <w:p>
      <w:pPr>
        <w:spacing w:after="160" w:line="312"/>
      </w:pPr>
      <w:r>
        <w:rPr>
          <w:rFonts w:ascii="Arial" w:cs="Arial" w:eastAsia="Arial" w:hAnsi="Arial"/>
          <w:color w:val="1E293B"/>
          <w:sz w:val="22"/>
          <w:szCs w:val="22"/>
        </w:rPr>
        <w:t xml:space="preserve">The War Room shows three layers: a headline KPI bar (net pool shift with confidence interval, model accuracy, path velocity), a force-by-category heatmap with animated causal flow lines, and a path timeline showing the shift trajectory with confidence bands. Clicking any element reveals a contextual panel: click a heatmap cell to see individual trends with Bayesian posteriors, click a force header to see causal propagation waterfalls, click a category header to see allocation recommendations with risk-return frontiers.</w:t>
      </w:r>
    </w:p>
    <w:p>
      <w:pPr>
        <w:spacing w:after="160" w:line="312"/>
      </w:pPr>
      <w:r>
        <w:rPr>
          <w:rFonts w:ascii="Arial" w:cs="Arial" w:eastAsia="Arial" w:hAnsi="Arial"/>
          <w:color w:val="1E293B"/>
          <w:sz w:val="22"/>
          <w:szCs w:val="22"/>
        </w:rPr>
        <w:t xml:space="preserve">The design targets </w:t>
      </w:r>
      <w:r>
        <w:rPr>
          <w:rFonts w:ascii="Arial" w:cs="Arial" w:eastAsia="Arial" w:hAnsi="Arial"/>
          <w:b/>
          <w:bCs/>
          <w:color w:val="1E293B"/>
          <w:sz w:val="22"/>
          <w:szCs w:val="22"/>
        </w:rPr>
        <w:t xml:space="preserve">60fps animations, sub-200ms perceived latency</w:t>
      </w:r>
      <w:r>
        <w:rPr>
          <w:rFonts w:ascii="Arial" w:cs="Arial" w:eastAsia="Arial" w:hAnsi="Arial"/>
          <w:color w:val="1E293B"/>
          <w:sz w:val="22"/>
          <w:szCs w:val="22"/>
        </w:rPr>
        <w:t xml:space="preserve">, and a dark-mode-default aesthetic with glassmorphism panels. It is fully responsive for iPad use in ExCo presentations.</w:t>
      </w:r>
    </w:p>
    <w:p>
      <w:pPr>
        <w:pStyle w:val="Heading1"/>
        <w:spacing w:after="200" w:before="360"/>
      </w:pPr>
      <w:r>
        <w:rPr>
          <w:rFonts w:ascii="Arial" w:cs="Arial" w:eastAsia="Arial" w:hAnsi="Arial"/>
          <w:b/>
          <w:bCs/>
          <w:color w:val="0F172A"/>
          <w:sz w:val="32"/>
          <w:szCs w:val="32"/>
        </w:rPr>
        <w:t xml:space="preserve">9. Two Audiences, One Truth</w:t>
      </w:r>
    </w:p>
    <w:p>
      <w:pPr>
        <w:spacing w:after="160" w:line="312"/>
      </w:pPr>
      <w:r>
        <w:rPr>
          <w:rFonts w:ascii="Arial" w:cs="Arial" w:eastAsia="Arial" w:hAnsi="Arial"/>
          <w:color w:val="1E293B"/>
          <w:sz w:val="22"/>
          <w:szCs w:val="22"/>
        </w:rPr>
        <w:t xml:space="preserve">PRISM serves two audiences through two lenses consuming the same underlying Shift Matrix. The React War Room dashboard serves the strategy team with interactive, relative-percentage analysis and broad access. The Power BI dashboard serves ExCo and Finance with absolute financial impact in €M, restricted access, and historical comparison. Both use the same color palette and directional semantics, ensuring visual consistency across audiences.</w:t>
      </w:r>
    </w:p>
    <w:p>
      <w:pPr>
        <w:spacing w:after="160" w:line="312"/>
      </w:pPr>
      <w:r>
        <w:rPr>
          <w:rFonts w:ascii="Arial" w:cs="Arial" w:eastAsia="Arial" w:hAnsi="Arial"/>
          <w:color w:val="1E293B"/>
          <w:sz w:val="22"/>
          <w:szCs w:val="22"/>
        </w:rPr>
        <w:t xml:space="preserve">The data flow is strictly one-directional: PRISM produces the Shift Matrix, Power BI consumes it. Actual financial data never enters PRISM. This separation is both a data governance feature and a clarity feature — the simulation engine stays in the domain of strategic intelligence.</w:t>
      </w:r>
    </w:p>
    <w:p>
      <w:pPr>
        <w:pStyle w:val="Heading1"/>
        <w:spacing w:after="200" w:before="360"/>
      </w:pPr>
      <w:r>
        <w:rPr>
          <w:rFonts w:ascii="Arial" w:cs="Arial" w:eastAsia="Arial" w:hAnsi="Arial"/>
          <w:b/>
          <w:bCs/>
          <w:color w:val="0F172A"/>
          <w:sz w:val="32"/>
          <w:szCs w:val="32"/>
        </w:rPr>
        <w:t xml:space="preserve">10. Phased Delivery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388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w:t>
            </w:r>
          </w:p>
        </w:tc>
        <w:tc>
          <w:tcPr>
            <w:tcW w:type="dxa" w:w="388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User Value</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1E293B"/>
                <w:sz w:val="20"/>
                <w:szCs w:val="20"/>
              </w:rPr>
              <w:t xml:space="preserve">Phase 0</w:t>
            </w:r>
          </w:p>
        </w:tc>
        <w:tc>
          <w:tcPr>
            <w:tcW w:type="dxa" w:w="388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Historical Calibration</w:t>
            </w:r>
          </w:p>
        </w:tc>
        <w:tc>
          <w:tcPr>
            <w:tcW w:type="dxa" w:w="388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Backtested model accuracy score; empirically derived parameters instead of assumptions</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bCs/>
                <w:color w:val="1E293B"/>
                <w:sz w:val="20"/>
                <w:szCs w:val="20"/>
              </w:rPr>
              <w:t xml:space="preserve">Phase 1</w:t>
            </w:r>
          </w:p>
        </w:tc>
        <w:tc>
          <w:tcPr>
            <w:tcW w:type="dxa" w:w="38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Bayesian MC Engine + Causal DAG (CLI)</w:t>
            </w:r>
          </w:p>
        </w:tc>
        <w:tc>
          <w:tcPr>
            <w:tcW w:type="dxa" w:w="38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Full Shift Matrix with continuous paths, causal decomposition, allocation recommendations via CLI</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1E293B"/>
                <w:sz w:val="20"/>
                <w:szCs w:val="20"/>
              </w:rPr>
              <w:t xml:space="preserve">Phase 2</w:t>
            </w:r>
          </w:p>
        </w:tc>
        <w:tc>
          <w:tcPr>
            <w:tcW w:type="dxa" w:w="388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War Room Dashboard (React + FastAPI)</w:t>
            </w:r>
          </w:p>
        </w:tc>
        <w:tc>
          <w:tcPr>
            <w:tcW w:type="dxa" w:w="388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Interactive single-view strategy exploration with real-time re-simulation on score changes</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bCs/>
                <w:color w:val="1E293B"/>
                <w:sz w:val="20"/>
                <w:szCs w:val="20"/>
              </w:rPr>
              <w:t xml:space="preserve">Phase 3</w:t>
            </w:r>
          </w:p>
        </w:tc>
        <w:tc>
          <w:tcPr>
            <w:tcW w:type="dxa" w:w="38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AI Intelligence Layer + Power BI Integration</w:t>
            </w:r>
          </w:p>
        </w:tc>
        <w:tc>
          <w:tcPr>
            <w:tcW w:type="dxa" w:w="38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Automated trend scanning, score calibration, narrative generation, NL chat, Power BI auto-push</w:t>
            </w:r>
          </w:p>
        </w:tc>
      </w:tr>
    </w:tbl>
    <w:p>
      <w:pPr>
        <w:spacing w:after="200"/>
      </w:pPr>
    </w:p>
    <w:p>
      <w:pPr>
        <w:spacing w:after="160" w:line="312"/>
      </w:pPr>
      <w:r>
        <w:rPr>
          <w:rFonts w:ascii="Arial" w:cs="Arial" w:eastAsia="Arial" w:hAnsi="Arial"/>
          <w:color w:val="1E293B"/>
          <w:sz w:val="22"/>
          <w:szCs w:val="22"/>
        </w:rPr>
        <w:t xml:space="preserve">Each phase delivers standalone value. Phase 1 already replaces the static Excel assessment with a probabilistic, causally-structured engine. Phase 2 makes it interactive. Phase 3 makes it intelligent.</w:t>
      </w:r>
    </w:p>
    <w:p>
      <w:pPr>
        <w:pStyle w:val="Heading1"/>
        <w:spacing w:after="200" w:before="360"/>
      </w:pPr>
      <w:r>
        <w:rPr>
          <w:rFonts w:ascii="Arial" w:cs="Arial" w:eastAsia="Arial" w:hAnsi="Arial"/>
          <w:b/>
          <w:bCs/>
          <w:color w:val="0F172A"/>
          <w:sz w:val="32"/>
          <w:szCs w:val="32"/>
        </w:rPr>
        <w:t xml:space="preserve">11. Guiding Design Principles</w:t>
      </w:r>
    </w:p>
    <w:p>
      <w:pPr>
        <w:pStyle w:val="ListParagraph"/>
        <w:numPr>
          <w:ilvl w:val="0"/>
          <w:numId w:val="3"/>
        </w:numPr>
        <w:spacing w:after="100" w:line="312"/>
      </w:pPr>
      <w:r>
        <w:rPr>
          <w:rFonts w:ascii="Arial" w:cs="Arial" w:eastAsia="Arial" w:hAnsi="Arial"/>
          <w:b/>
          <w:bCs/>
          <w:color w:val="1E293B"/>
          <w:sz w:val="22"/>
          <w:szCs w:val="22"/>
        </w:rPr>
        <w:t xml:space="preserve">AI augments, never replaces. </w:t>
      </w:r>
      <w:r>
        <w:rPr>
          <w:rFonts w:ascii="Arial" w:cs="Arial" w:eastAsia="Arial" w:hAnsi="Arial"/>
          <w:color w:val="1E293B"/>
          <w:sz w:val="22"/>
          <w:szCs w:val="22"/>
        </w:rPr>
        <w:t xml:space="preserve">Every AI suggestion requires human review. No score is auto-applied.</w:t>
      </w:r>
    </w:p>
    <w:p>
      <w:pPr>
        <w:pStyle w:val="ListParagraph"/>
        <w:numPr>
          <w:ilvl w:val="0"/>
          <w:numId w:val="3"/>
        </w:numPr>
        <w:spacing w:after="100" w:line="312"/>
      </w:pPr>
      <w:r>
        <w:rPr>
          <w:rFonts w:ascii="Arial" w:cs="Arial" w:eastAsia="Arial" w:hAnsi="Arial"/>
          <w:b/>
          <w:bCs/>
          <w:color w:val="1E293B"/>
          <w:sz w:val="22"/>
          <w:szCs w:val="22"/>
        </w:rPr>
        <w:t xml:space="preserve">Bayesian over point estimates. </w:t>
      </w:r>
      <w:r>
        <w:rPr>
          <w:rFonts w:ascii="Arial" w:cs="Arial" w:eastAsia="Arial" w:hAnsi="Arial"/>
          <w:color w:val="1E293B"/>
          <w:sz w:val="22"/>
          <w:szCs w:val="22"/>
        </w:rPr>
        <w:t xml:space="preserve">Learn uncertainty from data; do not assume it.</w:t>
      </w:r>
    </w:p>
    <w:p>
      <w:pPr>
        <w:pStyle w:val="ListParagraph"/>
        <w:numPr>
          <w:ilvl w:val="0"/>
          <w:numId w:val="3"/>
        </w:numPr>
        <w:spacing w:after="100" w:line="312"/>
      </w:pPr>
      <w:r>
        <w:rPr>
          <w:rFonts w:ascii="Arial" w:cs="Arial" w:eastAsia="Arial" w:hAnsi="Arial"/>
          <w:b/>
          <w:bCs/>
          <w:color w:val="1E293B"/>
          <w:sz w:val="22"/>
          <w:szCs w:val="22"/>
        </w:rPr>
        <w:t xml:space="preserve">Causal over correlational. </w:t>
      </w:r>
      <w:r>
        <w:rPr>
          <w:rFonts w:ascii="Arial" w:cs="Arial" w:eastAsia="Arial" w:hAnsi="Arial"/>
          <w:color w:val="1E293B"/>
          <w:sz w:val="22"/>
          <w:szCs w:val="22"/>
        </w:rPr>
        <w:t xml:space="preserve">Model how forces propagate, not just that they co-move.</w:t>
      </w:r>
    </w:p>
    <w:p>
      <w:pPr>
        <w:pStyle w:val="ListParagraph"/>
        <w:numPr>
          <w:ilvl w:val="0"/>
          <w:numId w:val="3"/>
        </w:numPr>
        <w:spacing w:after="100" w:line="312"/>
      </w:pPr>
      <w:r>
        <w:rPr>
          <w:rFonts w:ascii="Arial" w:cs="Arial" w:eastAsia="Arial" w:hAnsi="Arial"/>
          <w:b/>
          <w:bCs/>
          <w:color w:val="1E293B"/>
          <w:sz w:val="22"/>
          <w:szCs w:val="22"/>
        </w:rPr>
        <w:t xml:space="preserve">Analysis leads to action. </w:t>
      </w:r>
      <w:r>
        <w:rPr>
          <w:rFonts w:ascii="Arial" w:cs="Arial" w:eastAsia="Arial" w:hAnsi="Arial"/>
          <w:color w:val="1E293B"/>
          <w:sz w:val="22"/>
          <w:szCs w:val="22"/>
        </w:rPr>
        <w:t xml:space="preserve">Every output answers “so what should we do?” with allocation recommendations.</w:t>
      </w:r>
    </w:p>
    <w:p>
      <w:pPr>
        <w:pStyle w:val="ListParagraph"/>
        <w:numPr>
          <w:ilvl w:val="0"/>
          <w:numId w:val="3"/>
        </w:numPr>
        <w:spacing w:after="100" w:line="312"/>
      </w:pPr>
      <w:r>
        <w:rPr>
          <w:rFonts w:ascii="Arial" w:cs="Arial" w:eastAsia="Arial" w:hAnsi="Arial"/>
          <w:b/>
          <w:bCs/>
          <w:color w:val="1E293B"/>
          <w:sz w:val="22"/>
          <w:szCs w:val="22"/>
        </w:rPr>
        <w:t xml:space="preserve">Meet users where they are. </w:t>
      </w:r>
      <w:r>
        <w:rPr>
          <w:rFonts w:ascii="Arial" w:cs="Arial" w:eastAsia="Arial" w:hAnsi="Arial"/>
          <w:color w:val="1E293B"/>
          <w:sz w:val="22"/>
          <w:szCs w:val="22"/>
        </w:rPr>
        <w:t xml:space="preserve">Excel as interface, Python as engine, Power BI as financial lens.</w:t>
      </w:r>
    </w:p>
    <w:p>
      <w:pPr>
        <w:pStyle w:val="ListParagraph"/>
        <w:numPr>
          <w:ilvl w:val="0"/>
          <w:numId w:val="3"/>
        </w:numPr>
        <w:spacing w:after="100" w:line="312"/>
      </w:pPr>
      <w:r>
        <w:rPr>
          <w:rFonts w:ascii="Arial" w:cs="Arial" w:eastAsia="Arial" w:hAnsi="Arial"/>
          <w:b/>
          <w:bCs/>
          <w:color w:val="1E293B"/>
          <w:sz w:val="22"/>
          <w:szCs w:val="22"/>
        </w:rPr>
        <w:t xml:space="preserve">Intellectual honesty. </w:t>
      </w:r>
      <w:r>
        <w:rPr>
          <w:rFonts w:ascii="Arial" w:cs="Arial" w:eastAsia="Arial" w:hAnsi="Arial"/>
          <w:color w:val="1E293B"/>
          <w:sz w:val="22"/>
          <w:szCs w:val="22"/>
        </w:rPr>
        <w:t xml:space="preserve">Backtesting accuracy, prior-driven labels, and confidence intervals are always transparent.</w:t>
      </w:r>
    </w:p>
    <w:p>
      <w:pPr>
        <w:pStyle w:val="ListParagraph"/>
        <w:numPr>
          <w:ilvl w:val="0"/>
          <w:numId w:val="3"/>
        </w:numPr>
        <w:spacing w:after="100" w:line="312"/>
      </w:pPr>
      <w:r>
        <w:rPr>
          <w:rFonts w:ascii="Arial" w:cs="Arial" w:eastAsia="Arial" w:hAnsi="Arial"/>
          <w:b/>
          <w:bCs/>
          <w:color w:val="1E293B"/>
          <w:sz w:val="22"/>
          <w:szCs w:val="22"/>
        </w:rPr>
        <w:t xml:space="preserve">Zero running cost. </w:t>
      </w:r>
      <w:r>
        <w:rPr>
          <w:rFonts w:ascii="Arial" w:cs="Arial" w:eastAsia="Arial" w:hAnsi="Arial"/>
          <w:color w:val="1E293B"/>
          <w:sz w:val="22"/>
          <w:szCs w:val="22"/>
        </w:rPr>
        <w:t xml:space="preserve">All 19 integrated external APIs are free-tier or fully open. Total API cost: €0/year.</w:t>
      </w:r>
    </w:p>
    <w:p>
      <w:pPr>
        <w:spacing w:after="400"/>
      </w:pPr>
    </w:p>
    <w:p>
      <w:pPr>
        <w:pBdr>
          <w:top w:val="single" w:color="2563EB" w:sz="4" w:space="8"/>
        </w:pBdr>
        <w:spacing w:after="120" w:before="400"/>
      </w:pPr>
      <w:r>
        <w:rPr>
          <w:rFonts w:ascii="Arial" w:cs="Arial" w:eastAsia="Arial" w:hAnsi="Arial"/>
          <w:b/>
          <w:bCs/>
          <w:i/>
          <w:iCs/>
          <w:color w:val="0F172A"/>
          <w:sz w:val="24"/>
          <w:szCs w:val="24"/>
        </w:rPr>
        <w:t xml:space="preserve">The Bain Senior Partner Test</w:t>
      </w:r>
    </w:p>
    <w:p>
      <w:pPr>
        <w:spacing w:after="160" w:line="312"/>
      </w:pPr>
      <w:r>
        <w:rPr>
          <w:rFonts w:ascii="Arial" w:cs="Arial" w:eastAsia="Arial" w:hAnsi="Arial"/>
          <w:i/>
          <w:iCs/>
          <w:color w:val="475569"/>
          <w:sz w:val="22"/>
          <w:szCs w:val="22"/>
        </w:rPr>
        <w:t xml:space="preserve">Would a Bain or McKinsey Senior Partner present this tool to a DAX-40 CEO’s Strategy Board as a state-of-the-art, causally-structured, backtested profit pool simulation capability — with resource allocation recommendations? Would the CFO trust the backtesting accuracy score? Would the CEO act on the allocation recommendations? Would QuantumBlack or GAMMA sign off on the statistical methodology?</w:t>
      </w:r>
    </w:p>
    <w:p>
      <w:pPr>
        <w:spacing w:after="120"/>
      </w:pPr>
      <w:r>
        <w:rPr>
          <w:rFonts w:ascii="Arial" w:cs="Arial" w:eastAsia="Arial" w:hAnsi="Arial"/>
          <w:b/>
          <w:bCs/>
          <w:color w:val="0F172A"/>
          <w:sz w:val="24"/>
          <w:szCs w:val="24"/>
        </w:rPr>
        <w:t xml:space="preserve">The answer should be: Yes.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jc w:val="center"/>
    </w:pPr>
    <w:r>
      <w:rPr>
        <w:rFonts w:ascii="Arial" w:cs="Arial" w:eastAsia="Arial" w:hAnsi="Arial"/>
        <w:color w:val="475569"/>
        <w:sz w:val="16"/>
        <w:szCs w:val="16"/>
      </w:rPr>
      <w:t xml:space="preserve">Confidential  |  Page </w:t>
    </w:r>
    <w:r>
      <w:rPr>
        <w:rFonts w:ascii="Arial" w:cs="Arial" w:eastAsia="Arial" w:hAnsi="Arial"/>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jc w:val="right"/>
    </w:pPr>
    <w:r>
      <w:rPr>
        <w:rFonts w:ascii="Arial" w:cs="Arial" w:eastAsia="Arial" w:hAnsi="Arial"/>
        <w:i/>
        <w:iCs/>
        <w:color w:val="475569"/>
        <w:sz w:val="16"/>
        <w:szCs w:val="16"/>
      </w:rPr>
      <w:t xml:space="preserve">PRISM v2.3  |  Internal Briefing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172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2026-03-31T15:34:37.404Z</dcterms:created>
  <dcterms:modified xsi:type="dcterms:W3CDTF">2026-03-31T15:34:37.405Z</dcterms:modified>
</cp:coreProperties>
</file>

<file path=docProps/custom.xml><?xml version="1.0" encoding="utf-8"?>
<Properties xmlns="http://schemas.openxmlformats.org/officeDocument/2006/custom-properties" xmlns:vt="http://schemas.openxmlformats.org/officeDocument/2006/docPropsVTypes"/>
</file>