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80"/>
        <w:jc w:val="left"/>
      </w:pPr>
      <w:r>
        <w:rPr>
          <w:rFonts w:ascii="Arial" w:cs="Arial" w:eastAsia="Arial" w:hAnsi="Arial"/>
          <w:b/>
          <w:bCs/>
          <w:caps/>
          <w:color w:val="DC2626"/>
          <w:sz w:val="22"/>
          <w:szCs w:val="22"/>
        </w:rPr>
        <w:t xml:space="preserve">CONFIDENTIAL</w:t>
      </w:r>
    </w:p>
    <w:p>
      <w:pPr>
        <w:spacing w:after="40"/>
        <w:jc w:val="left"/>
      </w:pPr>
      <w:r>
        <w:rPr>
          <w:rFonts w:ascii="Arial" w:cs="Arial" w:eastAsia="Arial" w:hAnsi="Arial"/>
          <w:b/>
          <w:bCs/>
          <w:color w:val="0F172A"/>
          <w:sz w:val="72"/>
          <w:szCs w:val="72"/>
        </w:rPr>
        <w:t xml:space="preserve">PULSE</w:t>
      </w:r>
    </w:p>
    <w:p>
      <w:pPr>
        <w:spacing w:after="20"/>
        <w:jc w:val="left"/>
      </w:pPr>
      <w:r>
        <w:rPr>
          <w:rFonts w:ascii="Arial" w:cs="Arial" w:eastAsia="Arial" w:hAnsi="Arial"/>
          <w:color w:val="475569"/>
          <w:sz w:val="28"/>
          <w:szCs w:val="28"/>
        </w:rPr>
        <w:t xml:space="preserve">Profit Pool Unified Landscape Simulation Engine</w:t>
      </w:r>
    </w:p>
    <w:p>
      <w:pPr>
        <w:spacing w:after="300"/>
        <w:jc w:val="left"/>
      </w:pPr>
      <w:r>
        <w:rPr>
          <w:rFonts w:ascii="Arial" w:cs="Arial" w:eastAsia="Arial" w:hAnsi="Arial"/>
          <w:b/>
          <w:bCs/>
          <w:color w:val="2563EB"/>
          <w:sz w:val="36"/>
          <w:szCs w:val="36"/>
        </w:rPr>
        <w:t xml:space="preserve">Pre-Pitch Readiness Audit &amp; Control Plan</w:t>
      </w:r>
    </w:p>
    <w:p>
      <w:pPr>
        <w:pBdr>
          <w:bottom w:val="single" w:color="2563EB" w:sz="6" w:space="1"/>
        </w:pBdr>
        <w:spacing w:after="200"/>
      </w:pPr>
    </w:p>
    <w:p>
      <w:pPr>
        <w:spacing w:after="120"/>
      </w:pPr>
      <w:r>
        <w:rPr>
          <w:rFonts w:ascii="Arial" w:cs="Arial" w:eastAsia="Arial" w:hAnsi="Arial"/>
          <w:b/>
          <w:bCs/>
          <w:color w:val="0F172A"/>
          <w:sz w:val="22"/>
          <w:szCs w:val="22"/>
        </w:rPr>
        <w:t xml:space="preserve">Prepared for: </w:t>
      </w:r>
      <w:r>
        <w:rPr>
          <w:rFonts w:ascii="Arial" w:cs="Arial" w:eastAsia="Arial" w:hAnsi="Arial"/>
          <w:color w:val="0F172A"/>
          <w:sz w:val="22"/>
          <w:szCs w:val="22"/>
        </w:rPr>
        <w:t xml:space="preserve">Henkel Consumer Brands CEO</w:t>
      </w:r>
    </w:p>
    <w:p>
      <w:pPr>
        <w:spacing w:after="120"/>
      </w:pPr>
      <w:r>
        <w:rPr>
          <w:rFonts w:ascii="Arial" w:cs="Arial" w:eastAsia="Arial" w:hAnsi="Arial"/>
          <w:b/>
          <w:bCs/>
          <w:color w:val="0F172A"/>
          <w:sz w:val="22"/>
          <w:szCs w:val="22"/>
        </w:rPr>
        <w:t xml:space="preserve">Prepared by: </w:t>
      </w:r>
      <w:r>
        <w:rPr>
          <w:rFonts w:ascii="Arial" w:cs="Arial" w:eastAsia="Arial" w:hAnsi="Arial"/>
          <w:color w:val="0F172A"/>
          <w:sz w:val="22"/>
          <w:szCs w:val="22"/>
        </w:rPr>
        <w:t xml:space="preserve">Senior Partner, Strategy &amp; Technology Practice</w:t>
      </w:r>
    </w:p>
    <w:p>
      <w:pPr>
        <w:spacing w:after="120"/>
      </w:pPr>
      <w:r>
        <w:rPr>
          <w:rFonts w:ascii="Arial" w:cs="Arial" w:eastAsia="Arial" w:hAnsi="Arial"/>
          <w:b/>
          <w:bCs/>
          <w:color w:val="0F172A"/>
          <w:sz w:val="22"/>
          <w:szCs w:val="22"/>
        </w:rPr>
        <w:t xml:space="preserve">Date: </w:t>
      </w:r>
      <w:r>
        <w:rPr>
          <w:rFonts w:ascii="Arial" w:cs="Arial" w:eastAsia="Arial" w:hAnsi="Arial"/>
          <w:color w:val="0F172A"/>
          <w:sz w:val="22"/>
          <w:szCs w:val="22"/>
        </w:rPr>
        <w:t xml:space="preserve">March 26, 2026</w:t>
      </w:r>
    </w:p>
    <w:p>
      <w:pPr>
        <w:spacing w:after="120"/>
      </w:pPr>
      <w:r>
        <w:rPr>
          <w:rFonts w:ascii="Arial" w:cs="Arial" w:eastAsia="Arial" w:hAnsi="Arial"/>
          <w:b/>
          <w:bCs/>
          <w:color w:val="0F172A"/>
          <w:sz w:val="22"/>
          <w:szCs w:val="22"/>
        </w:rPr>
        <w:t xml:space="preserve">Classification: </w:t>
      </w:r>
      <w:r>
        <w:rPr>
          <w:rFonts w:ascii="Arial" w:cs="Arial" w:eastAsia="Arial" w:hAnsi="Arial"/>
          <w:color w:val="0F172A"/>
          <w:sz w:val="22"/>
          <w:szCs w:val="22"/>
        </w:rPr>
        <w:t xml:space="preserve">CONFIDENTIAL — Internal Use Only</w:t>
      </w:r>
    </w:p>
    <w:p>
      <w:pPr>
        <w:spacing w:after="120"/>
      </w:pPr>
      <w:r>
        <w:rPr>
          <w:rFonts w:ascii="Arial" w:cs="Arial" w:eastAsia="Arial" w:hAnsi="Arial"/>
          <w:b/>
          <w:bCs/>
          <w:color w:val="0F172A"/>
          <w:sz w:val="22"/>
          <w:szCs w:val="22"/>
        </w:rPr>
        <w:t xml:space="preserve">Version: </w:t>
      </w:r>
      <w:r>
        <w:rPr>
          <w:rFonts w:ascii="Arial" w:cs="Arial" w:eastAsia="Arial" w:hAnsi="Arial"/>
          <w:color w:val="0F172A"/>
          <w:sz w:val="22"/>
          <w:szCs w:val="22"/>
        </w:rPr>
        <w:t xml:space="preserve">Audit v1.0 — Pre-Pitch Gate Review</w:t>
      </w:r>
    </w:p>
    <w:p>
      <w:r>
        <w:br w:type="page"/>
      </w:r>
    </w:p>
    <w:p>
      <w:pPr>
        <w:pStyle w:val="Heading1"/>
        <w:spacing w:after="160" w:before="360"/>
      </w:pPr>
      <w:r>
        <w:rPr>
          <w:rFonts w:ascii="Arial" w:cs="Arial" w:eastAsia="Arial" w:hAnsi="Arial"/>
          <w:b/>
          <w:bCs/>
        </w:rPr>
        <w:t xml:space="preserve">1. EXECUTIVE SUMMARY</w:t>
      </w:r>
    </w:p>
    <w:p>
      <w:pPr>
        <w:spacing w:after="120"/>
      </w:pPr>
      <w:r>
        <w:rPr>
          <w:rFonts w:ascii="Arial" w:cs="Arial" w:eastAsia="Arial" w:hAnsi="Arial"/>
          <w:color w:val="0F172A"/>
          <w:sz w:val="22"/>
          <w:szCs w:val="22"/>
        </w:rPr>
        <w:t xml:space="preserve">This document presents a structured, no-holds-barred readiness audit of PULSE v2.0 conducted with the rigor expected of a Bain Senior Partner engagement and the design standards of Apple’s Product organization. The audit covers six dimensions: Codebase Completeness, Statistical Methodology, Security Architecture, UI/UX Design Quality, Test Reliability, and Strategic Positioning for CEO pitch.</w:t>
      </w:r>
    </w:p>
    <w:p>
      <w:pPr>
        <w:pStyle w:val="Heading2"/>
        <w:spacing w:after="160" w:before="240"/>
      </w:pPr>
      <w:r>
        <w:rPr>
          <w:rFonts w:ascii="Arial" w:cs="Arial" w:eastAsia="Arial" w:hAnsi="Arial"/>
          <w:b/>
          <w:bCs/>
        </w:rPr>
        <w:t xml:space="preserve">Overall Verdict</w:t>
      </w:r>
    </w:p>
    <w:p>
      <w:pPr>
        <w:spacing w:after="120"/>
      </w:pPr>
      <w:r>
        <w:rPr>
          <w:rFonts w:ascii="Arial" w:cs="Arial" w:eastAsia="Arial" w:hAnsi="Arial"/>
          <w:color w:val="0F172A"/>
          <w:sz w:val="22"/>
          <w:szCs w:val="22"/>
        </w:rPr>
        <w:t xml:space="preserve">PULSE is a sophisticated, substantially built system with real Bayesian Monte Carlo simulation, causal DAG propagation, and copula-based dependency modeling. The core engine works. The dashboard is enterprise-grade. The security architecture is structurally sound. However, 28 of 199 tests are currently failing, the copula implementation has a methodological shortcut, and several Phase 3 modules remain scaffolding. These issues are fixable in 2–3 focused sprints before the CEO pitch.</w:t>
      </w:r>
    </w:p>
    <w:p>
      <w:pPr>
        <w:pStyle w:val="Heading2"/>
        <w:spacing w:after="160" w:before="240"/>
      </w:pPr>
      <w:r>
        <w:rPr>
          <w:rFonts w:ascii="Arial" w:cs="Arial" w:eastAsia="Arial" w:hAnsi="Arial"/>
          <w:b/>
          <w:bCs/>
        </w:rPr>
        <w:t xml:space="preserve">Quantified Readiness Score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1400"/>
        <w:gridCol w:w="4400"/>
      </w:tblGrid>
      <w:tr>
        <w:tc>
          <w:tcPr>
            <w:tcW w:type="dxa" w:w="32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Dimension</w:t>
            </w:r>
          </w:p>
        </w:tc>
        <w:tc>
          <w:tcPr>
            <w:tcW w:type="dxa" w:w="8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Score</w:t>
            </w:r>
          </w:p>
        </w:tc>
        <w:tc>
          <w:tcPr>
            <w:tcW w:type="dxa" w:w="14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CEO-Ready?</w:t>
            </w:r>
          </w:p>
        </w:tc>
        <w:tc>
          <w:tcPr>
            <w:tcW w:type="dxa" w:w="44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Gap to Close</w:t>
            </w:r>
          </w:p>
        </w:tc>
      </w:tr>
      <w:tr>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Core Simulation Engine (Phase 1)</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92%</w:t>
            </w:r>
          </w:p>
        </w:tc>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59669"/>
                <w:sz w:val="20"/>
                <w:szCs w:val="20"/>
              </w:rPr>
              <w:t xml:space="preserve">YES</w:t>
            </w:r>
          </w:p>
        </w:tc>
        <w:tc>
          <w:tcPr>
            <w:tcW w:type="dxa" w:w="4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Fix copula probability sampling</w:t>
            </w:r>
          </w:p>
        </w:tc>
      </w:tr>
      <w:tr>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Financial Data Firewall</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95%</w:t>
            </w:r>
          </w:p>
        </w:tc>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59669"/>
                <w:sz w:val="20"/>
                <w:szCs w:val="20"/>
              </w:rPr>
              <w:t xml:space="preserve">YES</w:t>
            </w:r>
          </w:p>
        </w:tc>
        <w:tc>
          <w:tcPr>
            <w:tcW w:type="dxa" w:w="4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DB-level trigger non-functional in SQLite</w:t>
            </w:r>
          </w:p>
        </w:tc>
      </w:tr>
      <w:tr>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Causal DAG &amp; Propagation</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85%</w:t>
            </w:r>
          </w:p>
        </w:tc>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D97706"/>
                <w:sz w:val="20"/>
                <w:szCs w:val="20"/>
              </w:rPr>
              <w:t xml:space="preserve">YES*</w:t>
            </w:r>
          </w:p>
        </w:tc>
        <w:tc>
          <w:tcPr>
            <w:tcW w:type="dxa" w:w="4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Lag propagation incomplete in MC integration</w:t>
            </w:r>
          </w:p>
        </w:tc>
      </w:tr>
      <w:tr>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War Room Dashboard (Phase 2)</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88%</w:t>
            </w:r>
          </w:p>
        </w:tc>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59669"/>
                <w:sz w:val="20"/>
                <w:szCs w:val="20"/>
              </w:rPr>
              <w:t xml:space="preserve">YES</w:t>
            </w:r>
          </w:p>
        </w:tc>
        <w:tc>
          <w:tcPr>
            <w:tcW w:type="dxa" w:w="4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Retire v3, polish analytics panels</w:t>
            </w:r>
          </w:p>
        </w:tc>
      </w:tr>
      <w:tr>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API &amp; Backend Server</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78%</w:t>
            </w:r>
          </w:p>
        </w:tc>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DC2626"/>
                <w:sz w:val="20"/>
                <w:szCs w:val="20"/>
              </w:rPr>
              <w:t xml:space="preserve">NO</w:t>
            </w:r>
          </w:p>
        </w:tc>
        <w:tc>
          <w:tcPr>
            <w:tcW w:type="dxa" w:w="4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28 failing tests, thread safety, deprecated lifecycle</w:t>
            </w:r>
          </w:p>
        </w:tc>
      </w:tr>
      <w:tr>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Test Suite Reliability</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72%</w:t>
            </w:r>
          </w:p>
        </w:tc>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DC2626"/>
                <w:sz w:val="20"/>
                <w:szCs w:val="20"/>
              </w:rPr>
              <w:t xml:space="preserve">NO</w:t>
            </w:r>
          </w:p>
        </w:tc>
        <w:tc>
          <w:tcPr>
            <w:tcW w:type="dxa" w:w="4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28 failures across 5 modules; 86% pass rate</w:t>
            </w:r>
          </w:p>
        </w:tc>
      </w:tr>
      <w:tr>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AI Layer (Phase 3)</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45%</w:t>
            </w:r>
          </w:p>
        </w:tc>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DC2626"/>
                <w:sz w:val="20"/>
                <w:szCs w:val="20"/>
              </w:rPr>
              <w:t xml:space="preserve">NO</w:t>
            </w:r>
          </w:p>
        </w:tc>
        <w:tc>
          <w:tcPr>
            <w:tcW w:type="dxa" w:w="4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Scanner/Calibrator are scaffolding</w:t>
            </w:r>
          </w:p>
        </w:tc>
      </w:tr>
      <w:tr>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Backtesting Engine</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35%</w:t>
            </w:r>
          </w:p>
        </w:tc>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DC2626"/>
                <w:sz w:val="20"/>
                <w:szCs w:val="20"/>
              </w:rPr>
              <w:t xml:space="preserve">NO</w:t>
            </w:r>
          </w:p>
        </w:tc>
        <w:tc>
          <w:tcPr>
            <w:tcW w:type="dxa" w:w="4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Calibration logic incomplete</w:t>
            </w:r>
          </w:p>
        </w:tc>
      </w:tr>
      <w:tr>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Game Theory Layer</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55%</w:t>
            </w:r>
          </w:p>
        </w:tc>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D97706"/>
                <w:sz w:val="20"/>
                <w:szCs w:val="20"/>
              </w:rPr>
              <w:t xml:space="preserve">PARTIAL</w:t>
            </w:r>
          </w:p>
        </w:tc>
        <w:tc>
          <w:tcPr>
            <w:tcW w:type="dxa" w:w="4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Response effects defined but not applied</w:t>
            </w:r>
          </w:p>
        </w:tc>
      </w:tr>
      <w:tr>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Delphi Elicitation Protocol</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60%</w:t>
            </w:r>
          </w:p>
        </w:tc>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D97706"/>
                <w:sz w:val="20"/>
                <w:szCs w:val="20"/>
              </w:rPr>
              <w:t xml:space="preserve">PARTIAL</w:t>
            </w:r>
          </w:p>
        </w:tc>
        <w:tc>
          <w:tcPr>
            <w:tcW w:type="dxa" w:w="4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DB persistence incomplete</w:t>
            </w:r>
          </w:p>
        </w:tc>
      </w:tr>
      <w:tr>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Power BI Integration</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40%</w:t>
            </w:r>
          </w:p>
        </w:tc>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DC2626"/>
                <w:sz w:val="20"/>
                <w:szCs w:val="20"/>
              </w:rPr>
              <w:t xml:space="preserve">NO</w:t>
            </w:r>
          </w:p>
        </w:tc>
        <w:tc>
          <w:tcPr>
            <w:tcW w:type="dxa" w:w="4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Azure auth flow untested</w:t>
            </w:r>
          </w:p>
        </w:tc>
      </w:tr>
      <w:tr>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External API Integrations</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30%</w:t>
            </w:r>
          </w:p>
        </w:tc>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DC2626"/>
                <w:sz w:val="20"/>
                <w:szCs w:val="20"/>
              </w:rPr>
              <w:t xml:space="preserve">NO</w:t>
            </w:r>
          </w:p>
        </w:tc>
        <w:tc>
          <w:tcPr>
            <w:tcW w:type="dxa" w:w="4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Most are stubs with TODO comments</w:t>
            </w:r>
          </w:p>
        </w:tc>
      </w:tr>
    </w:tbl>
    <w:p>
      <w:pPr>
        <w:spacing w:after="60"/>
      </w:pPr>
    </w:p>
    <w:p>
      <w:pPr>
        <w:spacing w:after="120"/>
      </w:pPr>
      <w:r>
        <w:rPr>
          <w:rFonts w:ascii="Arial" w:cs="Arial" w:eastAsia="Arial" w:hAnsi="Arial"/>
          <w:b/>
          <w:bCs/>
          <w:color w:val="0F172A"/>
          <w:sz w:val="22"/>
          <w:szCs w:val="22"/>
        </w:rPr>
        <w:t xml:space="preserve">Bottom Line: </w:t>
      </w:r>
      <w:r>
        <w:rPr>
          <w:rFonts w:ascii="Arial" w:cs="Arial" w:eastAsia="Arial" w:hAnsi="Arial"/>
          <w:color w:val="0F172A"/>
          <w:sz w:val="22"/>
          <w:szCs w:val="22"/>
        </w:rPr>
        <w:t xml:space="preserve">Phases 1 and 2 are CEO-presentable with 2 weeks of targeted fixes. Phase 3 (AI, Power BI, Integrations) should be positioned as “roadmap” in the pitch, not “delivered.” Attempting to demo unfinished Phase 3 features to the Henkel CEO would destroy credibility.</w:t>
      </w:r>
    </w:p>
    <w:p>
      <w:r>
        <w:br w:type="page"/>
      </w:r>
    </w:p>
    <w:p>
      <w:pPr>
        <w:pStyle w:val="Heading1"/>
        <w:spacing w:after="160" w:before="360"/>
      </w:pPr>
      <w:r>
        <w:rPr>
          <w:rFonts w:ascii="Arial" w:cs="Arial" w:eastAsia="Arial" w:hAnsi="Arial"/>
          <w:b/>
          <w:bCs/>
        </w:rPr>
        <w:t xml:space="preserve">2. CODEBASE ARCHITECTURE AUDIT</w:t>
      </w:r>
    </w:p>
    <w:p>
      <w:pPr>
        <w:spacing w:after="120"/>
      </w:pPr>
      <w:r>
        <w:rPr>
          <w:rFonts w:ascii="Arial" w:cs="Arial" w:eastAsia="Arial" w:hAnsi="Arial"/>
          <w:color w:val="0F172A"/>
          <w:sz w:val="22"/>
          <w:szCs w:val="22"/>
        </w:rPr>
        <w:t xml:space="preserve">Total codebase: ~15,000 lines of Python across 73 files, plus ~41 TypeScript/React files in the primary dashboard. Two dashboard implementations exist (a critical finding discussed in Section 4).</w:t>
      </w:r>
    </w:p>
    <w:p>
      <w:pPr>
        <w:pStyle w:val="Heading2"/>
        <w:spacing w:after="160" w:before="240"/>
      </w:pPr>
      <w:r>
        <w:rPr>
          <w:rFonts w:ascii="Arial" w:cs="Arial" w:eastAsia="Arial" w:hAnsi="Arial"/>
          <w:b/>
          <w:bCs/>
        </w:rPr>
        <w:t xml:space="preserve">2.1 Module Completeness Matrix</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1200"/>
        <w:gridCol w:w="5100"/>
      </w:tblGrid>
      <w:tr>
        <w:tc>
          <w:tcPr>
            <w:tcW w:type="dxa" w:w="28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Module</w:t>
            </w:r>
          </w:p>
        </w:tc>
        <w:tc>
          <w:tcPr>
            <w:tcW w:type="dxa" w:w="7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Lines</w:t>
            </w:r>
          </w:p>
        </w:tc>
        <w:tc>
          <w:tcPr>
            <w:tcW w:type="dxa" w:w="12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Status</w:t>
            </w:r>
          </w:p>
        </w:tc>
        <w:tc>
          <w:tcPr>
            <w:tcW w:type="dxa" w:w="51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Assessment</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pulse/ingestion/excel_reader.py</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245</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59669"/>
                <w:sz w:val="20"/>
                <w:szCs w:val="20"/>
              </w:rPr>
              <w:t xml:space="preserve">✅ COMPLETE</w:t>
            </w:r>
          </w:p>
        </w:tc>
        <w:tc>
          <w:tcPr>
            <w:tcW w:type="dxa" w:w="5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Reads V12, maps columns dynamically, category exposure detection</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pulse/ingestion/firewall.py</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141</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59669"/>
                <w:sz w:val="20"/>
                <w:szCs w:val="20"/>
              </w:rPr>
              <w:t xml:space="preserve">✅ COMPLETE</w:t>
            </w:r>
          </w:p>
        </w:tc>
        <w:tc>
          <w:tcPr>
            <w:tcW w:type="dxa" w:w="5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Three-layer defense: headers, numeric values, text patterns. Robust.</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pulse/ingestion/models.py</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112</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59669"/>
                <w:sz w:val="20"/>
                <w:szCs w:val="20"/>
              </w:rPr>
              <w:t xml:space="preserve">✅ COMPLETE</w:t>
            </w:r>
          </w:p>
        </w:tc>
        <w:tc>
          <w:tcPr>
            <w:tcW w:type="dxa" w:w="5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Trend, CausalEdge, TrendDatabase dataclasses with Bayesian posteriors</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pulse/simulation/deterministic.py</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151</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59669"/>
                <w:sz w:val="20"/>
                <w:szCs w:val="20"/>
              </w:rPr>
              <w:t xml:space="preserve">✅ COMPLETE</w:t>
            </w:r>
          </w:p>
        </w:tc>
        <w:tc>
          <w:tcPr>
            <w:tcW w:type="dxa" w:w="5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V12 multiplicative compounding replica. Force/VC scorecards.</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pulse/simulation/bayesian_mc.py</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319</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20"/>
                <w:szCs w:val="20"/>
              </w:rPr>
              <w:t xml:space="preserve">⚠️ PARTIAL</w:t>
            </w:r>
          </w:p>
        </w:tc>
        <w:tc>
          <w:tcPr>
            <w:tcW w:type="dxa" w:w="5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Real t-copula + Beta posteriors. BUT: probability NOT copula-correlated.</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pulse/simulation/paths.py</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174</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59669"/>
                <w:sz w:val="20"/>
                <w:szCs w:val="20"/>
              </w:rPr>
              <w:t xml:space="preserve">✅ COMPLETE</w:t>
            </w:r>
          </w:p>
        </w:tc>
        <w:tc>
          <w:tcPr>
            <w:tcW w:type="dxa" w:w="5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Velocity, acceleration, path classification, trigger evaluation</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pulse/simulation/scenarios.py</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186</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59669"/>
                <w:sz w:val="20"/>
                <w:szCs w:val="20"/>
              </w:rPr>
              <w:t xml:space="preserve">✅ COMPLETE</w:t>
            </w:r>
          </w:p>
        </w:tc>
        <w:tc>
          <w:tcPr>
            <w:tcW w:type="dxa" w:w="5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5 built-in scenarios with causal DAG propagation</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pulse/simulation/sensitivity.py</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230</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20"/>
                <w:szCs w:val="20"/>
              </w:rPr>
              <w:t xml:space="preserve">⚠️ PARTIAL</w:t>
            </w:r>
          </w:p>
        </w:tc>
        <w:tc>
          <w:tcPr>
            <w:tcW w:type="dxa" w:w="5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Tornado + breakeven work. Mutates trend objects in-place (bug).</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pulse/simulation/cvar.py</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242</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C2626"/>
                <w:sz w:val="20"/>
                <w:szCs w:val="20"/>
              </w:rPr>
              <w:t xml:space="preserve">❌ STUB</w:t>
            </w:r>
          </w:p>
        </w:tc>
        <w:tc>
          <w:tcPr>
            <w:tcW w:type="dxa" w:w="5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CVaR risk module structure exists but implementation incomplete</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pulse/simulation/sobol.py</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258</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C2626"/>
                <w:sz w:val="20"/>
                <w:szCs w:val="20"/>
              </w:rPr>
              <w:t xml:space="preserve">❌ STUB</w:t>
            </w:r>
          </w:p>
        </w:tc>
        <w:tc>
          <w:tcPr>
            <w:tcW w:type="dxa" w:w="5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Quasi-Monte Carlo — not integrated with main engine</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pulse/simulation/tipping_points.py</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273</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C2626"/>
                <w:sz w:val="20"/>
                <w:szCs w:val="20"/>
              </w:rPr>
              <w:t xml:space="preserve">❌ STUB</w:t>
            </w:r>
          </w:p>
        </w:tc>
        <w:tc>
          <w:tcPr>
            <w:tcW w:type="dxa" w:w="5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Tipping point analysis — placeholder</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pulse/simulation/reverse_stress.py</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344</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C2626"/>
                <w:sz w:val="20"/>
                <w:szCs w:val="20"/>
              </w:rPr>
              <w:t xml:space="preserve">❌ STUB</w:t>
            </w:r>
          </w:p>
        </w:tc>
        <w:tc>
          <w:tcPr>
            <w:tcW w:type="dxa" w:w="5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Reverse stress testing — placeholder</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pulse/causal/dag.py</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218</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59669"/>
                <w:sz w:val="20"/>
                <w:szCs w:val="20"/>
              </w:rPr>
              <w:t xml:space="preserve">✅ COMPLETE</w:t>
            </w:r>
          </w:p>
        </w:tc>
        <w:tc>
          <w:tcPr>
            <w:tcW w:type="dxa" w:w="5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17 edges, acyclic validation, shock propagation, signatures</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pulse/game_theory/competitive.py</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272</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20"/>
                <w:szCs w:val="20"/>
              </w:rPr>
              <w:t xml:space="preserve">⚠️ PARTIAL</w:t>
            </w:r>
          </w:p>
        </w:tc>
        <w:tc>
          <w:tcPr>
            <w:tcW w:type="dxa" w:w="5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6 competitor profiles defined. Response logic is scaffolding only.</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pulse/optimizer/allocation.py</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170</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59669"/>
                <w:sz w:val="20"/>
                <w:szCs w:val="20"/>
              </w:rPr>
              <w:t xml:space="preserve">✅ COMPLETE</w:t>
            </w:r>
          </w:p>
        </w:tc>
        <w:tc>
          <w:tcPr>
            <w:tcW w:type="dxa" w:w="5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Real scipy.optimize mean-variance. Efficient frontier. Sharpe proxy.</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pulse/backtesting/engine.py</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222</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20"/>
                <w:szCs w:val="20"/>
              </w:rPr>
              <w:t xml:space="preserve">⚠️ PARTIAL</w:t>
            </w:r>
          </w:p>
        </w:tc>
        <w:tc>
          <w:tcPr>
            <w:tcW w:type="dxa" w:w="5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Data structures present. Actual calibration logic incomplete.</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pulse/elicitation/delphi.py</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849</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20"/>
                <w:szCs w:val="20"/>
              </w:rPr>
              <w:t xml:space="preserve">⚠️ PARTIAL</w:t>
            </w:r>
          </w:p>
        </w:tc>
        <w:tc>
          <w:tcPr>
            <w:tcW w:type="dxa" w:w="5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DB schema + rounds structure. Consensus score undefined.</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pulse/ai/provider.py</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646</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59669"/>
                <w:sz w:val="20"/>
                <w:szCs w:val="20"/>
              </w:rPr>
              <w:t xml:space="preserve">✅ COMPLETE</w:t>
            </w:r>
          </w:p>
        </w:tc>
        <w:tc>
          <w:tcPr>
            <w:tcW w:type="dxa" w:w="5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Claude, Azure OpenAI, Ollama providers. Firewall checks.</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pulse/ai/scanner.py</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330</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20"/>
                <w:szCs w:val="20"/>
              </w:rPr>
              <w:t xml:space="preserve">⚠️ PARTIAL</w:t>
            </w:r>
          </w:p>
        </w:tc>
        <w:tc>
          <w:tcPr>
            <w:tcW w:type="dxa" w:w="5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TrendScanner class exists. News API integration untested.</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pulse/ai/calibrator.py</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323</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C2626"/>
                <w:sz w:val="20"/>
                <w:szCs w:val="20"/>
              </w:rPr>
              <w:t xml:space="preserve">❌ STUB</w:t>
            </w:r>
          </w:p>
        </w:tc>
        <w:tc>
          <w:tcPr>
            <w:tcW w:type="dxa" w:w="5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Score calibration — scaffolding</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pulse/ai/narrator.py</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344</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C2626"/>
                <w:sz w:val="20"/>
                <w:szCs w:val="20"/>
              </w:rPr>
              <w:t xml:space="preserve">❌ STUB</w:t>
            </w:r>
          </w:p>
        </w:tc>
        <w:tc>
          <w:tcPr>
            <w:tcW w:type="dxa" w:w="5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Scenario narration — scaffolding</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pulse/ai/chat.py</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385</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C2626"/>
                <w:sz w:val="20"/>
                <w:szCs w:val="20"/>
              </w:rPr>
              <w:t xml:space="preserve">❌ STUB</w:t>
            </w:r>
          </w:p>
        </w:tc>
        <w:tc>
          <w:tcPr>
            <w:tcW w:type="dxa" w:w="5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NL interface — scaffolding</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pulse/api/app.py</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538</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20"/>
                <w:szCs w:val="20"/>
              </w:rPr>
              <w:t xml:space="preserve">⚠️ PARTIAL</w:t>
            </w:r>
          </w:p>
        </w:tc>
        <w:tc>
          <w:tcPr>
            <w:tcW w:type="dxa" w:w="5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FastAPI app works. Deprecated on_event lifecycle. No thread safety.</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pulse/api/routes/analytics.py</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499</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59669"/>
                <w:sz w:val="20"/>
                <w:szCs w:val="20"/>
              </w:rPr>
              <w:t xml:space="preserve">✅ COMPLETE</w:t>
            </w:r>
          </w:p>
        </w:tc>
        <w:tc>
          <w:tcPr>
            <w:tcW w:type="dxa" w:w="5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All core endpoints: trends, simulate, sensitivity, optimizer, chat</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pulse/api/routes/delphi.py</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580</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59669"/>
                <w:sz w:val="20"/>
                <w:szCs w:val="20"/>
              </w:rPr>
              <w:t xml:space="preserve">✅ COMPLETE</w:t>
            </w:r>
          </w:p>
        </w:tc>
        <w:tc>
          <w:tcPr>
            <w:tcW w:type="dxa" w:w="5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Delphi sessions, rounds, calibration, consensus endpoints</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pulse/database.py</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916</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20"/>
                <w:szCs w:val="20"/>
              </w:rPr>
              <w:t xml:space="preserve">⚠️ PARTIAL</w:t>
            </w:r>
          </w:p>
        </w:tc>
        <w:tc>
          <w:tcPr>
            <w:tcW w:type="dxa" w:w="5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Full schema. Financial firewall trigger non-functional in SQLite.</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pulse/excel_bridge/writer.py</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299</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59669"/>
                <w:sz w:val="20"/>
                <w:szCs w:val="20"/>
              </w:rPr>
              <w:t xml:space="preserve">✅ COMPLETE</w:t>
            </w:r>
          </w:p>
        </w:tc>
        <w:tc>
          <w:tcPr>
            <w:tcW w:type="dxa" w:w="5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Professional Excel export with color-coding, all sheets</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pulse/excel_bridge/powerbi_export.py</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375</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20"/>
                <w:szCs w:val="20"/>
              </w:rPr>
              <w:t xml:space="preserve">⚠️ PARTIAL</w:t>
            </w:r>
          </w:p>
        </w:tc>
        <w:tc>
          <w:tcPr>
            <w:tcW w:type="dxa" w:w="5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JSON/CSV export works. Azure credential flow untested.</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pulse/excel_bridge/export_center.py</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846</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20"/>
                <w:szCs w:val="20"/>
              </w:rPr>
              <w:t xml:space="preserve">⚠️ PARTIAL</w:t>
            </w:r>
          </w:p>
        </w:tc>
        <w:tc>
          <w:tcPr>
            <w:tcW w:type="dxa" w:w="5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Multi-format export. Complexity suggests untested edge cases.</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pulse/audit/logger.py</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90+</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20"/>
                <w:szCs w:val="20"/>
              </w:rPr>
              <w:t xml:space="preserve">⚠️ PARTIAL</w:t>
            </w:r>
          </w:p>
        </w:tc>
        <w:tc>
          <w:tcPr>
            <w:tcW w:type="dxa" w:w="5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Write methods work. No read/query methods for audit retrieval.</w:t>
            </w:r>
          </w:p>
        </w:tc>
      </w:tr>
    </w:tbl>
    <w:p>
      <w:r>
        <w:br w:type="page"/>
      </w:r>
    </w:p>
    <w:p>
      <w:pPr>
        <w:pStyle w:val="Heading1"/>
        <w:spacing w:after="160" w:before="360"/>
      </w:pPr>
      <w:r>
        <w:rPr>
          <w:rFonts w:ascii="Arial" w:cs="Arial" w:eastAsia="Arial" w:hAnsi="Arial"/>
          <w:b/>
          <w:bCs/>
        </w:rPr>
        <w:t xml:space="preserve">3. CRITICAL FINDINGS — ISSUES THAT BLOCK CEO PITCH</w:t>
      </w:r>
    </w:p>
    <w:p>
      <w:pPr>
        <w:pStyle w:val="Heading2"/>
        <w:spacing w:after="160" w:before="240"/>
      </w:pPr>
      <w:r>
        <w:rPr>
          <w:rFonts w:ascii="Arial" w:cs="Arial" w:eastAsia="Arial" w:hAnsi="Arial"/>
          <w:b/>
          <w:bCs/>
        </w:rPr>
        <w:t xml:space="preserve">3.1 Test Suite: 28 Failures Across 199 Tests (86% Pass Rate)</w:t>
      </w:r>
    </w:p>
    <w:p>
      <w:pPr>
        <w:spacing w:after="120"/>
      </w:pPr>
      <w:r>
        <w:rPr>
          <w:rFonts w:ascii="Arial" w:cs="Arial" w:eastAsia="Arial" w:hAnsi="Arial"/>
          <w:color w:val="0F172A"/>
          <w:sz w:val="22"/>
          <w:szCs w:val="22"/>
        </w:rPr>
        <w:t xml:space="preserve">A Bain engagement would never present a tool with a 14% test failure rate. Current failures span 5 modules: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1200"/>
        <w:gridCol w:w="6300"/>
      </w:tblGrid>
      <w:tr>
        <w:tc>
          <w:tcPr>
            <w:tcW w:type="dxa" w:w="15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Test Module</w:t>
            </w:r>
          </w:p>
        </w:tc>
        <w:tc>
          <w:tcPr>
            <w:tcW w:type="dxa" w:w="8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Fails</w:t>
            </w:r>
          </w:p>
        </w:tc>
        <w:tc>
          <w:tcPr>
            <w:tcW w:type="dxa" w:w="12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Severity</w:t>
            </w:r>
          </w:p>
        </w:tc>
        <w:tc>
          <w:tcPr>
            <w:tcW w:type="dxa" w:w="63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Root Cause</w:t>
            </w:r>
          </w:p>
        </w:tc>
      </w:tr>
      <w:tr>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test_api.py</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DC2626"/>
                <w:sz w:val="20"/>
                <w:szCs w:val="20"/>
              </w:rPr>
              <w:t xml:space="preserve">10</w:t>
            </w:r>
          </w:p>
        </w:tc>
        <w:tc>
          <w:tcPr>
            <w:tcW w:type="dxa" w:w="12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CRITICAL</w:t>
            </w:r>
          </w:p>
        </w:tc>
        <w:tc>
          <w:tcPr>
            <w:tcW w:type="dxa" w:w="63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CORS, error handling, payload validation, sensitivity endpoints all failing</w:t>
            </w:r>
          </w:p>
        </w:tc>
      </w:tr>
      <w:tr>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test_bayesian_mc.py</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DC2626"/>
                <w:sz w:val="20"/>
                <w:szCs w:val="20"/>
              </w:rPr>
              <w:t xml:space="preserve">9</w:t>
            </w:r>
          </w:p>
        </w:tc>
        <w:tc>
          <w:tcPr>
            <w:tcW w:type="dxa" w:w="12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CRITICAL</w:t>
            </w:r>
          </w:p>
        </w:tc>
        <w:tc>
          <w:tcPr>
            <w:tcW w:type="dxa" w:w="63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Path years, percentiles, convergence, causal decomposition, priors — core MC broken</w:t>
            </w:r>
          </w:p>
        </w:tc>
      </w:tr>
      <w:tr>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test_optimizer.py</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DC2626"/>
                <w:sz w:val="20"/>
                <w:szCs w:val="20"/>
              </w:rPr>
              <w:t xml:space="preserve">3</w:t>
            </w:r>
          </w:p>
        </w:tc>
        <w:tc>
          <w:tcPr>
            <w:tcW w:type="dxa" w:w="1200"/>
            <w:tcBorders>
              <w:top w:val="single" w:color="CBD5E1" w:sz="1"/>
              <w:left w:val="single" w:color="CBD5E1" w:sz="1"/>
              <w:bottom w:val="single" w:color="CBD5E1" w:sz="1"/>
              <w:right w:val="single" w:color="CBD5E1" w:sz="1"/>
            </w:tcBorders>
            <w:shd w:fill="FFEDD5" w:val="clear"/>
            <w:tcMar>
              <w:top w:type="dxa" w:w="60"/>
              <w:left w:type="dxa" w:w="100"/>
              <w:bottom w:type="dxa" w:w="60"/>
              <w:right w:type="dxa" w:w="100"/>
            </w:tcMar>
          </w:tcPr>
          <w:p>
            <w:pPr>
              <w:jc w:val="center"/>
            </w:pPr>
            <w:r>
              <w:rPr>
                <w:rFonts w:ascii="Arial" w:cs="Arial" w:eastAsia="Arial" w:hAnsi="Arial"/>
                <w:b/>
                <w:bCs/>
                <w:color w:val="EA580C"/>
                <w:sz w:val="20"/>
                <w:szCs w:val="20"/>
              </w:rPr>
              <w:t xml:space="preserve">HIGH</w:t>
            </w:r>
          </w:p>
        </w:tc>
        <w:tc>
          <w:tcPr>
            <w:tcW w:type="dxa" w:w="63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Risk aversion, efficient frontier, and frontier weights all failing</w:t>
            </w:r>
          </w:p>
        </w:tc>
      </w:tr>
      <w:tr>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test_game_theory.py</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DC2626"/>
                <w:sz w:val="20"/>
                <w:szCs w:val="20"/>
              </w:rPr>
              <w:t xml:space="preserve">3</w:t>
            </w:r>
          </w:p>
        </w:tc>
        <w:tc>
          <w:tcPr>
            <w:tcW w:type="dxa" w:w="1200"/>
            <w:tcBorders>
              <w:top w:val="single" w:color="CBD5E1" w:sz="1"/>
              <w:left w:val="single" w:color="CBD5E1" w:sz="1"/>
              <w:bottom w:val="single" w:color="CBD5E1" w:sz="1"/>
              <w:right w:val="single" w:color="CBD5E1" w:sz="1"/>
            </w:tcBorders>
            <w:shd w:fill="FFEDD5" w:val="clear"/>
            <w:tcMar>
              <w:top w:type="dxa" w:w="60"/>
              <w:left w:type="dxa" w:w="100"/>
              <w:bottom w:type="dxa" w:w="60"/>
              <w:right w:type="dxa" w:w="100"/>
            </w:tcMar>
          </w:tcPr>
          <w:p>
            <w:pPr>
              <w:jc w:val="center"/>
            </w:pPr>
            <w:r>
              <w:rPr>
                <w:rFonts w:ascii="Arial" w:cs="Arial" w:eastAsia="Arial" w:hAnsi="Arial"/>
                <w:b/>
                <w:bCs/>
                <w:color w:val="EA580C"/>
                <w:sz w:val="20"/>
                <w:szCs w:val="20"/>
              </w:rPr>
              <w:t xml:space="preserve">HIGH</w:t>
            </w:r>
          </w:p>
        </w:tc>
        <w:tc>
          <w:tcPr>
            <w:tcW w:type="dxa" w:w="63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Response effects, category coverage, pattern consistency broken</w:t>
            </w:r>
          </w:p>
        </w:tc>
      </w:tr>
      <w:tr>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test_sensitivity.py</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DC2626"/>
                <w:sz w:val="20"/>
                <w:szCs w:val="20"/>
              </w:rPr>
              <w:t xml:space="preserve">1</w:t>
            </w:r>
          </w:p>
        </w:tc>
        <w:tc>
          <w:tcPr>
            <w:tcW w:type="dxa" w:w="12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pPr>
              <w:jc w:val="center"/>
            </w:pPr>
            <w:r>
              <w:rPr>
                <w:rFonts w:ascii="Arial" w:cs="Arial" w:eastAsia="Arial" w:hAnsi="Arial"/>
                <w:b/>
                <w:bCs/>
                <w:color w:val="D97706"/>
                <w:sz w:val="20"/>
                <w:szCs w:val="20"/>
              </w:rPr>
              <w:t xml:space="preserve">MEDIUM</w:t>
            </w:r>
          </w:p>
        </w:tc>
        <w:tc>
          <w:tcPr>
            <w:tcW w:type="dxa" w:w="63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Edge case: high impact score range assertion off by boundary</w:t>
            </w:r>
          </w:p>
        </w:tc>
      </w:tr>
      <w:tr>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test_firewall.py</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DC2626"/>
                <w:sz w:val="20"/>
                <w:szCs w:val="20"/>
              </w:rPr>
              <w:t xml:space="preserve">1</w:t>
            </w:r>
          </w:p>
        </w:tc>
        <w:tc>
          <w:tcPr>
            <w:tcW w:type="dxa" w:w="12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pPr>
              <w:jc w:val="center"/>
            </w:pPr>
            <w:r>
              <w:rPr>
                <w:rFonts w:ascii="Arial" w:cs="Arial" w:eastAsia="Arial" w:hAnsi="Arial"/>
                <w:b/>
                <w:bCs/>
                <w:color w:val="D97706"/>
                <w:sz w:val="20"/>
                <w:szCs w:val="20"/>
              </w:rPr>
              <w:t xml:space="preserve">MEDIUM</w:t>
            </w:r>
          </w:p>
        </w:tc>
        <w:tc>
          <w:tcPr>
            <w:tcW w:type="dxa" w:w="63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Percentage-like financial pattern detection too aggressive</w:t>
            </w:r>
          </w:p>
        </w:tc>
      </w:tr>
      <w:tr>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test_causal_dag.py</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DC2626"/>
                <w:sz w:val="20"/>
                <w:szCs w:val="20"/>
              </w:rPr>
              <w:t xml:space="preserve">1</w:t>
            </w:r>
          </w:p>
        </w:tc>
        <w:tc>
          <w:tcPr>
            <w:tcW w:type="dxa" w:w="12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pPr>
              <w:jc w:val="center"/>
            </w:pPr>
            <w:r>
              <w:rPr>
                <w:rFonts w:ascii="Arial" w:cs="Arial" w:eastAsia="Arial" w:hAnsi="Arial"/>
                <w:b/>
                <w:bCs/>
                <w:color w:val="D97706"/>
                <w:sz w:val="20"/>
                <w:szCs w:val="20"/>
              </w:rPr>
              <w:t xml:space="preserve">MEDIUM</w:t>
            </w:r>
          </w:p>
        </w:tc>
        <w:tc>
          <w:tcPr>
            <w:tcW w:type="dxa" w:w="63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Single-edge DAG edge case fails</w:t>
            </w:r>
          </w:p>
        </w:tc>
      </w:tr>
    </w:tbl>
    <w:p>
      <w:pPr>
        <w:spacing w:after="60"/>
      </w:pPr>
    </w:p>
    <w:p>
      <w:pPr>
        <w:pStyle w:val="Heading2"/>
        <w:spacing w:after="160" w:before="240"/>
      </w:pPr>
      <w:r>
        <w:rPr>
          <w:rFonts w:ascii="Arial" w:cs="Arial" w:eastAsia="Arial" w:hAnsi="Arial"/>
          <w:b/>
          <w:bCs/>
        </w:rPr>
        <w:t xml:space="preserve">3.2 Statistical Methodology Gap: Copula Implementation Incomplete</w:t>
      </w:r>
    </w:p>
    <w:p>
      <w:pPr>
        <w:spacing w:after="120"/>
      </w:pPr>
      <w:r>
        <w:rPr>
          <w:rFonts w:ascii="Arial" w:cs="Arial" w:eastAsia="Arial" w:hAnsi="Arial"/>
          <w:color w:val="0F172A"/>
          <w:sz w:val="22"/>
          <w:szCs w:val="22"/>
        </w:rPr>
        <w:t xml:space="preserve">The spec promises “Copula-Based Dependency Structures” as a key upgrade from v1.2. The implementation in bayesian_mc.py does implement a real t-copula for impact scores (line 143–162), including Cholesky decomposition, chi-square scaling, and t-CDF transformation. This is legitimate.</w:t>
      </w:r>
    </w:p>
    <w:p>
      <w:pPr>
        <w:spacing w:after="120"/>
      </w:pPr>
      <w:r>
        <w:rPr>
          <w:rFonts w:ascii="Arial" w:cs="Arial" w:eastAsia="Arial" w:hAnsi="Arial"/>
          <w:color w:val="0F172A"/>
          <w:sz w:val="22"/>
          <w:szCs w:val="22"/>
        </w:rPr>
        <w:t xml:space="preserve">However, probability scores are sampled independently (line 176: rng.uniform) rather than as a second copula dimension. This means the claimed “multivariate copula” is only univariate. The practical impact: tail dependence between impact and probability within the same trend is not captured. In a stress scenario where high-impact trends also become high-probability (crisis correlation), the model underestimates joint risk.</w:t>
      </w:r>
    </w:p>
    <w:p>
      <w:pPr>
        <w:spacing w:after="120"/>
      </w:pPr>
      <w:r>
        <w:rPr>
          <w:rFonts w:ascii="Arial" w:cs="Arial" w:eastAsia="Arial" w:hAnsi="Arial"/>
          <w:b/>
          <w:bCs/>
          <w:color w:val="0F172A"/>
          <w:sz w:val="22"/>
          <w:szCs w:val="22"/>
        </w:rPr>
        <w:t xml:space="preserve">Fix: </w:t>
      </w:r>
      <w:r>
        <w:rPr>
          <w:rFonts w:ascii="Arial" w:cs="Arial" w:eastAsia="Arial" w:hAnsi="Arial"/>
          <w:color w:val="0F172A"/>
          <w:sz w:val="22"/>
          <w:szCs w:val="22"/>
        </w:rPr>
        <w:t xml:space="preserve">Extend the copula to 2N dimensions (N trends × 2 marginals: impact + probability). Alternatively, document this as a known simplification with a sensitivity analysis showing the magnitude of the difference. Estimated effort: 2–3 days.</w:t>
      </w:r>
    </w:p>
    <w:p>
      <w:pPr>
        <w:pStyle w:val="Heading2"/>
        <w:spacing w:after="160" w:before="240"/>
      </w:pPr>
      <w:r>
        <w:rPr>
          <w:rFonts w:ascii="Arial" w:cs="Arial" w:eastAsia="Arial" w:hAnsi="Arial"/>
          <w:b/>
          <w:bCs/>
        </w:rPr>
        <w:t xml:space="preserve">3.3 Causal Propagation Lag Not Integrated in MC</w:t>
      </w:r>
    </w:p>
    <w:p>
      <w:pPr>
        <w:spacing w:after="120"/>
      </w:pPr>
      <w:r>
        <w:rPr>
          <w:rFonts w:ascii="Arial" w:cs="Arial" w:eastAsia="Arial" w:hAnsi="Arial"/>
          <w:color w:val="0F172A"/>
          <w:sz w:val="22"/>
          <w:szCs w:val="22"/>
        </w:rPr>
        <w:t xml:space="preserve">The CausalDAG module correctly defines lag_years (0–2 years) per edge. The standalone propagate_shock() method in dag.py respects lags properly. However, the integration point in bayesian_mc.py (line 232) calls propagate_to_force_contributions() which only handles instantaneous propagation (lag=0). Multi-year lag effects from the DAG are silently ignored during Monte Carlo simulation.</w:t>
      </w:r>
    </w:p>
    <w:p>
      <w:pPr>
        <w:spacing w:after="120"/>
      </w:pPr>
      <w:r>
        <w:rPr>
          <w:rFonts w:ascii="Arial" w:cs="Arial" w:eastAsia="Arial" w:hAnsi="Arial"/>
          <w:b/>
          <w:bCs/>
          <w:color w:val="0F172A"/>
          <w:sz w:val="22"/>
          <w:szCs w:val="22"/>
        </w:rPr>
        <w:t xml:space="preserve">Impact: </w:t>
      </w:r>
      <w:r>
        <w:rPr>
          <w:rFonts w:ascii="Arial" w:cs="Arial" w:eastAsia="Arial" w:hAnsi="Arial"/>
          <w:color w:val="0F172A"/>
          <w:sz w:val="22"/>
          <w:szCs w:val="22"/>
        </w:rPr>
        <w:t xml:space="preserve">Regulatory shocks that should take 1–2 years to propagate to Technology and Customer forces are applied immediately, overstating near-term shifts and understating the lagged timeline structure that is the entire point of continuous path modeling.</w:t>
      </w:r>
    </w:p>
    <w:p>
      <w:pPr>
        <w:spacing w:after="120"/>
      </w:pPr>
      <w:r>
        <w:rPr>
          <w:rFonts w:ascii="Arial" w:cs="Arial" w:eastAsia="Arial" w:hAnsi="Arial"/>
          <w:b/>
          <w:bCs/>
          <w:color w:val="0F172A"/>
          <w:sz w:val="22"/>
          <w:szCs w:val="22"/>
        </w:rPr>
        <w:t xml:space="preserve">Fix: </w:t>
      </w:r>
      <w:r>
        <w:rPr>
          <w:rFonts w:ascii="Arial" w:cs="Arial" w:eastAsia="Arial" w:hAnsi="Arial"/>
          <w:color w:val="0F172A"/>
          <w:sz w:val="22"/>
          <w:szCs w:val="22"/>
        </w:rPr>
        <w:t xml:space="preserve">Modify _compute_category_path() to query year-specific propagated contributions from the DAG, respecting the lag structure defined in each edge. Estimated effort: 3–4 days.</w:t>
      </w:r>
    </w:p>
    <w:p>
      <w:pPr>
        <w:pStyle w:val="Heading2"/>
        <w:spacing w:after="160" w:before="240"/>
      </w:pPr>
      <w:r>
        <w:rPr>
          <w:rFonts w:ascii="Arial" w:cs="Arial" w:eastAsia="Arial" w:hAnsi="Arial"/>
          <w:b/>
          <w:bCs/>
        </w:rPr>
        <w:t xml:space="preserve">3.4 API Server: Deprecated Lifecycle &amp; Thread Safety</w:t>
      </w:r>
    </w:p>
    <w:p>
      <w:pPr>
        <w:spacing w:after="120"/>
      </w:pPr>
      <w:r>
        <w:rPr>
          <w:rFonts w:ascii="Arial" w:cs="Arial" w:eastAsia="Arial" w:hAnsi="Arial"/>
          <w:color w:val="0F172A"/>
          <w:sz w:val="22"/>
          <w:szCs w:val="22"/>
        </w:rPr>
        <w:t xml:space="preserve">The FastAPI application uses @app.on_event(“startup”) which is deprecated in FastAPI 0.110+. The replacement is lifespan event handlers. More critically, the global _state dictionary (line 55–66 in app.py) is shared across all requests without any locking mechanism. If two users trigger re-simulation simultaneously, race conditions will corrupt the shared simulation state.</w:t>
      </w:r>
    </w:p>
    <w:p>
      <w:pPr>
        <w:spacing w:after="120"/>
      </w:pPr>
      <w:r>
        <w:rPr>
          <w:rFonts w:ascii="Arial" w:cs="Arial" w:eastAsia="Arial" w:hAnsi="Arial"/>
          <w:b/>
          <w:bCs/>
          <w:color w:val="0F172A"/>
          <w:sz w:val="22"/>
          <w:szCs w:val="22"/>
        </w:rPr>
        <w:t xml:space="preserve">Fix: </w:t>
      </w:r>
      <w:r>
        <w:rPr>
          <w:rFonts w:ascii="Arial" w:cs="Arial" w:eastAsia="Arial" w:hAnsi="Arial"/>
          <w:color w:val="0F172A"/>
          <w:sz w:val="22"/>
          <w:szCs w:val="22"/>
        </w:rPr>
        <w:t xml:space="preserve">Migrate to lifespan context manager. Add asyncio.Lock around simulation state mutations. Estimated effort: 1–2 days.</w:t>
      </w:r>
    </w:p>
    <w:p>
      <w:pPr>
        <w:pStyle w:val="Heading2"/>
        <w:spacing w:after="160" w:before="240"/>
      </w:pPr>
      <w:r>
        <w:rPr>
          <w:rFonts w:ascii="Arial" w:cs="Arial" w:eastAsia="Arial" w:hAnsi="Arial"/>
          <w:b/>
          <w:bCs/>
        </w:rPr>
        <w:t xml:space="preserve">3.5 Database Financial Firewall Trigger Non-Functional</w:t>
      </w:r>
    </w:p>
    <w:p>
      <w:pPr>
        <w:spacing w:after="120"/>
      </w:pPr>
      <w:r>
        <w:rPr>
          <w:rFonts w:ascii="Arial" w:cs="Arial" w:eastAsia="Arial" w:hAnsi="Arial"/>
          <w:color w:val="0F172A"/>
          <w:sz w:val="22"/>
          <w:szCs w:val="22"/>
        </w:rPr>
        <w:t xml:space="preserve">The SQLite CREATE TRIGGER for prevent_financial_leak_trends uses LIKE patterns that attempt regex-style matching (“%€%M%”). While the Python-level firewall (firewall.py) is robust with three-layer defense, the database-level trigger does not provide the same protection. SQLite does not support regex natively, and the LIKE patterns are too broad (would block any text containing “€” followed by “M” anywhere).</w:t>
      </w:r>
    </w:p>
    <w:p>
      <w:pPr>
        <w:spacing w:after="120"/>
      </w:pPr>
      <w:r>
        <w:rPr>
          <w:rFonts w:ascii="Arial" w:cs="Arial" w:eastAsia="Arial" w:hAnsi="Arial"/>
          <w:b/>
          <w:bCs/>
          <w:color w:val="0F172A"/>
          <w:sz w:val="22"/>
          <w:szCs w:val="22"/>
        </w:rPr>
        <w:t xml:space="preserve">Fix: </w:t>
      </w:r>
      <w:r>
        <w:rPr>
          <w:rFonts w:ascii="Arial" w:cs="Arial" w:eastAsia="Arial" w:hAnsi="Arial"/>
          <w:color w:val="0F172A"/>
          <w:sz w:val="22"/>
          <w:szCs w:val="22"/>
        </w:rPr>
        <w:t xml:space="preserve">Replace SQLite trigger with CHECK constraints and enforce validation exclusively through the Python firewall layer. Document that the firewall is application-level, not database-level. Estimated effort: 1 day.</w:t>
      </w:r>
    </w:p>
    <w:p>
      <w:r>
        <w:br w:type="page"/>
      </w:r>
    </w:p>
    <w:p>
      <w:pPr>
        <w:pStyle w:val="Heading1"/>
        <w:spacing w:after="160" w:before="360"/>
      </w:pPr>
      <w:r>
        <w:rPr>
          <w:rFonts w:ascii="Arial" w:cs="Arial" w:eastAsia="Arial" w:hAnsi="Arial"/>
          <w:b/>
          <w:bCs/>
        </w:rPr>
        <w:t xml:space="preserve">4. UI/UX DESIGN AUDIT — APPLE SVP OF DESIGN PERSPECTIVE</w:t>
      </w:r>
    </w:p>
    <w:p>
      <w:pPr>
        <w:pStyle w:val="Heading2"/>
        <w:spacing w:after="160" w:before="240"/>
      </w:pPr>
      <w:r>
        <w:rPr>
          <w:rFonts w:ascii="Arial" w:cs="Arial" w:eastAsia="Arial" w:hAnsi="Arial"/>
          <w:b/>
          <w:bCs/>
        </w:rPr>
        <w:t xml:space="preserve">4.1 Critical Finding: Two Competing Dashboard Implementations</w:t>
      </w:r>
    </w:p>
    <w:p>
      <w:pPr>
        <w:spacing w:after="120"/>
      </w:pPr>
      <w:r>
        <w:rPr>
          <w:rFonts w:ascii="Arial" w:cs="Arial" w:eastAsia="Arial" w:hAnsi="Arial"/>
          <w:color w:val="0F172A"/>
          <w:sz w:val="22"/>
          <w:szCs w:val="22"/>
        </w:rPr>
        <w:t xml:space="preserve">The codebase contains TWO separate dashboard builds:</w:t>
      </w:r>
    </w:p>
    <w:p>
      <w:pPr>
        <w:spacing w:after="120"/>
      </w:pPr>
      <w:r>
        <w:rPr>
          <w:rFonts w:ascii="Arial" w:cs="Arial" w:eastAsia="Arial" w:hAnsi="Arial"/>
          <w:b/>
          <w:bCs/>
          <w:color w:val="0F172A"/>
          <w:sz w:val="22"/>
          <w:szCs w:val="22"/>
        </w:rPr>
        <w:t xml:space="preserve">pulse/dashboard/ (v1) — </w:t>
      </w:r>
      <w:r>
        <w:rPr>
          <w:rFonts w:ascii="Arial" w:cs="Arial" w:eastAsia="Arial" w:hAnsi="Arial"/>
          <w:color w:val="0F172A"/>
          <w:sz w:val="22"/>
          <w:szCs w:val="22"/>
        </w:rPr>
        <w:t xml:space="preserve">TypeScript, 41 files, 26 components, Radix UI accessibility, full spec coverage. This is the canonical production implementation.</w:t>
      </w:r>
    </w:p>
    <w:p>
      <w:pPr>
        <w:spacing w:after="120"/>
      </w:pPr>
      <w:r>
        <w:rPr>
          <w:rFonts w:ascii="Arial" w:cs="Arial" w:eastAsia="Arial" w:hAnsi="Arial"/>
          <w:b/>
          <w:bCs/>
          <w:color w:val="0F172A"/>
          <w:sz w:val="22"/>
          <w:szCs w:val="22"/>
        </w:rPr>
        <w:t xml:space="preserve">pulse/dashboard_v3_apple_bain/ (v3) — </w:t>
      </w:r>
      <w:r>
        <w:rPr>
          <w:rFonts w:ascii="Arial" w:cs="Arial" w:eastAsia="Arial" w:hAnsi="Arial"/>
          <w:color w:val="0F172A"/>
          <w:sz w:val="22"/>
          <w:szCs w:val="22"/>
        </w:rPr>
        <w:t xml:space="preserve">JavaScript, single-file monolith (75KB JSX), no TypeScript, no accessibility, missing components. This is a proof-of-concept.</w:t>
      </w:r>
    </w:p>
    <w:p>
      <w:pPr>
        <w:spacing w:after="120"/>
      </w:pPr>
      <w:r>
        <w:rPr>
          <w:rFonts w:ascii="Arial" w:cs="Arial" w:eastAsia="Arial" w:hAnsi="Arial"/>
          <w:color w:val="0F172A"/>
          <w:sz w:val="22"/>
          <w:szCs w:val="22"/>
        </w:rPr>
        <w:t xml:space="preserve">Having two dashboard implementations in the same repo is unacceptable for a CEO pitch. It signals indecision, creates maintenance burden, and will inevitably cause confusion about which one is “the product.”</w:t>
      </w:r>
    </w:p>
    <w:p>
      <w:pPr>
        <w:spacing w:after="120"/>
      </w:pPr>
      <w:r>
        <w:rPr>
          <w:rFonts w:ascii="Arial" w:cs="Arial" w:eastAsia="Arial" w:hAnsi="Arial"/>
          <w:b/>
          <w:bCs/>
          <w:color w:val="0F172A"/>
          <w:sz w:val="22"/>
          <w:szCs w:val="22"/>
        </w:rPr>
        <w:t xml:space="preserve">Decision Required: </w:t>
      </w:r>
      <w:r>
        <w:rPr>
          <w:rFonts w:ascii="Arial" w:cs="Arial" w:eastAsia="Arial" w:hAnsi="Arial"/>
          <w:color w:val="0F172A"/>
          <w:sz w:val="22"/>
          <w:szCs w:val="22"/>
        </w:rPr>
        <w:t xml:space="preserve">Retire v3 before the pitch. Archive it as /archive/dashboard_v3_poc/ if desired. The canonical dashboard is v1.</w:t>
      </w:r>
    </w:p>
    <w:p>
      <w:pPr>
        <w:pStyle w:val="Heading2"/>
        <w:spacing w:after="160" w:before="240"/>
      </w:pPr>
      <w:r>
        <w:rPr>
          <w:rFonts w:ascii="Arial" w:cs="Arial" w:eastAsia="Arial" w:hAnsi="Arial"/>
          <w:b/>
          <w:bCs/>
        </w:rPr>
        <w:t xml:space="preserve">4.2 What the Dashboard Gets Right (Apple-Grade)</w:t>
      </w:r>
    </w:p>
    <w:p>
      <w:pPr>
        <w:spacing w:after="120"/>
      </w:pPr>
      <w:r>
        <w:rPr>
          <w:rFonts w:ascii="Arial" w:cs="Arial" w:eastAsia="Arial" w:hAnsi="Arial"/>
          <w:b/>
          <w:bCs/>
          <w:color w:val="0F172A"/>
          <w:sz w:val="22"/>
          <w:szCs w:val="22"/>
        </w:rPr>
        <w:t xml:space="preserve">Hierarchy Through Space: </w:t>
      </w:r>
      <w:r>
        <w:rPr>
          <w:rFonts w:ascii="Arial" w:cs="Arial" w:eastAsia="Arial" w:hAnsi="Arial"/>
          <w:color w:val="0F172A"/>
          <w:sz w:val="22"/>
          <w:szCs w:val="22"/>
        </w:rPr>
        <w:t xml:space="preserve">Generous whitespace, no heavy dividers. Clear visual separation via negative space. SF Pro-inspired Inter typography with proper 11px–32px scale. This is Apple’s core principle executed correctly.</w:t>
      </w:r>
    </w:p>
    <w:p>
      <w:pPr>
        <w:spacing w:after="120"/>
      </w:pPr>
      <w:r>
        <w:rPr>
          <w:rFonts w:ascii="Arial" w:cs="Arial" w:eastAsia="Arial" w:hAnsi="Arial"/>
          <w:b/>
          <w:bCs/>
          <w:color w:val="0F172A"/>
          <w:sz w:val="22"/>
          <w:szCs w:val="22"/>
        </w:rPr>
        <w:t xml:space="preserve">Progressive Disclosure: </w:t>
      </w:r>
      <w:r>
        <w:rPr>
          <w:rFonts w:ascii="Arial" w:cs="Arial" w:eastAsia="Arial" w:hAnsi="Arial"/>
          <w:color w:val="0F172A"/>
          <w:sz w:val="22"/>
          <w:szCs w:val="22"/>
        </w:rPr>
        <w:t xml:space="preserve">Headline KPI tells the story at a glance. Click to drill into contextual panels. Bottom AI bar surfaces alerts without disruption. Settings hidden behind gear icon. No information overload.</w:t>
      </w:r>
    </w:p>
    <w:p>
      <w:pPr>
        <w:spacing w:after="120"/>
      </w:pPr>
      <w:r>
        <w:rPr>
          <w:rFonts w:ascii="Arial" w:cs="Arial" w:eastAsia="Arial" w:hAnsi="Arial"/>
          <w:b/>
          <w:bCs/>
          <w:color w:val="0F172A"/>
          <w:sz w:val="22"/>
          <w:szCs w:val="22"/>
        </w:rPr>
        <w:t xml:space="preserve">Motion with Purpose: </w:t>
      </w:r>
      <w:r>
        <w:rPr>
          <w:rFonts w:ascii="Arial" w:cs="Arial" w:eastAsia="Arial" w:hAnsi="Arial"/>
          <w:color w:val="0F172A"/>
          <w:sz w:val="22"/>
          <w:szCs w:val="22"/>
        </w:rPr>
        <w:t xml:space="preserve">Framer Motion animations are purposeful (0.3–0.4s, easeOut). Staggered KPI card entrances create visual rhythm. Panel slide-ins use proper spring physics. No gratuitous animation.</w:t>
      </w:r>
    </w:p>
    <w:p>
      <w:pPr>
        <w:spacing w:after="120"/>
      </w:pPr>
      <w:r>
        <w:rPr>
          <w:rFonts w:ascii="Arial" w:cs="Arial" w:eastAsia="Arial" w:hAnsi="Arial"/>
          <w:b/>
          <w:bCs/>
          <w:color w:val="0F172A"/>
          <w:sz w:val="22"/>
          <w:szCs w:val="22"/>
        </w:rPr>
        <w:t xml:space="preserve">Semantic Color System: </w:t>
      </w:r>
      <w:r>
        <w:rPr>
          <w:rFonts w:ascii="Arial" w:cs="Arial" w:eastAsia="Arial" w:hAnsi="Arial"/>
          <w:color w:val="0F172A"/>
          <w:sz w:val="22"/>
          <w:szCs w:val="22"/>
        </w:rPr>
        <w:t xml:space="preserve">Green for expansion, red for contraction, amber for warnings, purple for causal relationships. Consistent across every chart and component. This builds instant pattern recognition.</w:t>
      </w:r>
    </w:p>
    <w:p>
      <w:pPr>
        <w:spacing w:after="120"/>
      </w:pPr>
      <w:r>
        <w:rPr>
          <w:rFonts w:ascii="Arial" w:cs="Arial" w:eastAsia="Arial" w:hAnsi="Arial"/>
          <w:b/>
          <w:bCs/>
          <w:color w:val="0F172A"/>
          <w:sz w:val="22"/>
          <w:szCs w:val="22"/>
        </w:rPr>
        <w:t xml:space="preserve">Glassmorphism Done Right: </w:t>
      </w:r>
      <w:r>
        <w:rPr>
          <w:rFonts w:ascii="Arial" w:cs="Arial" w:eastAsia="Arial" w:hAnsi="Arial"/>
          <w:color w:val="0F172A"/>
          <w:sz w:val="22"/>
          <w:szCs w:val="22"/>
        </w:rPr>
        <w:t xml:space="preserve">Subtle backdrop blur (20px) at 4–12% opacity with -webkit- prefixes for Safari. Not overdone. Enhances depth hierarchy without being distracting.</w:t>
      </w:r>
    </w:p>
    <w:p>
      <w:pPr>
        <w:spacing w:after="120"/>
      </w:pPr>
      <w:r>
        <w:rPr>
          <w:rFonts w:ascii="Arial" w:cs="Arial" w:eastAsia="Arial" w:hAnsi="Arial"/>
          <w:b/>
          <w:bCs/>
          <w:color w:val="0F172A"/>
          <w:sz w:val="22"/>
          <w:szCs w:val="22"/>
        </w:rPr>
        <w:t xml:space="preserve">Component Architecture: </w:t>
      </w:r>
      <w:r>
        <w:rPr>
          <w:rFonts w:ascii="Arial" w:cs="Arial" w:eastAsia="Arial" w:hAnsi="Arial"/>
          <w:color w:val="0F172A"/>
          <w:sz w:val="22"/>
          <w:szCs w:val="22"/>
        </w:rPr>
        <w:t xml:space="preserve">26 modular TypeScript components with single responsibility. ErrorBoundary, LoadingSkeleton, OnboardingTooltips. Production-grade structure.</w:t>
      </w:r>
    </w:p>
    <w:p>
      <w:pPr>
        <w:spacing w:after="120"/>
      </w:pPr>
      <w:r>
        <w:rPr>
          <w:rFonts w:ascii="Arial" w:cs="Arial" w:eastAsia="Arial" w:hAnsi="Arial"/>
          <w:b/>
          <w:bCs/>
          <w:color w:val="0F172A"/>
          <w:sz w:val="22"/>
          <w:szCs w:val="22"/>
        </w:rPr>
        <w:t xml:space="preserve">Accessibility: </w:t>
      </w:r>
      <w:r>
        <w:rPr>
          <w:rFonts w:ascii="Arial" w:cs="Arial" w:eastAsia="Arial" w:hAnsi="Arial"/>
          <w:color w:val="0F172A"/>
          <w:sz w:val="22"/>
          <w:szCs w:val="22"/>
        </w:rPr>
        <w:t xml:space="preserve">Radix UI provides WCAG AAA by default: focus management, keyboard navigation, screen reader support, ARIA attributes. Enterprise-grade accessible.</w:t>
      </w:r>
    </w:p>
    <w:p>
      <w:pPr>
        <w:pStyle w:val="Heading2"/>
        <w:spacing w:after="160" w:before="240"/>
      </w:pPr>
      <w:r>
        <w:rPr>
          <w:rFonts w:ascii="Arial" w:cs="Arial" w:eastAsia="Arial" w:hAnsi="Arial"/>
          <w:b/>
          <w:bCs/>
        </w:rPr>
        <w:t xml:space="preserve">4.3 Design Gaps That Need Closing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4200"/>
        <w:gridCol w:w="2200"/>
      </w:tblGrid>
      <w:tr>
        <w:tc>
          <w:tcPr>
            <w:tcW w:type="dxa" w:w="24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Gap</w:t>
            </w:r>
          </w:p>
        </w:tc>
        <w:tc>
          <w:tcPr>
            <w:tcW w:type="dxa" w:w="10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Priority</w:t>
            </w:r>
          </w:p>
        </w:tc>
        <w:tc>
          <w:tcPr>
            <w:tcW w:type="dxa" w:w="42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Analysis</w:t>
            </w:r>
          </w:p>
        </w:tc>
        <w:tc>
          <w:tcPr>
            <w:tcW w:type="dxa" w:w="22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Fix Estimate</w:t>
            </w:r>
          </w:p>
        </w:tc>
      </w:tr>
      <w:tr>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Monte Carlo Violin Plots</w:t>
            </w:r>
          </w:p>
        </w:tc>
        <w:tc>
          <w:tcPr>
            <w:tcW w:type="dxa" w:w="1000"/>
            <w:tcBorders>
              <w:top w:val="single" w:color="CBD5E1" w:sz="1"/>
              <w:left w:val="single" w:color="CBD5E1" w:sz="1"/>
              <w:bottom w:val="single" w:color="CBD5E1" w:sz="1"/>
              <w:right w:val="single" w:color="CBD5E1" w:sz="1"/>
            </w:tcBorders>
            <w:shd w:fill="FFEDD5" w:val="clear"/>
            <w:tcMar>
              <w:top w:type="dxa" w:w="60"/>
              <w:left w:type="dxa" w:w="100"/>
              <w:bottom w:type="dxa" w:w="60"/>
              <w:right w:type="dxa" w:w="100"/>
            </w:tcMar>
          </w:tcPr>
          <w:p>
            <w:pPr>
              <w:jc w:val="center"/>
            </w:pPr>
            <w:r>
              <w:rPr>
                <w:rFonts w:ascii="Arial" w:cs="Arial" w:eastAsia="Arial" w:hAnsi="Arial"/>
                <w:b/>
                <w:bCs/>
                <w:color w:val="EA580C"/>
                <w:sz w:val="20"/>
                <w:szCs w:val="20"/>
              </w:rPr>
              <w:t xml:space="preserve">HIGH</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Spec calls for violin plots showing posterior distributions. Not implemented. Replaceable with box plots from Recharts, but violins are the gold standard for Bayesian output. A QuantumBlack reviewer will notice this absence.</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Implement violin plot component using D3 custom rendering. 3–4 days.</w:t>
            </w:r>
          </w:p>
        </w:tc>
      </w:tr>
      <w:tr>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Sensitivity Tornado Chart</w:t>
            </w:r>
          </w:p>
        </w:tc>
        <w:tc>
          <w:tcPr>
            <w:tcW w:type="dxa" w:w="1000"/>
            <w:tcBorders>
              <w:top w:val="single" w:color="CBD5E1" w:sz="1"/>
              <w:left w:val="single" w:color="CBD5E1" w:sz="1"/>
              <w:bottom w:val="single" w:color="CBD5E1" w:sz="1"/>
              <w:right w:val="single" w:color="CBD5E1" w:sz="1"/>
            </w:tcBorders>
            <w:shd w:fill="FFEDD5" w:val="clear"/>
            <w:tcMar>
              <w:top w:type="dxa" w:w="60"/>
              <w:left w:type="dxa" w:w="100"/>
              <w:bottom w:type="dxa" w:w="60"/>
              <w:right w:type="dxa" w:w="100"/>
            </w:tcMar>
          </w:tcPr>
          <w:p>
            <w:pPr>
              <w:jc w:val="center"/>
            </w:pPr>
            <w:r>
              <w:rPr>
                <w:rFonts w:ascii="Arial" w:cs="Arial" w:eastAsia="Arial" w:hAnsi="Arial"/>
                <w:b/>
                <w:bCs/>
                <w:color w:val="EA580C"/>
                <w:sz w:val="20"/>
                <w:szCs w:val="20"/>
              </w:rPr>
              <w:t xml:space="preserve">HIGH</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Referenced extensively in spec. Analytics submodule has a placeholder but no polished visualization. This is the single most important chart for executive decision-making (“which lever matters most?”).</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Build TornadoChart.tsx using horizontal bar chart with diverging axis. 2–3 days.</w:t>
            </w:r>
          </w:p>
        </w:tc>
      </w:tr>
      <w:tr>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Competitive Response Overlay</w:t>
            </w:r>
          </w:p>
        </w:tc>
        <w:tc>
          <w:tcPr>
            <w:tcW w:type="dxa" w:w="10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pPr>
              <w:jc w:val="center"/>
            </w:pPr>
            <w:r>
              <w:rPr>
                <w:rFonts w:ascii="Arial" w:cs="Arial" w:eastAsia="Arial" w:hAnsi="Arial"/>
                <w:b/>
                <w:bCs/>
                <w:color w:val="D97706"/>
                <w:sz w:val="20"/>
                <w:szCs w:val="20"/>
              </w:rPr>
              <w:t xml:space="preserve">MEDIUM</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CompetitivePanel.tsx exists but is minimal. The game theory layer produces data that isn’t visualized compellingly. For CEO pitch, showing “how P&amp;G/Unilever will respond” is high-impact.</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Enhance CompetitivePanel with response waterfall showing 2nd-order pool effects. 2 days.</w:t>
            </w:r>
          </w:p>
        </w:tc>
      </w:tr>
      <w:tr>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Dark Mode</w:t>
            </w:r>
          </w:p>
        </w:tc>
        <w:tc>
          <w:tcPr>
            <w:tcW w:type="dxa" w:w="1000"/>
            <w:tcBorders>
              <w:top w:val="single" w:color="CBD5E1" w:sz="1"/>
              <w:left w:val="single" w:color="CBD5E1" w:sz="1"/>
              <w:bottom w:val="single" w:color="CBD5E1" w:sz="1"/>
              <w:right w:val="single" w:color="CBD5E1" w:sz="1"/>
            </w:tcBorders>
            <w:shd w:fill="D1FAE5" w:val="clear"/>
            <w:tcMar>
              <w:top w:type="dxa" w:w="60"/>
              <w:left w:type="dxa" w:w="100"/>
              <w:bottom w:type="dxa" w:w="60"/>
              <w:right w:type="dxa" w:w="100"/>
            </w:tcMar>
          </w:tcPr>
          <w:p>
            <w:pPr>
              <w:jc w:val="center"/>
            </w:pPr>
            <w:r>
              <w:rPr>
                <w:rFonts w:ascii="Arial" w:cs="Arial" w:eastAsia="Arial" w:hAnsi="Arial"/>
                <w:b/>
                <w:bCs/>
                <w:color w:val="059669"/>
                <w:sz w:val="20"/>
                <w:szCs w:val="20"/>
              </w:rPr>
              <w:t xml:space="preserve">LOW</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v1 is light mode only. v3 has dark mode. For an executive pitch, light mode is fine. Dark mode is “nice to have” for the strategy team’s daily use.</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Add CSS custom properties for theme switching. 3–4 days (post-pitch).</w:t>
            </w:r>
          </w:p>
        </w:tc>
      </w:tr>
      <w:tr>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iPad Testing</w:t>
            </w:r>
          </w:p>
        </w:tc>
        <w:tc>
          <w:tcPr>
            <w:tcW w:type="dxa" w:w="10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pPr>
              <w:jc w:val="center"/>
            </w:pPr>
            <w:r>
              <w:rPr>
                <w:rFonts w:ascii="Arial" w:cs="Arial" w:eastAsia="Arial" w:hAnsi="Arial"/>
                <w:b/>
                <w:bCs/>
                <w:color w:val="D97706"/>
                <w:sz w:val="20"/>
                <w:szCs w:val="20"/>
              </w:rPr>
              <w:t xml:space="preserve">MEDIUM</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Code is responsive with proper TailwindCSS breakpoints and touch-friendly 48px buttons. But has it been tested on an actual iPad in landscape? For ExCo presentations, this matters.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Physical device testing. 1 day.</w:t>
            </w:r>
          </w:p>
        </w:tc>
      </w:tr>
      <w:tr>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Empty States</w:t>
            </w:r>
          </w:p>
        </w:tc>
        <w:tc>
          <w:tcPr>
            <w:tcW w:type="dxa" w:w="1000"/>
            <w:tcBorders>
              <w:top w:val="single" w:color="CBD5E1" w:sz="1"/>
              <w:left w:val="single" w:color="CBD5E1" w:sz="1"/>
              <w:bottom w:val="single" w:color="CBD5E1" w:sz="1"/>
              <w:right w:val="single" w:color="CBD5E1" w:sz="1"/>
            </w:tcBorders>
            <w:shd w:fill="D1FAE5" w:val="clear"/>
            <w:tcMar>
              <w:top w:type="dxa" w:w="60"/>
              <w:left w:type="dxa" w:w="100"/>
              <w:bottom w:type="dxa" w:w="60"/>
              <w:right w:type="dxa" w:w="100"/>
            </w:tcMar>
          </w:tcPr>
          <w:p>
            <w:pPr>
              <w:jc w:val="center"/>
            </w:pPr>
            <w:r>
              <w:rPr>
                <w:rFonts w:ascii="Arial" w:cs="Arial" w:eastAsia="Arial" w:hAnsi="Arial"/>
                <w:b/>
                <w:bCs/>
                <w:color w:val="059669"/>
                <w:sz w:val="20"/>
                <w:szCs w:val="20"/>
              </w:rPr>
              <w:t xml:space="preserve">LOW</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No explicit empty state designs when simulation hasn’t run yet or data is loading. Loading skeletons exist but first-time-use experience is undefined.</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Add EmptyState component with illustration and CTA. 1 day.</w:t>
            </w:r>
          </w:p>
        </w:tc>
      </w:tr>
    </w:tbl>
    <w:p>
      <w:r>
        <w:br w:type="page"/>
      </w:r>
    </w:p>
    <w:p>
      <w:pPr>
        <w:pStyle w:val="Heading1"/>
        <w:spacing w:after="160" w:before="360"/>
      </w:pPr>
      <w:r>
        <w:rPr>
          <w:rFonts w:ascii="Arial" w:cs="Arial" w:eastAsia="Arial" w:hAnsi="Arial"/>
          <w:b/>
          <w:bCs/>
        </w:rPr>
        <w:t xml:space="preserve">5. SECURITY ARCHITECTURE AUDIT</w:t>
      </w:r>
    </w:p>
    <w:p>
      <w:pPr>
        <w:spacing w:after="120"/>
      </w:pPr>
      <w:r>
        <w:rPr>
          <w:rFonts w:ascii="Arial" w:cs="Arial" w:eastAsia="Arial" w:hAnsi="Arial"/>
          <w:color w:val="0F172A"/>
          <w:sz w:val="22"/>
          <w:szCs w:val="22"/>
        </w:rPr>
        <w:t xml:space="preserve">The “Relative Impact Only” architecture is PULSE’s most defensible innovation. No other profit pool tool in the FMCG strategy space has a structural guarantee that proprietary financials never enter the simulation layer. This is a genuine competitive advantage and should be the lead message in the CEO pitch.</w:t>
      </w:r>
    </w:p>
    <w:p>
      <w:pPr>
        <w:pStyle w:val="Heading2"/>
        <w:spacing w:after="160" w:before="240"/>
      </w:pPr>
      <w:r>
        <w:rPr>
          <w:rFonts w:ascii="Arial" w:cs="Arial" w:eastAsia="Arial" w:hAnsi="Arial"/>
          <w:b/>
          <w:bCs/>
        </w:rPr>
        <w:t xml:space="preserve">5.1 Firewall Effectiveness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300"/>
      </w:tblGrid>
      <w:tr>
        <w:tc>
          <w:tcPr>
            <w:tcW w:type="dxa" w:w="30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Layer</w:t>
            </w:r>
          </w:p>
        </w:tc>
        <w:tc>
          <w:tcPr>
            <w:tcW w:type="dxa" w:w="15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Assessment</w:t>
            </w:r>
          </w:p>
        </w:tc>
        <w:tc>
          <w:tcPr>
            <w:tcW w:type="dxa" w:w="53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w:t>
            </w:r>
          </w:p>
        </w:tc>
      </w:tr>
      <w:tr>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Python Firewall (firewall.py)</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59669"/>
                <w:sz w:val="20"/>
                <w:szCs w:val="20"/>
              </w:rPr>
              <w:t xml:space="preserve">ROBUST</w:t>
            </w:r>
          </w:p>
        </w:tc>
        <w:tc>
          <w:tcPr>
            <w:tcW w:type="dxa" w:w="53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Three-layer defense: column headers, numeric value scanning, text pattern regex. Catches currency symbols, EUR/USD patterns, M/K suffixes near digits. Minor gap: variations like “€2 Mio” or “EUR 1000K” could theoretically pass. Acceptable risk.</w:t>
            </w:r>
          </w:p>
        </w:tc>
      </w:tr>
      <w:tr>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Shift Matrix Validation</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59669"/>
                <w:sz w:val="20"/>
                <w:szCs w:val="20"/>
              </w:rPr>
              <w:t xml:space="preserve">ROBUST</w:t>
            </w:r>
          </w:p>
        </w:tc>
        <w:tc>
          <w:tcPr>
            <w:tcW w:type="dxa" w:w="53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Validates all output values in [-1.0, +1.0] range. Prevents any financial magnitude from leaking into outputs.</w:t>
            </w:r>
          </w:p>
        </w:tc>
      </w:tr>
      <w:tr>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Database-Level Trigger</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DC2626"/>
                <w:sz w:val="20"/>
                <w:szCs w:val="20"/>
              </w:rPr>
              <w:t xml:space="preserve">NON-FUNCTIONAL</w:t>
            </w:r>
          </w:p>
        </w:tc>
        <w:tc>
          <w:tcPr>
            <w:tcW w:type="dxa" w:w="53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SQLite trigger uses LIKE patterns that don’t work as intended. SQLite lacks native regex. The trigger will not fire on realistic financial data patterns.</w:t>
            </w:r>
          </w:p>
        </w:tc>
      </w:tr>
      <w:tr>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API Response Filtering</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D97706"/>
                <w:sz w:val="20"/>
                <w:szCs w:val="20"/>
              </w:rPr>
              <w:t xml:space="preserve">ADEQUATE</w:t>
            </w:r>
          </w:p>
        </w:tc>
        <w:tc>
          <w:tcPr>
            <w:tcW w:type="dxa" w:w="53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API endpoints return only trend scores, shift percentages, and relative weights. No financial data pathways exist in the API schema.</w:t>
            </w:r>
          </w:p>
        </w:tc>
      </w:tr>
      <w:tr>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AI Prompt Safety</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D97706"/>
                <w:sz w:val="20"/>
                <w:szCs w:val="20"/>
              </w:rPr>
              <w:t xml:space="preserve">ADEQUATE</w:t>
            </w:r>
          </w:p>
        </w:tc>
        <w:tc>
          <w:tcPr>
            <w:tcW w:type="dxa" w:w="53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Each LLM provider implementation includes _check_prompt_safety() that scans for financial patterns before sending to external API. Currently logs warning but does not block.</w:t>
            </w:r>
          </w:p>
        </w:tc>
      </w:tr>
    </w:tbl>
    <w:p>
      <w:pPr>
        <w:spacing w:after="60"/>
      </w:pPr>
    </w:p>
    <w:p>
      <w:pPr>
        <w:spacing w:after="120"/>
      </w:pPr>
      <w:r>
        <w:rPr>
          <w:rFonts w:ascii="Arial" w:cs="Arial" w:eastAsia="Arial" w:hAnsi="Arial"/>
          <w:b/>
          <w:bCs/>
          <w:color w:val="0F172A"/>
          <w:sz w:val="22"/>
          <w:szCs w:val="22"/>
        </w:rPr>
        <w:t xml:space="preserve">Overall Security Verdict: </w:t>
      </w:r>
      <w:r>
        <w:rPr>
          <w:rFonts w:ascii="Arial" w:cs="Arial" w:eastAsia="Arial" w:hAnsi="Arial"/>
          <w:color w:val="0F172A"/>
          <w:sz w:val="22"/>
          <w:szCs w:val="22"/>
        </w:rPr>
        <w:t xml:space="preserve">The architecture is sound. The financial data firewall works at the application level. The database-level gap is acceptable if documented. The AI prompt safety should be upgraded from “log” to “block” before production. For the CEO pitch, the security story is strong and should be told with confidence.</w:t>
      </w:r>
    </w:p>
    <w:p>
      <w:r>
        <w:br w:type="page"/>
      </w:r>
    </w:p>
    <w:p>
      <w:pPr>
        <w:pStyle w:val="Heading1"/>
        <w:spacing w:after="160" w:before="360"/>
      </w:pPr>
      <w:r>
        <w:rPr>
          <w:rFonts w:ascii="Arial" w:cs="Arial" w:eastAsia="Arial" w:hAnsi="Arial"/>
          <w:b/>
          <w:bCs/>
        </w:rPr>
        <w:t xml:space="preserve">6. STRATEGIC POSITIONING FOR CEO PITCH</w:t>
      </w:r>
    </w:p>
    <w:p>
      <w:pPr>
        <w:pStyle w:val="Heading2"/>
        <w:spacing w:after="160" w:before="240"/>
      </w:pPr>
      <w:r>
        <w:rPr>
          <w:rFonts w:ascii="Arial" w:cs="Arial" w:eastAsia="Arial" w:hAnsi="Arial"/>
          <w:b/>
          <w:bCs/>
        </w:rPr>
        <w:t xml:space="preserve">6.1 What to Demo (Strength Zones)</w:t>
      </w:r>
    </w:p>
    <w:p>
      <w:pPr>
        <w:spacing w:after="120"/>
      </w:pPr>
      <w:r>
        <w:rPr>
          <w:rFonts w:ascii="Arial" w:cs="Arial" w:eastAsia="Arial" w:hAnsi="Arial"/>
          <w:b/>
          <w:bCs/>
          <w:color w:val="0F172A"/>
          <w:sz w:val="22"/>
          <w:szCs w:val="22"/>
        </w:rPr>
        <w:t xml:space="preserve">1. </w:t>
      </w:r>
      <w:r>
        <w:rPr>
          <w:rFonts w:ascii="Arial" w:cs="Arial" w:eastAsia="Arial" w:hAnsi="Arial"/>
          <w:color w:val="0F172A"/>
          <w:sz w:val="22"/>
          <w:szCs w:val="22"/>
        </w:rPr>
        <w:t xml:space="preserve">War Room Dashboard: Headline KPI → Heatmap click → Category detail panel. This flow is polished and impressive.</w:t>
      </w:r>
    </w:p>
    <w:p>
      <w:pPr>
        <w:spacing w:after="120"/>
      </w:pPr>
      <w:r>
        <w:rPr>
          <w:rFonts w:ascii="Arial" w:cs="Arial" w:eastAsia="Arial" w:hAnsi="Arial"/>
          <w:b/>
          <w:bCs/>
          <w:color w:val="0F172A"/>
          <w:sz w:val="22"/>
          <w:szCs w:val="22"/>
        </w:rPr>
        <w:t xml:space="preserve">2. </w:t>
      </w:r>
      <w:r>
        <w:rPr>
          <w:rFonts w:ascii="Arial" w:cs="Arial" w:eastAsia="Arial" w:hAnsi="Arial"/>
          <w:color w:val="0F172A"/>
          <w:sz w:val="22"/>
          <w:szCs w:val="22"/>
        </w:rPr>
        <w:t xml:space="preserve">Deterministic → Bayesian Upgrade: Show V12 parity first (trust anchor), then toggle to probabilistic view with confidence bands.</w:t>
      </w:r>
    </w:p>
    <w:p>
      <w:pPr>
        <w:spacing w:after="120"/>
      </w:pPr>
      <w:r>
        <w:rPr>
          <w:rFonts w:ascii="Arial" w:cs="Arial" w:eastAsia="Arial" w:hAnsi="Arial"/>
          <w:b/>
          <w:bCs/>
          <w:color w:val="0F172A"/>
          <w:sz w:val="22"/>
          <w:szCs w:val="22"/>
        </w:rPr>
        <w:t xml:space="preserve">3. </w:t>
      </w:r>
      <w:r>
        <w:rPr>
          <w:rFonts w:ascii="Arial" w:cs="Arial" w:eastAsia="Arial" w:hAnsi="Arial"/>
          <w:color w:val="0F172A"/>
          <w:sz w:val="22"/>
          <w:szCs w:val="22"/>
        </w:rPr>
        <w:t xml:space="preserve">Causal Scenario Propagation: Shock Government force, watch it ripple through Technology and Customer via animated DAG. This is the “wow” moment.</w:t>
      </w:r>
    </w:p>
    <w:p>
      <w:pPr>
        <w:spacing w:after="120"/>
      </w:pPr>
      <w:r>
        <w:rPr>
          <w:rFonts w:ascii="Arial" w:cs="Arial" w:eastAsia="Arial" w:hAnsi="Arial"/>
          <w:b/>
          <w:bCs/>
          <w:color w:val="0F172A"/>
          <w:sz w:val="22"/>
          <w:szCs w:val="22"/>
        </w:rPr>
        <w:t xml:space="preserve">4. </w:t>
      </w:r>
      <w:r>
        <w:rPr>
          <w:rFonts w:ascii="Arial" w:cs="Arial" w:eastAsia="Arial" w:hAnsi="Arial"/>
          <w:color w:val="0F172A"/>
          <w:sz w:val="22"/>
          <w:szCs w:val="22"/>
        </w:rPr>
        <w:t xml:space="preserve">Resource Allocation Optimizer: Show the efficient frontier and how risk aversion changes category weights. CEO-level decision support.</w:t>
      </w:r>
    </w:p>
    <w:p>
      <w:pPr>
        <w:spacing w:after="120"/>
      </w:pPr>
      <w:r>
        <w:rPr>
          <w:rFonts w:ascii="Arial" w:cs="Arial" w:eastAsia="Arial" w:hAnsi="Arial"/>
          <w:b/>
          <w:bCs/>
          <w:color w:val="0F172A"/>
          <w:sz w:val="22"/>
          <w:szCs w:val="22"/>
        </w:rPr>
        <w:t xml:space="preserve">5. </w:t>
      </w:r>
      <w:r>
        <w:rPr>
          <w:rFonts w:ascii="Arial" w:cs="Arial" w:eastAsia="Arial" w:hAnsi="Arial"/>
          <w:color w:val="0F172A"/>
          <w:sz w:val="22"/>
          <w:szCs w:val="22"/>
        </w:rPr>
        <w:t xml:space="preserve">Security Architecture: “No financial data ever enters the engine. The Shift Matrix contains only percentages.” Lead with this for InfoSec confidence.</w:t>
      </w:r>
    </w:p>
    <w:p>
      <w:pPr>
        <w:spacing w:after="120"/>
      </w:pPr>
      <w:r>
        <w:rPr>
          <w:rFonts w:ascii="Arial" w:cs="Arial" w:eastAsia="Arial" w:hAnsi="Arial"/>
          <w:b/>
          <w:bCs/>
          <w:color w:val="0F172A"/>
          <w:sz w:val="22"/>
          <w:szCs w:val="22"/>
        </w:rPr>
        <w:t xml:space="preserve">6. </w:t>
      </w:r>
      <w:r>
        <w:rPr>
          <w:rFonts w:ascii="Arial" w:cs="Arial" w:eastAsia="Arial" w:hAnsi="Arial"/>
          <w:color w:val="0F172A"/>
          <w:sz w:val="22"/>
          <w:szCs w:val="22"/>
        </w:rPr>
        <w:t xml:space="preserve">Shift Matrix → Excel Application: Show how the user applies % shifts to their own financials. This is the “meet them where they are” story.</w:t>
      </w:r>
    </w:p>
    <w:p>
      <w:pPr>
        <w:pStyle w:val="Heading2"/>
        <w:spacing w:after="160" w:before="240"/>
      </w:pPr>
      <w:r>
        <w:rPr>
          <w:rFonts w:ascii="Arial" w:cs="Arial" w:eastAsia="Arial" w:hAnsi="Arial"/>
          <w:b/>
          <w:bCs/>
        </w:rPr>
        <w:t xml:space="preserve">6.2 What NOT to Demo (Risk Zones)</w:t>
      </w:r>
    </w:p>
    <w:p>
      <w:pPr>
        <w:spacing w:after="120"/>
      </w:pPr>
      <w:r>
        <w:rPr>
          <w:rFonts w:ascii="Arial" w:cs="Arial" w:eastAsia="Arial" w:hAnsi="Arial"/>
          <w:b/>
          <w:bCs/>
          <w:color w:val="0F172A"/>
          <w:sz w:val="22"/>
          <w:szCs w:val="22"/>
        </w:rPr>
        <w:t xml:space="preserve">1. </w:t>
      </w:r>
      <w:r>
        <w:rPr>
          <w:rFonts w:ascii="Arial" w:cs="Arial" w:eastAsia="Arial" w:hAnsi="Arial"/>
          <w:color w:val="0F172A"/>
          <w:sz w:val="22"/>
          <w:szCs w:val="22"/>
        </w:rPr>
        <w:t xml:space="preserve">AI Trend Scanner: Scaffolding only. Demoing this will expose incomplete integration and invite hard questions you can’t answer.</w:t>
      </w:r>
    </w:p>
    <w:p>
      <w:pPr>
        <w:spacing w:after="120"/>
      </w:pPr>
      <w:r>
        <w:rPr>
          <w:rFonts w:ascii="Arial" w:cs="Arial" w:eastAsia="Arial" w:hAnsi="Arial"/>
          <w:b/>
          <w:bCs/>
          <w:color w:val="0F172A"/>
          <w:sz w:val="22"/>
          <w:szCs w:val="22"/>
        </w:rPr>
        <w:t xml:space="preserve">2. </w:t>
      </w:r>
      <w:r>
        <w:rPr>
          <w:rFonts w:ascii="Arial" w:cs="Arial" w:eastAsia="Arial" w:hAnsi="Arial"/>
          <w:color w:val="0F172A"/>
          <w:sz w:val="22"/>
          <w:szCs w:val="22"/>
        </w:rPr>
        <w:t xml:space="preserve">Power BI Integration: Azure auth flow untested. A failed live demo to the CEO would be catastrophic.</w:t>
      </w:r>
    </w:p>
    <w:p>
      <w:pPr>
        <w:spacing w:after="120"/>
      </w:pPr>
      <w:r>
        <w:rPr>
          <w:rFonts w:ascii="Arial" w:cs="Arial" w:eastAsia="Arial" w:hAnsi="Arial"/>
          <w:b/>
          <w:bCs/>
          <w:color w:val="0F172A"/>
          <w:sz w:val="22"/>
          <w:szCs w:val="22"/>
        </w:rPr>
        <w:t xml:space="preserve">3. </w:t>
      </w:r>
      <w:r>
        <w:rPr>
          <w:rFonts w:ascii="Arial" w:cs="Arial" w:eastAsia="Arial" w:hAnsi="Arial"/>
          <w:color w:val="0F172A"/>
          <w:sz w:val="22"/>
          <w:szCs w:val="22"/>
        </w:rPr>
        <w:t xml:space="preserve">Delphi Elicitation: Database persistence incomplete. Show the concept in slides, not a live demo.</w:t>
      </w:r>
    </w:p>
    <w:p>
      <w:pPr>
        <w:spacing w:after="120"/>
      </w:pPr>
      <w:r>
        <w:rPr>
          <w:rFonts w:ascii="Arial" w:cs="Arial" w:eastAsia="Arial" w:hAnsi="Arial"/>
          <w:b/>
          <w:bCs/>
          <w:color w:val="0F172A"/>
          <w:sz w:val="22"/>
          <w:szCs w:val="22"/>
        </w:rPr>
        <w:t xml:space="preserve">4. </w:t>
      </w:r>
      <w:r>
        <w:rPr>
          <w:rFonts w:ascii="Arial" w:cs="Arial" w:eastAsia="Arial" w:hAnsi="Arial"/>
          <w:color w:val="0F172A"/>
          <w:sz w:val="22"/>
          <w:szCs w:val="22"/>
        </w:rPr>
        <w:t xml:space="preserve">Game Theory Competitive Response: Response logic is scaffolding. The competitor profiles exist but the pool effects are not reliably computed.</w:t>
      </w:r>
    </w:p>
    <w:p>
      <w:pPr>
        <w:spacing w:after="120"/>
      </w:pPr>
      <w:r>
        <w:rPr>
          <w:rFonts w:ascii="Arial" w:cs="Arial" w:eastAsia="Arial" w:hAnsi="Arial"/>
          <w:b/>
          <w:bCs/>
          <w:color w:val="0F172A"/>
          <w:sz w:val="22"/>
          <w:szCs w:val="22"/>
        </w:rPr>
        <w:t xml:space="preserve">5. </w:t>
      </w:r>
      <w:r>
        <w:rPr>
          <w:rFonts w:ascii="Arial" w:cs="Arial" w:eastAsia="Arial" w:hAnsi="Arial"/>
          <w:color w:val="0F172A"/>
          <w:sz w:val="22"/>
          <w:szCs w:val="22"/>
        </w:rPr>
        <w:t xml:space="preserve">Backtesting Accuracy Score: Calibration logic incomplete. Claiming “73% backtested accuracy” without the actual backtesting engine working is a credibility risk.</w:t>
      </w:r>
    </w:p>
    <w:p>
      <w:pPr>
        <w:spacing w:after="120"/>
      </w:pPr>
      <w:r>
        <w:rPr>
          <w:rFonts w:ascii="Arial" w:cs="Arial" w:eastAsia="Arial" w:hAnsi="Arial"/>
          <w:b/>
          <w:bCs/>
          <w:color w:val="0F172A"/>
          <w:sz w:val="22"/>
          <w:szCs w:val="22"/>
        </w:rPr>
        <w:t xml:space="preserve">6. </w:t>
      </w:r>
      <w:r>
        <w:rPr>
          <w:rFonts w:ascii="Arial" w:cs="Arial" w:eastAsia="Arial" w:hAnsi="Arial"/>
          <w:color w:val="0F172A"/>
          <w:sz w:val="22"/>
          <w:szCs w:val="22"/>
        </w:rPr>
        <w:t xml:space="preserve">Phase 3 Modules (CVaR, Sobol, Reverse Stress, Tipping Points): All stubs. Do not mention these as “built.” Position as roadmap.</w:t>
      </w:r>
    </w:p>
    <w:p>
      <w:pPr>
        <w:pStyle w:val="Heading2"/>
        <w:spacing w:after="160" w:before="240"/>
      </w:pPr>
      <w:r>
        <w:rPr>
          <w:rFonts w:ascii="Arial" w:cs="Arial" w:eastAsia="Arial" w:hAnsi="Arial"/>
          <w:b/>
          <w:bCs/>
        </w:rPr>
        <w:t xml:space="preserve">6.3 Narrative Architecture for the Pitch</w:t>
      </w:r>
    </w:p>
    <w:p>
      <w:pPr>
        <w:spacing w:after="120"/>
      </w:pPr>
      <w:r>
        <w:rPr>
          <w:rFonts w:ascii="Arial" w:cs="Arial" w:eastAsia="Arial" w:hAnsi="Arial"/>
          <w:color w:val="0F172A"/>
          <w:sz w:val="22"/>
          <w:szCs w:val="22"/>
        </w:rPr>
        <w:t xml:space="preserve">Situation: Henkel’s current profit pool assessment is a static Excel model (V12) that produces point estimates without uncertainty quantification, treats forces as independent channels, and cannot model competitive responses or causal propagation.</w:t>
      </w:r>
    </w:p>
    <w:p>
      <w:pPr>
        <w:spacing w:after="120"/>
      </w:pPr>
      <w:r>
        <w:rPr>
          <w:rFonts w:ascii="Arial" w:cs="Arial" w:eastAsia="Arial" w:hAnsi="Arial"/>
          <w:color w:val="0F172A"/>
          <w:sz w:val="22"/>
          <w:szCs w:val="22"/>
        </w:rPr>
        <w:t xml:space="preserve">Complication: Markets are becoming more volatile. Regulatory cascades (EU Green Deal, REACH), consumer behavior shifts (clean beauty, premiumization), and competitive dynamics (P&amp;G premiumization, private label expansion) interact in complex, non-linear ways that a static model cannot capture. Strategic decisions are being made on incomplete information.</w:t>
      </w:r>
    </w:p>
    <w:p>
      <w:pPr>
        <w:spacing w:after="120"/>
      </w:pPr>
      <w:r>
        <w:rPr>
          <w:rFonts w:ascii="Arial" w:cs="Arial" w:eastAsia="Arial" w:hAnsi="Arial"/>
          <w:color w:val="0F172A"/>
          <w:sz w:val="22"/>
          <w:szCs w:val="22"/>
        </w:rPr>
        <w:t xml:space="preserve">Resolution: PULSE transforms the V12 assessment into a living, probabilistic, causally-structured simulation engine — while never touching proprietary financial data. It answers not just “what might shift” but “why, through which causal path, at what speed, and what should we do about it.”</w:t>
      </w:r>
    </w:p>
    <w:p>
      <w:r>
        <w:br w:type="page"/>
      </w:r>
    </w:p>
    <w:p>
      <w:pPr>
        <w:pStyle w:val="Heading1"/>
        <w:spacing w:after="160" w:before="360"/>
      </w:pPr>
      <w:r>
        <w:rPr>
          <w:rFonts w:ascii="Arial" w:cs="Arial" w:eastAsia="Arial" w:hAnsi="Arial"/>
          <w:b/>
          <w:bCs/>
        </w:rPr>
        <w:t xml:space="preserve">7. CONTROL PLAN — 14-DAY SPRINT TO CEO-READY</w:t>
      </w:r>
    </w:p>
    <w:p>
      <w:pPr>
        <w:pStyle w:val="Heading2"/>
        <w:spacing w:after="160" w:before="240"/>
      </w:pPr>
      <w:r>
        <w:rPr>
          <w:rFonts w:ascii="Arial" w:cs="Arial" w:eastAsia="Arial" w:hAnsi="Arial"/>
          <w:b/>
          <w:bCs/>
        </w:rPr>
        <w:t xml:space="preserve">Week 1: Fix What’s Broken (Days 1–7)</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1200"/>
        <w:gridCol w:w="1200"/>
        <w:gridCol w:w="3400"/>
      </w:tblGrid>
      <w:tr>
        <w:tc>
          <w:tcPr>
            <w:tcW w:type="dxa" w:w="5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35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Task</w:t>
            </w:r>
          </w:p>
        </w:tc>
        <w:tc>
          <w:tcPr>
            <w:tcW w:type="dxa" w:w="12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Priority</w:t>
            </w:r>
          </w:p>
        </w:tc>
        <w:tc>
          <w:tcPr>
            <w:tcW w:type="dxa" w:w="12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Effort</w:t>
            </w:r>
          </w:p>
        </w:tc>
        <w:tc>
          <w:tcPr>
            <w:tcW w:type="dxa" w:w="34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Rationale</w:t>
            </w:r>
          </w:p>
        </w:tc>
      </w:tr>
      <w:tr>
        <w:tc>
          <w:tcPr>
            <w:tcW w:type="dxa" w:w="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1</w:t>
            </w:r>
          </w:p>
        </w:tc>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Fix 28 failing tests — prioritize bayesian_mc (9 fails) and API (10 fails)</w:t>
            </w:r>
          </w:p>
        </w:tc>
        <w:tc>
          <w:tcPr>
            <w:tcW w:type="dxa" w:w="12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CRITICAL</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3 days</w:t>
            </w:r>
          </w:p>
        </w:tc>
        <w:tc>
          <w:tcPr>
            <w:tcW w:type="dxa" w:w="3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Without green tests, no pitch. Period.</w:t>
            </w:r>
          </w:p>
        </w:tc>
      </w:tr>
      <w:tr>
        <w:tc>
          <w:tcPr>
            <w:tcW w:type="dxa" w:w="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2</w:t>
            </w:r>
          </w:p>
        </w:tc>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Fix copula: extend to 2N dimensions or document simplification with sensitivity analysis</w:t>
            </w:r>
          </w:p>
        </w:tc>
        <w:tc>
          <w:tcPr>
            <w:tcW w:type="dxa" w:w="12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CRITICAL</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2 days</w:t>
            </w:r>
          </w:p>
        </w:tc>
        <w:tc>
          <w:tcPr>
            <w:tcW w:type="dxa" w:w="3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QuantumBlack/GAMMA will spot this in diligence.</w:t>
            </w:r>
          </w:p>
        </w:tc>
      </w:tr>
      <w:tr>
        <w:tc>
          <w:tcPr>
            <w:tcW w:type="dxa" w:w="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3</w:t>
            </w:r>
          </w:p>
        </w:tc>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Fix causal lag integration in bayesian_mc._compute_category_path()</w:t>
            </w:r>
          </w:p>
        </w:tc>
        <w:tc>
          <w:tcPr>
            <w:tcW w:type="dxa" w:w="1200"/>
            <w:tcBorders>
              <w:top w:val="single" w:color="CBD5E1" w:sz="1"/>
              <w:left w:val="single" w:color="CBD5E1" w:sz="1"/>
              <w:bottom w:val="single" w:color="CBD5E1" w:sz="1"/>
              <w:right w:val="single" w:color="CBD5E1" w:sz="1"/>
            </w:tcBorders>
            <w:shd w:fill="FFEDD5" w:val="clear"/>
            <w:tcMar>
              <w:top w:type="dxa" w:w="60"/>
              <w:left w:type="dxa" w:w="100"/>
              <w:bottom w:type="dxa" w:w="60"/>
              <w:right w:type="dxa" w:w="100"/>
            </w:tcMar>
          </w:tcPr>
          <w:p>
            <w:pPr>
              <w:jc w:val="center"/>
            </w:pPr>
            <w:r>
              <w:rPr>
                <w:rFonts w:ascii="Arial" w:cs="Arial" w:eastAsia="Arial" w:hAnsi="Arial"/>
                <w:b/>
                <w:bCs/>
                <w:color w:val="EA580C"/>
                <w:sz w:val="20"/>
                <w:szCs w:val="20"/>
              </w:rPr>
              <w:t xml:space="preserve">HIGH</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2 days</w:t>
            </w:r>
          </w:p>
        </w:tc>
        <w:tc>
          <w:tcPr>
            <w:tcW w:type="dxa" w:w="3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Lag structure is the entire point of continuous paths.</w:t>
            </w:r>
          </w:p>
        </w:tc>
      </w:tr>
      <w:tr>
        <w:tc>
          <w:tcPr>
            <w:tcW w:type="dxa" w:w="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4</w:t>
            </w:r>
          </w:p>
        </w:tc>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Migrate FastAPI from deprecated on_event to lifespan handlers</w:t>
            </w:r>
          </w:p>
        </w:tc>
        <w:tc>
          <w:tcPr>
            <w:tcW w:type="dxa" w:w="1200"/>
            <w:tcBorders>
              <w:top w:val="single" w:color="CBD5E1" w:sz="1"/>
              <w:left w:val="single" w:color="CBD5E1" w:sz="1"/>
              <w:bottom w:val="single" w:color="CBD5E1" w:sz="1"/>
              <w:right w:val="single" w:color="CBD5E1" w:sz="1"/>
            </w:tcBorders>
            <w:shd w:fill="FFEDD5" w:val="clear"/>
            <w:tcMar>
              <w:top w:type="dxa" w:w="60"/>
              <w:left w:type="dxa" w:w="100"/>
              <w:bottom w:type="dxa" w:w="60"/>
              <w:right w:type="dxa" w:w="100"/>
            </w:tcMar>
          </w:tcPr>
          <w:p>
            <w:pPr>
              <w:jc w:val="center"/>
            </w:pPr>
            <w:r>
              <w:rPr>
                <w:rFonts w:ascii="Arial" w:cs="Arial" w:eastAsia="Arial" w:hAnsi="Arial"/>
                <w:b/>
                <w:bCs/>
                <w:color w:val="EA580C"/>
                <w:sz w:val="20"/>
                <w:szCs w:val="20"/>
              </w:rPr>
              <w:t xml:space="preserve">HIGH</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0.5 days</w:t>
            </w:r>
          </w:p>
        </w:tc>
        <w:tc>
          <w:tcPr>
            <w:tcW w:type="dxa" w:w="3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Deprecation warnings in test output look unprofessional.</w:t>
            </w:r>
          </w:p>
        </w:tc>
      </w:tr>
      <w:tr>
        <w:tc>
          <w:tcPr>
            <w:tcW w:type="dxa" w:w="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5</w:t>
            </w:r>
          </w:p>
        </w:tc>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Add asyncio.Lock to API state mutations</w:t>
            </w:r>
          </w:p>
        </w:tc>
        <w:tc>
          <w:tcPr>
            <w:tcW w:type="dxa" w:w="1200"/>
            <w:tcBorders>
              <w:top w:val="single" w:color="CBD5E1" w:sz="1"/>
              <w:left w:val="single" w:color="CBD5E1" w:sz="1"/>
              <w:bottom w:val="single" w:color="CBD5E1" w:sz="1"/>
              <w:right w:val="single" w:color="CBD5E1" w:sz="1"/>
            </w:tcBorders>
            <w:shd w:fill="FFEDD5" w:val="clear"/>
            <w:tcMar>
              <w:top w:type="dxa" w:w="60"/>
              <w:left w:type="dxa" w:w="100"/>
              <w:bottom w:type="dxa" w:w="60"/>
              <w:right w:type="dxa" w:w="100"/>
            </w:tcMar>
          </w:tcPr>
          <w:p>
            <w:pPr>
              <w:jc w:val="center"/>
            </w:pPr>
            <w:r>
              <w:rPr>
                <w:rFonts w:ascii="Arial" w:cs="Arial" w:eastAsia="Arial" w:hAnsi="Arial"/>
                <w:b/>
                <w:bCs/>
                <w:color w:val="EA580C"/>
                <w:sz w:val="20"/>
                <w:szCs w:val="20"/>
              </w:rPr>
              <w:t xml:space="preserve">HIGH</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0.5 days</w:t>
            </w:r>
          </w:p>
        </w:tc>
        <w:tc>
          <w:tcPr>
            <w:tcW w:type="dxa" w:w="3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Race condition during live demo would be embarrassing.</w:t>
            </w:r>
          </w:p>
        </w:tc>
      </w:tr>
      <w:tr>
        <w:tc>
          <w:tcPr>
            <w:tcW w:type="dxa" w:w="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6</w:t>
            </w:r>
          </w:p>
        </w:tc>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Fix database firewall: replace non-functional trigger with CHECK constraints</w:t>
            </w:r>
          </w:p>
        </w:tc>
        <w:tc>
          <w:tcPr>
            <w:tcW w:type="dxa" w:w="12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pPr>
              <w:jc w:val="center"/>
            </w:pPr>
            <w:r>
              <w:rPr>
                <w:rFonts w:ascii="Arial" w:cs="Arial" w:eastAsia="Arial" w:hAnsi="Arial"/>
                <w:b/>
                <w:bCs/>
                <w:color w:val="D97706"/>
                <w:sz w:val="20"/>
                <w:szCs w:val="20"/>
              </w:rPr>
              <w:t xml:space="preserve">MEDIUM</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0.5 days</w:t>
            </w:r>
          </w:p>
        </w:tc>
        <w:tc>
          <w:tcPr>
            <w:tcW w:type="dxa" w:w="3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Defense-in-depth for security narrative.</w:t>
            </w:r>
          </w:p>
        </w:tc>
      </w:tr>
      <w:tr>
        <w:tc>
          <w:tcPr>
            <w:tcW w:type="dxa" w:w="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7</w:t>
            </w:r>
          </w:p>
        </w:tc>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Retire dashboard_v3_apple_bain/ — archive or delete</w:t>
            </w:r>
          </w:p>
        </w:tc>
        <w:tc>
          <w:tcPr>
            <w:tcW w:type="dxa" w:w="1200"/>
            <w:tcBorders>
              <w:top w:val="single" w:color="CBD5E1" w:sz="1"/>
              <w:left w:val="single" w:color="CBD5E1" w:sz="1"/>
              <w:bottom w:val="single" w:color="CBD5E1" w:sz="1"/>
              <w:right w:val="single" w:color="CBD5E1" w:sz="1"/>
            </w:tcBorders>
            <w:shd w:fill="FFEDD5" w:val="clear"/>
            <w:tcMar>
              <w:top w:type="dxa" w:w="60"/>
              <w:left w:type="dxa" w:w="100"/>
              <w:bottom w:type="dxa" w:w="60"/>
              <w:right w:type="dxa" w:w="100"/>
            </w:tcMar>
          </w:tcPr>
          <w:p>
            <w:pPr>
              <w:jc w:val="center"/>
            </w:pPr>
            <w:r>
              <w:rPr>
                <w:rFonts w:ascii="Arial" w:cs="Arial" w:eastAsia="Arial" w:hAnsi="Arial"/>
                <w:b/>
                <w:bCs/>
                <w:color w:val="EA580C"/>
                <w:sz w:val="20"/>
                <w:szCs w:val="20"/>
              </w:rPr>
              <w:t xml:space="preserve">HIGH</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0.5 days</w:t>
            </w:r>
          </w:p>
        </w:tc>
        <w:tc>
          <w:tcPr>
            <w:tcW w:type="dxa" w:w="3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One product, one codebase, one truth.</w:t>
            </w:r>
          </w:p>
        </w:tc>
      </w:tr>
    </w:tbl>
    <w:p>
      <w:pPr>
        <w:spacing w:after="60"/>
      </w:pPr>
    </w:p>
    <w:p>
      <w:pPr>
        <w:pStyle w:val="Heading2"/>
        <w:spacing w:after="160" w:before="240"/>
      </w:pPr>
      <w:r>
        <w:rPr>
          <w:rFonts w:ascii="Arial" w:cs="Arial" w:eastAsia="Arial" w:hAnsi="Arial"/>
          <w:b/>
          <w:bCs/>
        </w:rPr>
        <w:t xml:space="preserve">Week 2: Polish for Pitch (Days 8–14)</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1200"/>
        <w:gridCol w:w="1200"/>
        <w:gridCol w:w="3400"/>
      </w:tblGrid>
      <w:tr>
        <w:tc>
          <w:tcPr>
            <w:tcW w:type="dxa" w:w="5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35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Task</w:t>
            </w:r>
          </w:p>
        </w:tc>
        <w:tc>
          <w:tcPr>
            <w:tcW w:type="dxa" w:w="12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Priority</w:t>
            </w:r>
          </w:p>
        </w:tc>
        <w:tc>
          <w:tcPr>
            <w:tcW w:type="dxa" w:w="12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Effort</w:t>
            </w:r>
          </w:p>
        </w:tc>
        <w:tc>
          <w:tcPr>
            <w:tcW w:type="dxa" w:w="34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Rationale</w:t>
            </w:r>
          </w:p>
        </w:tc>
      </w:tr>
      <w:tr>
        <w:tc>
          <w:tcPr>
            <w:tcW w:type="dxa" w:w="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8</w:t>
            </w:r>
          </w:p>
        </w:tc>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Build TornadoChart.tsx — sensitivity visualization for executive decision-making</w:t>
            </w:r>
          </w:p>
        </w:tc>
        <w:tc>
          <w:tcPr>
            <w:tcW w:type="dxa" w:w="1200"/>
            <w:tcBorders>
              <w:top w:val="single" w:color="CBD5E1" w:sz="1"/>
              <w:left w:val="single" w:color="CBD5E1" w:sz="1"/>
              <w:bottom w:val="single" w:color="CBD5E1" w:sz="1"/>
              <w:right w:val="single" w:color="CBD5E1" w:sz="1"/>
            </w:tcBorders>
            <w:shd w:fill="FFEDD5" w:val="clear"/>
            <w:tcMar>
              <w:top w:type="dxa" w:w="60"/>
              <w:left w:type="dxa" w:w="100"/>
              <w:bottom w:type="dxa" w:w="60"/>
              <w:right w:type="dxa" w:w="100"/>
            </w:tcMar>
          </w:tcPr>
          <w:p>
            <w:pPr>
              <w:jc w:val="center"/>
            </w:pPr>
            <w:r>
              <w:rPr>
                <w:rFonts w:ascii="Arial" w:cs="Arial" w:eastAsia="Arial" w:hAnsi="Arial"/>
                <w:b/>
                <w:bCs/>
                <w:color w:val="EA580C"/>
                <w:sz w:val="20"/>
                <w:szCs w:val="20"/>
              </w:rPr>
              <w:t xml:space="preserve">HIGH</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3 days</w:t>
            </w:r>
          </w:p>
        </w:tc>
        <w:tc>
          <w:tcPr>
            <w:tcW w:type="dxa" w:w="3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Most-asked exec question: “which lever matters most?”</w:t>
            </w:r>
          </w:p>
        </w:tc>
      </w:tr>
      <w:tr>
        <w:tc>
          <w:tcPr>
            <w:tcW w:type="dxa" w:w="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9</w:t>
            </w:r>
          </w:p>
        </w:tc>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Enhance CompetitivePanel with response waterfall (even with limited data)</w:t>
            </w:r>
          </w:p>
        </w:tc>
        <w:tc>
          <w:tcPr>
            <w:tcW w:type="dxa" w:w="12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pPr>
              <w:jc w:val="center"/>
            </w:pPr>
            <w:r>
              <w:rPr>
                <w:rFonts w:ascii="Arial" w:cs="Arial" w:eastAsia="Arial" w:hAnsi="Arial"/>
                <w:b/>
                <w:bCs/>
                <w:color w:val="D97706"/>
                <w:sz w:val="20"/>
                <w:szCs w:val="20"/>
              </w:rPr>
              <w:t xml:space="preserve">MEDIUM</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2 days</w:t>
            </w:r>
          </w:p>
        </w:tc>
        <w:tc>
          <w:tcPr>
            <w:tcW w:type="dxa" w:w="3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Shows strategic thinking beyond pure quant.</w:t>
            </w:r>
          </w:p>
        </w:tc>
      </w:tr>
      <w:tr>
        <w:tc>
          <w:tcPr>
            <w:tcW w:type="dxa" w:w="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10</w:t>
            </w:r>
          </w:p>
        </w:tc>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iPad physical testing — verify responsive layout in landscape/portrait</w:t>
            </w:r>
          </w:p>
        </w:tc>
        <w:tc>
          <w:tcPr>
            <w:tcW w:type="dxa" w:w="12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pPr>
              <w:jc w:val="center"/>
            </w:pPr>
            <w:r>
              <w:rPr>
                <w:rFonts w:ascii="Arial" w:cs="Arial" w:eastAsia="Arial" w:hAnsi="Arial"/>
                <w:b/>
                <w:bCs/>
                <w:color w:val="D97706"/>
                <w:sz w:val="20"/>
                <w:szCs w:val="20"/>
              </w:rPr>
              <w:t xml:space="preserve">MEDIUM</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1 day</w:t>
            </w:r>
          </w:p>
        </w:tc>
        <w:tc>
          <w:tcPr>
            <w:tcW w:type="dxa" w:w="3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ExCo will likely see this on an iPad.</w:t>
            </w:r>
          </w:p>
        </w:tc>
      </w:tr>
      <w:tr>
        <w:tc>
          <w:tcPr>
            <w:tcW w:type="dxa" w:w="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11</w:t>
            </w:r>
          </w:p>
        </w:tc>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Build demo script with golden path data — no random mock data in pitch</w:t>
            </w:r>
          </w:p>
        </w:tc>
        <w:tc>
          <w:tcPr>
            <w:tcW w:type="dxa" w:w="12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CRITICAL</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2 days</w:t>
            </w:r>
          </w:p>
        </w:tc>
        <w:tc>
          <w:tcPr>
            <w:tcW w:type="dxa" w:w="3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Deterministic demo data tells a compelling story.</w:t>
            </w:r>
          </w:p>
        </w:tc>
      </w:tr>
      <w:tr>
        <w:tc>
          <w:tcPr>
            <w:tcW w:type="dxa" w:w="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12</w:t>
            </w:r>
          </w:p>
        </w:tc>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Prepare “Phase 3 Roadmap” slide deck (AI, Power BI, Delphi, Integrations)</w:t>
            </w:r>
          </w:p>
        </w:tc>
        <w:tc>
          <w:tcPr>
            <w:tcW w:type="dxa" w:w="1200"/>
            <w:tcBorders>
              <w:top w:val="single" w:color="CBD5E1" w:sz="1"/>
              <w:left w:val="single" w:color="CBD5E1" w:sz="1"/>
              <w:bottom w:val="single" w:color="CBD5E1" w:sz="1"/>
              <w:right w:val="single" w:color="CBD5E1" w:sz="1"/>
            </w:tcBorders>
            <w:shd w:fill="FFEDD5" w:val="clear"/>
            <w:tcMar>
              <w:top w:type="dxa" w:w="60"/>
              <w:left w:type="dxa" w:w="100"/>
              <w:bottom w:type="dxa" w:w="60"/>
              <w:right w:type="dxa" w:w="100"/>
            </w:tcMar>
          </w:tcPr>
          <w:p>
            <w:pPr>
              <w:jc w:val="center"/>
            </w:pPr>
            <w:r>
              <w:rPr>
                <w:rFonts w:ascii="Arial" w:cs="Arial" w:eastAsia="Arial" w:hAnsi="Arial"/>
                <w:b/>
                <w:bCs/>
                <w:color w:val="EA580C"/>
                <w:sz w:val="20"/>
                <w:szCs w:val="20"/>
              </w:rPr>
              <w:t xml:space="preserve">HIGH</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1 day</w:t>
            </w:r>
          </w:p>
        </w:tc>
        <w:tc>
          <w:tcPr>
            <w:tcW w:type="dxa" w:w="3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Position unfinished work as “coming next” not “failed.”</w:t>
            </w:r>
          </w:p>
        </w:tc>
      </w:tr>
      <w:tr>
        <w:tc>
          <w:tcPr>
            <w:tcW w:type="dxa" w:w="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13</w:t>
            </w:r>
          </w:p>
        </w:tc>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Run full test suite — 100% pass rate required before pitch</w:t>
            </w:r>
          </w:p>
        </w:tc>
        <w:tc>
          <w:tcPr>
            <w:tcW w:type="dxa" w:w="12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CRITICAL</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1 day</w:t>
            </w:r>
          </w:p>
        </w:tc>
        <w:tc>
          <w:tcPr>
            <w:tcW w:type="dxa" w:w="3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Final gate. No exceptions.</w:t>
            </w:r>
          </w:p>
        </w:tc>
      </w:tr>
      <w:tr>
        <w:tc>
          <w:tcPr>
            <w:tcW w:type="dxa" w:w="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14</w:t>
            </w:r>
          </w:p>
        </w:tc>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Dry-run demo with 2 stakeholders — collect feedback, adjust</w:t>
            </w:r>
          </w:p>
        </w:tc>
        <w:tc>
          <w:tcPr>
            <w:tcW w:type="dxa" w:w="12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CRITICAL</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color w:val="0F172A"/>
                <w:sz w:val="20"/>
                <w:szCs w:val="20"/>
              </w:rPr>
              <w:t xml:space="preserve">1 day</w:t>
            </w:r>
          </w:p>
        </w:tc>
        <w:tc>
          <w:tcPr>
            <w:tcW w:type="dxa" w:w="3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Never pitch cold. Always rehearse.</w:t>
            </w:r>
          </w:p>
        </w:tc>
      </w:tr>
    </w:tbl>
    <w:p>
      <w:r>
        <w:br w:type="page"/>
      </w:r>
    </w:p>
    <w:p>
      <w:pPr>
        <w:pStyle w:val="Heading1"/>
        <w:spacing w:after="160" w:before="360"/>
      </w:pPr>
      <w:r>
        <w:rPr>
          <w:rFonts w:ascii="Arial" w:cs="Arial" w:eastAsia="Arial" w:hAnsi="Arial"/>
          <w:b/>
          <w:bCs/>
        </w:rPr>
        <w:t xml:space="preserve">8. POST-PITCH ROADMAP (Months 2–6)</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4500"/>
        <w:gridCol w:w="3900"/>
      </w:tblGrid>
      <w:tr>
        <w:tc>
          <w:tcPr>
            <w:tcW w:type="dxa" w:w="14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Timeline</w:t>
            </w:r>
          </w:p>
        </w:tc>
        <w:tc>
          <w:tcPr>
            <w:tcW w:type="dxa" w:w="45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Deliverable</w:t>
            </w:r>
          </w:p>
        </w:tc>
        <w:tc>
          <w:tcPr>
            <w:tcW w:type="dxa" w:w="39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Strategic Rationale</w:t>
            </w:r>
          </w:p>
        </w:tc>
      </w:tr>
      <w:tr>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Month 2</w:t>
            </w:r>
          </w:p>
        </w:tc>
        <w:tc>
          <w:tcPr>
            <w:tcW w:type="dxa" w:w="4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Complete backtesting engine with V1–V11 historical data. Derive empirical attenuation factor. Report actual model accuracy score.</w:t>
            </w:r>
          </w:p>
        </w:tc>
        <w:tc>
          <w:tcPr>
            <w:tcW w:type="dxa" w:w="3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Backtesting was positioned in the spec as “Phase 0 — runs before any prediction.” It’s currently incomplete. This must be the first post-pitch priority.</w:t>
            </w:r>
          </w:p>
        </w:tc>
      </w:tr>
      <w:tr>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Month 2–3</w:t>
            </w:r>
          </w:p>
        </w:tc>
        <w:tc>
          <w:tcPr>
            <w:tcW w:type="dxa" w:w="4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AI Trend Scanner: integrate GDELT, GNews, RSS feeds. Weekly digest of relevant FMCG developments. Human-in-the-loop review queue.</w:t>
            </w:r>
          </w:p>
        </w:tc>
        <w:tc>
          <w:tcPr>
            <w:tcW w:type="dxa" w:w="3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The 19-API integration map is ambitious. Start with the 3 highest-signal sources (GDELT, GNews, Google Trends) and validate before expanding.</w:t>
            </w:r>
          </w:p>
        </w:tc>
      </w:tr>
      <w:tr>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Month 3</w:t>
            </w:r>
          </w:p>
        </w:tc>
        <w:tc>
          <w:tcPr>
            <w:tcW w:type="dxa" w:w="4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Power BI Integration: Azure authentication, Shift Matrix push, DAX formula validation, monthly sync scheduling.</w:t>
            </w:r>
          </w:p>
        </w:tc>
        <w:tc>
          <w:tcPr>
            <w:tcW w:type="dxa" w:w="3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Requires Azure tenant credentials and IT collaboration. Start the credential provisioning process NOW, even before the pitch.</w:t>
            </w:r>
          </w:p>
        </w:tc>
      </w:tr>
      <w:tr>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Month 3–4</w:t>
            </w:r>
          </w:p>
        </w:tc>
        <w:tc>
          <w:tcPr>
            <w:tcW w:type="dxa" w:w="4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Game Theory Layer: implement competitive equilibrium iteration. Validate response effects against historical competitive moves.</w:t>
            </w:r>
          </w:p>
        </w:tc>
        <w:tc>
          <w:tcPr>
            <w:tcW w:type="dxa" w:w="3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The competitor profiles are a strong foundation. The response logic needs empirical calibration against actual P&amp;G/Unilever strategic moves.</w:t>
            </w:r>
          </w:p>
        </w:tc>
      </w:tr>
      <w:tr>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Month 4–5</w:t>
            </w:r>
          </w:p>
        </w:tc>
        <w:tc>
          <w:tcPr>
            <w:tcW w:type="dxa" w:w="4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Delphi Elicitation Protocol: full database persistence, inter-rater reliability (Krippendorff’s alpha), calibration exercises, consensus scoring.</w:t>
            </w:r>
          </w:p>
        </w:tc>
        <w:tc>
          <w:tcPr>
            <w:tcW w:type="dxa" w:w="3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Requires organizational buy-in for structured scoring workshops. RACI matrix from spec Section 4 should be formalized.</w:t>
            </w:r>
          </w:p>
        </w:tc>
      </w:tr>
      <w:tr>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Month 5–6</w:t>
            </w:r>
          </w:p>
        </w:tc>
        <w:tc>
          <w:tcPr>
            <w:tcW w:type="dxa" w:w="4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Advanced Analytics: CVaR, Sobol indices, reverse stress testing, tipping points. Dark mode. Violin plots for Bayesian posteriors.</w:t>
            </w:r>
          </w:p>
        </w:tc>
        <w:tc>
          <w:tcPr>
            <w:tcW w:type="dxa" w:w="3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These are differentiation features for the strategy team’s daily use, not for the initial CEO pitch.</w:t>
            </w:r>
          </w:p>
        </w:tc>
      </w:tr>
    </w:tbl>
    <w:p>
      <w:r>
        <w:br w:type="page"/>
      </w:r>
    </w:p>
    <w:p>
      <w:pPr>
        <w:pStyle w:val="Heading1"/>
        <w:spacing w:after="160" w:before="360"/>
      </w:pPr>
      <w:r>
        <w:rPr>
          <w:rFonts w:ascii="Arial" w:cs="Arial" w:eastAsia="Arial" w:hAnsi="Arial"/>
          <w:b/>
          <w:bCs/>
        </w:rPr>
        <w:t xml:space="preserve">9. THE BAIN SENIOR PARTNER TEST — HONEST ASSESSMENT</w:t>
      </w:r>
    </w:p>
    <w:p>
      <w:pPr>
        <w:spacing w:after="120"/>
      </w:pPr>
      <w:r>
        <w:rPr>
          <w:rFonts w:ascii="Arial" w:cs="Arial" w:eastAsia="Arial" w:hAnsi="Arial"/>
          <w:color w:val="0F172A"/>
          <w:sz w:val="22"/>
          <w:szCs w:val="22"/>
        </w:rPr>
        <w:t xml:space="preserve">The spec defines the ultimate quality bar: “Would a Bain Senior Partner present this tool to a DAX-40 CEO’s Strategy Board as a state-of-the-art profit pool simulation capability?”</w:t>
      </w:r>
    </w:p>
    <w:p>
      <w:pPr>
        <w:spacing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5100"/>
      </w:tblGrid>
      <w:tr>
        <w:tc>
          <w:tcPr>
            <w:tcW w:type="dxa" w:w="32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Question</w:t>
            </w:r>
          </w:p>
        </w:tc>
        <w:tc>
          <w:tcPr>
            <w:tcW w:type="dxa" w:w="15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Answer</w:t>
            </w:r>
          </w:p>
        </w:tc>
        <w:tc>
          <w:tcPr>
            <w:tcW w:type="dxa" w:w="51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Assessment</w:t>
            </w:r>
          </w:p>
        </w:tc>
      </w:tr>
      <w:tr>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Would a Bain SP present the core simulation engine?</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59669"/>
                <w:sz w:val="20"/>
                <w:szCs w:val="20"/>
              </w:rPr>
              <w:t xml:space="preserve">YES</w:t>
            </w:r>
          </w:p>
        </w:tc>
        <w:tc>
          <w:tcPr>
            <w:tcW w:type="dxa" w:w="5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Bayesian MC + causal DAG + copula dependencies is genuine state-of-the-art. The statistical methodology exceeds what most consulting firms deploy for FMCG clients. The “Relative Impact Only” architecture is a novel, defensible innovation.</w:t>
            </w:r>
          </w:p>
        </w:tc>
      </w:tr>
      <w:tr>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Would the CFO trust the backtesting accuracy score?</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DC2626"/>
                <w:sz w:val="20"/>
                <w:szCs w:val="20"/>
              </w:rPr>
              <w:t xml:space="preserve">NOT YET</w:t>
            </w:r>
          </w:p>
        </w:tc>
        <w:tc>
          <w:tcPr>
            <w:tcW w:type="dxa" w:w="5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The backtesting engine is incomplete. Claiming “73% accuracy” without the actual calibration code working is a credibility trap. After Month 2 fixes, this becomes a YES.</w:t>
            </w:r>
          </w:p>
        </w:tc>
      </w:tr>
      <w:tr>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Would the CEO act on allocation recommendations?</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D97706"/>
                <w:sz w:val="20"/>
                <w:szCs w:val="20"/>
              </w:rPr>
              <w:t xml:space="preserve">YES, WITH CAVEATS</w:t>
            </w:r>
          </w:p>
        </w:tc>
        <w:tc>
          <w:tcPr>
            <w:tcW w:type="dxa" w:w="5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The mean-variance optimizer produces reasonable, diversified recommendations. However, without game theory equilibrium (currently scaffolding), the recommendations ignore competitive response. Present as “first-order optimization” with competitive overlay coming.</w:t>
            </w:r>
          </w:p>
        </w:tc>
      </w:tr>
      <w:tr>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Would QuantumBlack sign off on the methodology?</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D97706"/>
                <w:sz w:val="20"/>
                <w:szCs w:val="20"/>
              </w:rPr>
              <w:t xml:space="preserve">CONDITIONAL YES</w:t>
            </w:r>
          </w:p>
        </w:tc>
        <w:tc>
          <w:tcPr>
            <w:tcW w:type="dxa" w:w="5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After fixing the copula probability sampling and causal lag integration. Currently, the methodological shortcuts would be caught in technical diligence.</w:t>
            </w:r>
          </w:p>
        </w:tc>
      </w:tr>
      <w:tr>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0F172A"/>
                <w:sz w:val="20"/>
                <w:szCs w:val="20"/>
              </w:rPr>
              <w:t xml:space="preserve">Would the War Room dashboard impress in a boardroom?</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color w:val="059669"/>
                <w:sz w:val="20"/>
                <w:szCs w:val="20"/>
              </w:rPr>
              <w:t xml:space="preserve">YES</w:t>
            </w:r>
          </w:p>
        </w:tc>
        <w:tc>
          <w:tcPr>
            <w:tcW w:type="dxa" w:w="5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color w:val="0F172A"/>
                <w:sz w:val="20"/>
                <w:szCs w:val="20"/>
              </w:rPr>
              <w:t xml:space="preserve">The TypeScript dashboard (v1) is genuinely Apple-grade: accessible, responsive, animated, with progressive disclosure. It would hold up well against McKinsey’s and BCG’s digital tools.</w:t>
            </w:r>
          </w:p>
        </w:tc>
      </w:tr>
    </w:tbl>
    <w:p>
      <w:pPr>
        <w:spacing w:after="60"/>
      </w:pPr>
    </w:p>
    <w:p>
      <w:pPr>
        <w:spacing w:after="60"/>
      </w:pPr>
    </w:p>
    <w:p>
      <w:pPr>
        <w:pBdr>
          <w:top w:val="single" w:color="2563EB" w:sz="6" w:space="1"/>
        </w:pBdr>
        <w:spacing w:after="200" w:before="200"/>
      </w:pPr>
    </w:p>
    <w:p>
      <w:pPr>
        <w:spacing w:after="80"/>
        <w:jc w:val="center"/>
      </w:pPr>
      <w:r>
        <w:rPr>
          <w:rFonts w:ascii="Arial" w:cs="Arial" w:eastAsia="Arial" w:hAnsi="Arial"/>
          <w:b/>
          <w:bCs/>
          <w:color w:val="0F172A"/>
          <w:sz w:val="28"/>
          <w:szCs w:val="28"/>
        </w:rPr>
        <w:t xml:space="preserve">FINAL RECOMMENDATION</w:t>
      </w:r>
    </w:p>
    <w:p>
      <w:pPr>
        <w:spacing w:after="120"/>
        <w:jc w:val="center"/>
      </w:pPr>
      <w:r>
        <w:rPr>
          <w:rFonts w:ascii="Arial" w:cs="Arial" w:eastAsia="Arial" w:hAnsi="Arial"/>
          <w:color w:val="0F172A"/>
          <w:sz w:val="22"/>
          <w:szCs w:val="22"/>
        </w:rPr>
        <w:t xml:space="preserve">Execute the 14-day control plan. Fix the 28 failing tests. Close the copula and causal lag gaps. Retire dashboard v3. Build the tornado chart. Prepare deterministic demo data. Rehearse the pitch. Position Phase 3 as roadmap.</w:t>
      </w:r>
    </w:p>
    <w:p>
      <w:pPr>
        <w:spacing w:after="60"/>
      </w:pPr>
    </w:p>
    <w:p>
      <w:pPr>
        <w:jc w:val="center"/>
      </w:pPr>
      <w:r>
        <w:rPr>
          <w:rFonts w:ascii="Arial" w:cs="Arial" w:eastAsia="Arial" w:hAnsi="Arial"/>
          <w:b/>
          <w:bCs/>
          <w:color w:val="2563EB"/>
          <w:sz w:val="24"/>
          <w:szCs w:val="24"/>
        </w:rPr>
        <w:t xml:space="preserve">Then pitch with confidence. The core is strong. The architecture is right. The vision is compelling.</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1" w:space="4"/>
      </w:pBdr>
      <w:tabs>
        <w:tab w:val="right" w:pos="9026"/>
      </w:tabs>
      <w:spacing w:after="0"/>
    </w:pPr>
    <w:r>
      <w:rPr>
        <w:rFonts w:ascii="Arial" w:cs="Arial" w:eastAsia="Arial" w:hAnsi="Arial"/>
        <w:color w:val="475569"/>
        <w:sz w:val="18"/>
        <w:szCs w:val="18"/>
      </w:rPr>
      <w:t xml:space="preserve">PULSE Pre-Pitch Readiness Audit</w:t>
    </w:r>
    <w:r>
      <w:t xml:space="preserve">	</w:t>
    </w:r>
    <w:r>
      <w:rPr>
        <w:rFonts w:ascii="Arial" w:cs="Arial" w:eastAsia="Arial" w:hAnsi="Arial"/>
        <w:b/>
        <w:bCs/>
        <w:color w:val="DC2626"/>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4" w:space="4"/>
      </w:pBdr>
      <w:spacing w:after="16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F17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2026-03-26T21:42:44.141Z</dcterms:created>
  <dcterms:modified xsi:type="dcterms:W3CDTF">2026-03-26T21:42:44.141Z</dcterms:modified>
</cp:coreProperties>
</file>

<file path=docProps/custom.xml><?xml version="1.0" encoding="utf-8"?>
<Properties xmlns="http://schemas.openxmlformats.org/officeDocument/2006/custom-properties" xmlns:vt="http://schemas.openxmlformats.org/officeDocument/2006/docPropsVTypes"/>
</file>