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</w:pPr>
      <w:r>
        <w:rPr>
          <w:b/>
          <w:bCs/>
          <w:color w:val="00345E"/>
          <w:sz w:val="52"/>
          <w:szCs w:val="52"/>
        </w:rPr>
        <w:t xml:space="preserve">PRISM Online</w:t>
      </w:r>
    </w:p>
    <w:p>
      <w:pPr>
        <w:spacing w:after="80"/>
      </w:pPr>
      <w:r>
        <w:rPr>
          <w:color w:val="555555"/>
          <w:sz w:val="26"/>
          <w:szCs w:val="26"/>
        </w:rPr>
        <w:t xml:space="preserve">Operating Concept for the Henkel-Hosted, AI-Enabled Profit-Pool Platform</w:t>
      </w:r>
    </w:p>
    <w:p>
      <w:pPr>
        <w:pBdr>
          <w:bottom w:val="single" w:color="00345E" w:sz="6" w:space="6"/>
        </w:pBdr>
        <w:spacing w:after="400"/>
      </w:pPr>
      <w:r>
        <w:rPr>
          <w:i/>
          <w:iCs/>
          <w:color w:val="555555"/>
          <w:sz w:val="18"/>
          <w:szCs w:val="18"/>
        </w:rPr>
        <w:t xml:space="preserve">Version 1.0 · 11 June 2026 · Author: Alex (Operational Excellence &amp; Category Strategy, HCB) · Audience: Henkel DX architecture + takeover developer, HCB sponsors · Companions: HANDOVER.md, CLAUDE.md (v3.7 spec), CONCEPT_PRISM_ONLINE_AI.md (this document, repo version)</w:t>
      </w:r>
    </w:p>
    <w:p>
      <w:pPr>
        <w:pStyle w:val="Heading1"/>
      </w:pPr>
      <w:r>
        <w:t xml:space="preserve">Executive summary</w:t>
      </w:r>
    </w:p>
    <w:p>
      <w:pPr>
        <w:spacing w:after="140"/>
      </w:pPr>
      <w:r>
        <w:rPr>
          <w:sz w:val="21"/>
          <w:szCs w:val="21"/>
        </w:rPr>
        <w:t xml:space="preserve">PRISM today is production-grade but operator-bound: simulations run as a CLI job on the owner's machine, AI capabilities exist in the codebase but are dormant, and hosting (Vercel / Neon / Clerk / GitHub) sits in personal accounts. The proposal: lift the platform into Henkel Azure unchanged, turn the offline CLI run into a containerized Azure job, and activate the existing AI layer — trend scanner, score calibrator, run narrator — behind the platform's established human-in-the-loop governance.</w:t>
      </w:r>
    </w:p>
    <w:p>
      <w:pPr>
        <w:spacing w:after="140"/>
      </w:pPr>
      <w:r>
        <w:rPr>
          <w:sz w:val="21"/>
          <w:szCs w:val="21"/>
        </w:rPr>
        <w:t xml:space="preserve">Three design commitments make this safe: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Numeric quality is preserved exactly. </w:t>
      </w:r>
      <w:r>
        <w:rPr>
          <w:sz w:val="21"/>
          <w:szCs w:val="21"/>
        </w:rPr>
        <w:t xml:space="preserve">The same scipy engine, version-pinned in a container, gated by the existing golden-pin test suite. The web plane still never computes — the job computes.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AI suggests, humans decide. </w:t>
      </w:r>
      <w:r>
        <w:rPr>
          <w:sz w:val="21"/>
          <w:szCs w:val="21"/>
        </w:rPr>
        <w:t xml:space="preserve">Nothing AI-generated reaches the model without review; the production provenance-chip governance extends to all new AI output.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Provider-agnostic LLM access. </w:t>
      </w:r>
      <w:r>
        <w:rPr>
          <w:sz w:val="21"/>
          <w:szCs w:val="21"/>
        </w:rPr>
        <w:t xml:space="preserve">Claude via Microsoft Foundry as primary, Azure OpenAI as fallback, Gemini optional — no architectural lock-in.</w:t>
      </w:r>
    </w:p>
    <w:p>
      <w:pPr>
        <w:spacing w:after="140"/>
      </w:pPr>
      <w:r>
        <w:rPr>
          <w:sz w:val="21"/>
          <w:szCs w:val="21"/>
        </w:rPr>
        <w:t xml:space="preserve">Four phases, roughly 8–13 developer-weeks to the full living loop.</w:t>
      </w:r>
    </w:p>
    <w:p>
      <w:pPr>
        <w:pStyle w:val="Heading1"/>
      </w:pPr>
      <w:r>
        <w:t xml:space="preserve">1.  Starting point</w:t>
      </w:r>
    </w:p>
    <w:p>
      <w:pPr>
        <w:spacing w:after="140"/>
      </w:pPr>
      <w:r>
        <w:rPr>
          <w:sz w:val="21"/>
          <w:szCs w:val="21"/>
        </w:rPr>
        <w:t xml:space="preserve">What exists and works (detail: CLAUDE.md §§1–2):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Engine: </w:t>
      </w:r>
      <w:r>
        <w:rPr>
          <w:sz w:val="21"/>
          <w:szCs w:val="21"/>
        </w:rPr>
        <w:t xml:space="preserve">Bayesian Monte Carlo, Gaussian copula, scipy-exact (D13), deterministic (seed 42), 50k × 3 chains, golden-pin regression suite, integrity events incl. input-drift telemetry (D19).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Operating split (F2): </w:t>
      </w:r>
      <w:r>
        <w:rPr>
          <w:sz w:val="21"/>
          <w:szCs w:val="21"/>
        </w:rPr>
        <w:t xml:space="preserve">an offline CLI computes and persists to Postgres; the deployed app is a read-only renderer. POST /simulate deliberately refuses (409) on the web runtime.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Governance: </w:t>
      </w:r>
      <w:r>
        <w:rPr>
          <w:sz w:val="21"/>
          <w:szCs w:val="21"/>
        </w:rPr>
        <w:t xml:space="preserve">AI-suggestion provenance chips (D7), admin-only audited config writes with spectral validation, RACI for trend scoring, honest-display rules (D3/D6/D16).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Dormant AI layer (pulse/ai/): </w:t>
      </w:r>
      <w:r>
        <w:rPr>
          <w:sz w:val="21"/>
          <w:szCs w:val="21"/>
        </w:rPr>
        <w:t xml:space="preserve">LLM provider abstraction (Claude / Azure OpenAI / Ollama) with audit logger and a financial-data firewall that blocks GP1/EBIT/revenue-type fields from prompts; a trend scanner (RSS/news → classified TrendSuggestion with source URL and evidence); a score calibrator (CalibrationSuggestion with reasoning); an executive narrator (relative-% only by construction). The ai_suggestions table and provenance flags are already in schema and UI.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Missing for “dynamic online”: </w:t>
      </w:r>
      <w:r>
        <w:rPr>
          <w:sz w:val="21"/>
          <w:szCs w:val="21"/>
        </w:rPr>
        <w:t xml:space="preserve">Henkel hosting, compute-as-a-service, scheduling/triggering, a suggestion-review inbox, a Gemini provider class, current model strings (the dormant config still pins claude-opus-4-0 / gpt-4-turbo — stale), and SSO.</w:t>
      </w:r>
    </w:p>
    <w:p>
      <w:pPr>
        <w:pStyle w:val="Heading1"/>
      </w:pPr>
      <w:r>
        <w:t xml:space="preserve">2.  Target operating model — the living loop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00345E"/>
                <w:sz w:val="19"/>
                <w:szCs w:val="19"/>
              </w:rPr>
              <w:t xml:space="preserve">Step</w:t>
            </w:r>
          </w:p>
        </w:tc>
        <w:tc>
          <w:tcPr>
            <w:tcW w:type="dxa" w:w="752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00345E"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tcW w:type="dxa" w:w="1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b/>
                <w:bCs/>
                <w:color w:val="00345E"/>
                <w:sz w:val="19"/>
                <w:szCs w:val="19"/>
              </w:rPr>
              <w:t xml:space="preserve">SCAN</w:t>
            </w:r>
          </w:p>
        </w:tc>
        <w:tc>
          <w:tcPr>
            <w:tcW w:type="dxa" w:w="752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Weekly automated job: curated sources (trade press, regulatory feeds, GDELT, RSS) → LLM classification and draft scoring → ai_suggestions with evidence URL and confidence. Batch capped (e.g. 10/week) so review stays a 20-minute task.</w:t>
            </w:r>
          </w:p>
        </w:tc>
      </w:tr>
      <w:tr>
        <w:tc>
          <w:tcPr>
            <w:tcW w:type="dxa" w:w="1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b/>
                <w:bCs/>
                <w:color w:val="00345E"/>
                <w:sz w:val="19"/>
                <w:szCs w:val="19"/>
              </w:rPr>
              <w:t xml:space="preserve">REVIEW</w:t>
            </w:r>
          </w:p>
        </w:tc>
        <w:tc>
          <w:tcPr>
            <w:tcW w:type="dxa" w:w="752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Human, on demand: suggestion inbox in the Trends2 admin editor — accept / edit / reject. Category Leads (R), Strategy VP (A) — RACI unchanged. Accepted items carry the ai-suggested chip until expert-reviewed. Quarterly: calibrator suggestions on the existing 99 trends.</w:t>
            </w:r>
          </w:p>
        </w:tc>
      </w:tr>
      <w:tr>
        <w:tc>
          <w:tcPr>
            <w:tcW w:type="dxa" w:w="1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b/>
                <w:bCs/>
                <w:color w:val="00345E"/>
                <w:sz w:val="19"/>
                <w:szCs w:val="19"/>
              </w:rPr>
              <w:t xml:space="preserve">RECALCULATE</w:t>
            </w:r>
          </w:p>
        </w:tc>
        <w:tc>
          <w:tcPr>
            <w:tcW w:type="dxa" w:w="752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 “Run simulation” or auto-trigger on an accepted batch → queue → container job (scipy, pinned, golden-checked) → input-drift event (“N trend scores changed…”) → persisted run. Minutes, not days.</w:t>
            </w:r>
          </w:p>
        </w:tc>
      </w:tr>
      <w:tr>
        <w:tc>
          <w:tcPr>
            <w:tcW w:type="dxa" w:w="1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b/>
                <w:bCs/>
                <w:color w:val="00345E"/>
                <w:sz w:val="19"/>
                <w:szCs w:val="19"/>
              </w:rPr>
              <w:t xml:space="preserve">READ</w:t>
            </w:r>
          </w:p>
        </w:tc>
        <w:tc>
          <w:tcPr>
            <w:tcW w:type="dxa" w:w="752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Dashboard renders the latest run; integrity chip surfaces drift; the narrator writes “what changed vs last run” (explicitly labeled AI-generated). Adjustments (scores, config) flow through the existing audited admin UI — and feed the loop again.</w:t>
            </w:r>
          </w:p>
        </w:tc>
      </w:tr>
    </w:tbl>
    <w:p>
      <w:pPr>
        <w:spacing w:after="60"/>
      </w:pPr>
      <w:r>
        <w:rPr>
          <w:sz w:val="21"/>
          <w:szCs w:val="21"/>
        </w:rPr>
        <w:t xml:space="preserve"/>
      </w:r>
    </w:p>
    <w:p>
      <w:pPr>
        <w:spacing w:after="140"/>
      </w:pPr>
      <w:r>
        <w:rPr>
          <w:sz w:val="21"/>
          <w:szCs w:val="21"/>
        </w:rPr>
        <w:t xml:space="preserve">The loop preserves every invariant the platform's credibility rests on: AI never writes to the model directly, every input change is fingerprinted and surfaced, every run carries seed/versions/backend, the ceteris-paribus framing stays, and the web plane still never computes. “Do adjustments” needs no new machinery — trend and config editing are already online admin capabilities; what's new is that recalculation follows within minutes.</w:t>
      </w:r>
    </w:p>
    <w:p>
      <w:pPr>
        <w:pStyle w:val="Heading1"/>
      </w:pPr>
      <w:r>
        <w:t xml:space="preserve">3.  Target architecture on Azure</w:t>
      </w:r>
    </w:p>
    <w:p>
      <w:pPr>
        <w:spacing w:after="140"/>
      </w:pPr>
      <w:r>
        <w:rPr>
          <w:sz w:val="21"/>
          <w:szCs w:val="21"/>
        </w:rPr>
        <w:t xml:space="preserve">Entra ID (SSO) → Front Door/WAF → App Service containers (Next.js 16 UI+BFF; FastAPI read-only data plane) → Azure Database for PostgreSQL Flexible Server. A queue (Service Bus or Storage Queue) feeds Azure Container Apps Jobs: ① simulation worker (same repo, same engine, scipy pinned), ② weekly scanner, ③ quarterly calibrator. LLM access via Microsoft Foundry (Claude primary / Azure OpenAI fallback). Key Vault + managed identities for secrets, ACR for images, App Insights/Log Analytics with alerts on job failures and integrity events, CI/CD via GitHub Actions or Azure DevOps.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c>
          <w:tcPr>
            <w:tcW w:type="dxa" w:w="22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00345E"/>
                <w:sz w:val="19"/>
                <w:szCs w:val="19"/>
              </w:rPr>
              <w:t xml:space="preserve">Decision</w:t>
            </w:r>
          </w:p>
        </w:tc>
        <w:tc>
          <w:tcPr>
            <w:tcW w:type="dxa" w:w="34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00345E"/>
                <w:sz w:val="19"/>
                <w:szCs w:val="19"/>
              </w:rPr>
              <w:t xml:space="preserve">Recommendation</w:t>
            </w:r>
          </w:p>
        </w:tc>
        <w:tc>
          <w:tcPr>
            <w:tcW w:type="dxa" w:w="342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00345E"/>
                <w:sz w:val="19"/>
                <w:szCs w:val="19"/>
              </w:rPr>
              <w:t xml:space="preserve">Trade-off considered</w:t>
            </w:r>
          </w:p>
        </w:tc>
      </w:tr>
      <w:tr>
        <w:tc>
          <w:tcPr>
            <w:tcW w:type="dxa" w:w="22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Web hosting</w:t>
            </w:r>
          </w:p>
        </w:tc>
        <w:tc>
          <w:tcPr>
            <w:tcW w:type="dxa" w:w="34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App Service for Containers (Next.js + FastAPI separately)</w:t>
            </w:r>
          </w:p>
        </w:tc>
        <w:tc>
          <w:tcPr>
            <w:tcW w:type="dxa" w:w="342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Static Web Apps awkward for Next 16 SSR + Python; AKS overkill for one app</w:t>
            </w:r>
          </w:p>
        </w:tc>
      </w:tr>
      <w:tr>
        <w:tc>
          <w:tcPr>
            <w:tcW w:type="dxa" w:w="22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Simulation compute</w:t>
            </w:r>
          </w:p>
        </w:tc>
        <w:tc>
          <w:tcPr>
            <w:tcW w:type="dxa" w:w="34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Container Apps Jobs (manual + event + cron triggers)</w:t>
            </w:r>
          </w:p>
        </w:tc>
        <w:tc>
          <w:tcPr>
            <w:tcW w:type="dxa" w:w="342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Functions hit memory/duration ceilings with scipy; AKS adds cluster ops. A 50k×3 run is 2–6 min — a job, not a service</w:t>
            </w:r>
          </w:p>
        </w:tc>
      </w:tr>
      <w:tr>
        <w:tc>
          <w:tcPr>
            <w:tcW w:type="dxa" w:w="22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Database</w:t>
            </w:r>
          </w:p>
        </w:tc>
        <w:tc>
          <w:tcPr>
            <w:tcW w:type="dxa" w:w="34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Azure PostgreSQL Flexible Server, restored from pg_dump</w:t>
            </w:r>
          </w:p>
        </w:tc>
        <w:tc>
          <w:tcPr>
            <w:tcW w:type="dxa" w:w="342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Engine (psycopg2) ports unchanged; Next.js side swaps the Neon-only serverless driver for node-postgres (small, contained change)</w:t>
            </w:r>
          </w:p>
        </w:tc>
      </w:tr>
      <w:tr>
        <w:tc>
          <w:tcPr>
            <w:tcW w:type="dxa" w:w="22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</w:t>
            </w:r>
          </w:p>
        </w:tc>
        <w:tc>
          <w:tcPr>
            <w:tcW w:type="dxa" w:w="34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Entra ID SSO replacing Clerk; internal JWT bridge to the engine kept unchanged</w:t>
            </w:r>
          </w:p>
        </w:tc>
        <w:tc>
          <w:tcPr>
            <w:tcW w:type="dxa" w:w="342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Keeping Clerk is faster short-term but leaves an external US SaaS user store inside a Henkel tool</w:t>
            </w:r>
          </w:p>
        </w:tc>
      </w:tr>
      <w:tr>
        <w:tc>
          <w:tcPr>
            <w:tcW w:type="dxa" w:w="22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Repo / CI</w:t>
            </w:r>
          </w:p>
        </w:tc>
        <w:tc>
          <w:tcPr>
            <w:tcW w:type="dxa" w:w="34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Henkel GitHub Enterprise or Azure DevOps; existing CI jobs carried over + image build + golden-pin gate</w:t>
            </w:r>
          </w:p>
        </w:tc>
        <w:tc>
          <w:tcPr>
            <w:tcW w:type="dxa" w:w="342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2"/>
      </w:pPr>
      <w:r>
        <w:t xml:space="preserve">3.1  “Same quality as scipy” — answered precisely</w:t>
      </w:r>
    </w:p>
    <w:p>
      <w:pPr>
        <w:spacing w:after="140"/>
      </w:pPr>
      <w:r>
        <w:rPr>
          <w:sz w:val="21"/>
          <w:szCs w:val="21"/>
        </w:rPr>
        <w:t xml:space="preserve">Numeric quality is a property of code + library versions + seed — not of the machine. The engine refuses to import without scipy; there is no approximation path. Therefore: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The worker uses the same repository and engine module as today's scripts/run_50k_prod.py — wrapped as a job, not rewritten.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The container image pins exact numpy/scipy versions; every run already records numerics_backend for the audit trail.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The golden-pin suite (MODEL_VERSION 2.8.0) runs on every image build — a container that would produce different numbers cannot ship; optionally also as job pre-flight.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Determinism: seed-42 multichain → a job-produced run is bit-identical to a laptop run on the same versions. That comparison is Phase 2's exit criterion.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Seed stability (3 independently-seeded chains) and integrity events persist with every run, unchanged.</w:t>
      </w:r>
    </w:p>
    <w:p>
      <w:pPr>
        <w:spacing w:after="140"/>
      </w:pPr>
      <w:r>
        <w:rPr>
          <w:sz w:val="21"/>
          <w:szCs w:val="21"/>
        </w:rPr>
        <w:t xml:space="preserve">This is strictly better than today's quality story: the runtime becomes reproducible infrastructure-as-code instead of one operator's laptop.</w:t>
      </w:r>
    </w:p>
    <w:p>
      <w:pPr>
        <w:pStyle w:val="Heading1"/>
      </w:pPr>
      <w:r>
        <w:t xml:space="preserve">4.  The AI layer in production</w:t>
      </w:r>
    </w:p>
    <w:p>
      <w:pPr>
        <w:pStyle w:val="Heading2"/>
      </w:pPr>
      <w:r>
        <w:t xml:space="preserve">4.1  Find new trends (scanner — weekly)</w:t>
      </w:r>
    </w:p>
    <w:p>
      <w:pPr>
        <w:spacing w:after="140"/>
      </w:pPr>
      <w:r>
        <w:rPr>
          <w:sz w:val="21"/>
          <w:szCs w:val="21"/>
        </w:rPr>
        <w:t xml:space="preserve">Per cycle: pull curated sources → LLM pass 1 (relevance, force, direction, affected categories) → dedupe against the live 99 trends and prior suggestions → LLM pass 2 (draft probability, impact, peak year, diffusion curve — as a suggestion object, never a trend) with mandatory source URL and evidence quote → ai_suggestions. Reviewers accept, edit or reject in the Trends2 inbox; accepted trends keep the AI chip until expert review; retirement candidates are flagged the same way. Every acceptance is audited, and the next run's input-drift event reports the change by construction.</w:t>
      </w:r>
    </w:p>
    <w:p>
      <w:pPr>
        <w:pStyle w:val="Heading2"/>
      </w:pPr>
      <w:r>
        <w:t xml:space="preserve">4.2  Re-score existing trends (calibrator — quarterly)</w:t>
      </w:r>
    </w:p>
    <w:p>
      <w:pPr>
        <w:spacing w:after="140"/>
      </w:pPr>
      <w:r>
        <w:rPr>
          <w:sz w:val="21"/>
          <w:szCs w:val="21"/>
        </w:rPr>
        <w:t xml:space="preserve">For each of the 99 trends: gather fresh signals, compare with current probability/impact, emit a suggestion with reasoning only where the delta is material. Scores age explicitly instead of silently.</w:t>
      </w:r>
    </w:p>
    <w:p>
      <w:pPr>
        <w:pStyle w:val="Heading2"/>
      </w:pPr>
      <w:r>
        <w:t xml:space="preserve">4.3  Narrate runs (narrator — on completion)</w:t>
      </w:r>
    </w:p>
    <w:p>
      <w:pPr>
        <w:spacing w:after="140"/>
      </w:pPr>
      <w:r>
        <w:rPr>
          <w:sz w:val="21"/>
          <w:szCs w:val="21"/>
        </w:rPr>
        <w:t xml:space="preserve">Executive readout per persisted run (“portfolio band moved +0.4pp vs previous run; driver: three Government-force re-scorings”) — relative % only, enforced twice (prompt firewall + the narrator's own rule), rendered with an explicit “AI narrative — generated, not simulated” label. Optional Teams/e-mail digest.</w:t>
      </w:r>
    </w:p>
    <w:p>
      <w:pPr>
        <w:pStyle w:val="Heading2"/>
      </w:pPr>
      <w:r>
        <w:t xml:space="preserve">4.4  What deliberately stays out</w:t>
      </w:r>
    </w:p>
    <w:p>
      <w:pPr>
        <w:spacing w:after="140"/>
      </w:pPr>
      <w:r>
        <w:rPr>
          <w:sz w:val="21"/>
          <w:szCs w:val="21"/>
        </w:rPr>
        <w:t xml:space="preserve">No auto-applied scores or config. No chat endpoint (owner-removed). No absolute financials in any prompt — the LLM never sees GP1/€ data. Consumer-Journey tiles remain strategist-authored. AI-policy/legal classification is a DX task, kept easy by design: no personal data, no internal financials, human review on every model-affecting output, full prompt/response audit log.</w:t>
      </w:r>
    </w:p>
    <w:p>
      <w:pPr>
        <w:pStyle w:val="Heading2"/>
      </w:pPr>
      <w:r>
        <w:t xml:space="preserve">4.5  LLM provider strategy (verified June 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6"/>
        <w:gridCol w:w="2300"/>
        <w:gridCol w:w="2300"/>
        <w:gridCol w:w="2300"/>
      </w:tblGrid>
      <w:tr>
        <w:tc>
          <w:tcPr>
            <w:tcW w:type="dxa" w:w="212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00345E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00345E"/>
                <w:sz w:val="19"/>
                <w:szCs w:val="19"/>
              </w:rPr>
              <w:t xml:space="preserve">Claude via Microsoft Foundry</w:t>
            </w:r>
          </w:p>
        </w:tc>
        <w:tc>
          <w:tcPr>
            <w:tcW w:type="dxa" w:w="23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00345E"/>
                <w:sz w:val="19"/>
                <w:szCs w:val="19"/>
              </w:rPr>
              <w:t xml:space="preserve">Azure OpenAI (Foundry)</w:t>
            </w:r>
          </w:p>
        </w:tc>
        <w:tc>
          <w:tcPr>
            <w:tcW w:type="dxa" w:w="23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00345E"/>
                <w:sz w:val="19"/>
                <w:szCs w:val="19"/>
              </w:rPr>
              <w:t xml:space="preserve">Gemini via Google Vertex AI</w:t>
            </w:r>
          </w:p>
        </w:tc>
      </w:tr>
      <w:tr>
        <w:tc>
          <w:tcPr>
            <w:tcW w:type="dxa" w:w="212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Access path</w:t>
            </w:r>
          </w:p>
        </w:tc>
        <w:tc>
          <w:tcPr>
            <w:tcW w:type="dxa" w:w="23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Native in the Foundry catalogue (serverless deployment, Foundry billing/governance)</w:t>
            </w:r>
          </w:p>
        </w:tc>
        <w:tc>
          <w:tcPr>
            <w:tcW w:type="dxa" w:w="23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Native Azure service</w:t>
            </w:r>
          </w:p>
        </w:tc>
        <w:tc>
          <w:tcPr>
            <w:tcW w:type="dxa" w:w="23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Requires Google Cloud tenancy + DPA — a third cloud vendor</w:t>
            </w:r>
          </w:p>
        </w:tc>
      </w:tr>
      <w:tr>
        <w:tc>
          <w:tcPr>
            <w:tcW w:type="dxa" w:w="212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EU data residency</w:t>
            </w:r>
          </w:p>
        </w:tc>
        <w:tc>
          <w:tcPr>
            <w:tcW w:type="dxa" w:w="23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Inference currently Anthropic-managed even in EU regions; EU-native Azure processing publicly targeted for 2026</w:t>
            </w:r>
          </w:p>
        </w:tc>
        <w:tc>
          <w:tcPr>
            <w:tcW w:type="dxa" w:w="23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Azure-native EU regions available today</w:t>
            </w:r>
          </w:p>
        </w:tc>
        <w:tc>
          <w:tcPr>
            <w:tcW w:type="dxa" w:w="23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EU multi-region endpoints; newest models reach EU multi-region first, single-region (DE) lags</w:t>
            </w:r>
          </w:p>
        </w:tc>
      </w:tr>
      <w:tr>
        <w:tc>
          <w:tcPr>
            <w:tcW w:type="dxa" w:w="212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Fit for PRISM</w:t>
            </w:r>
          </w:p>
        </w:tc>
        <w:tc>
          <w:tcPr>
            <w:tcW w:type="dxa" w:w="23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Strongest fit for nuanced trend classification and scoring judgment; stays inside the Microsoft procurement umbrella</w:t>
            </w:r>
          </w:p>
        </w:tc>
        <w:tc>
          <w:tcPr>
            <w:tcW w:type="dxa" w:w="23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Zero new vendors; safest residency story today</w:t>
            </w:r>
          </w:p>
        </w:tc>
        <w:tc>
          <w:tcPr>
            <w:tcW w:type="dxa" w:w="23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Only if Henkel already runs GCP workloads</w:t>
            </w:r>
          </w:p>
        </w:tc>
      </w:tr>
    </w:tbl>
    <w:p>
      <w:pPr>
        <w:spacing w:after="60"/>
      </w:pPr>
      <w:r>
        <w:rPr>
          <w:sz w:val="21"/>
          <w:szCs w:val="21"/>
        </w:rPr>
        <w:t xml:space="preserve"/>
      </w:r>
    </w:p>
    <w:p>
      <w:pPr>
        <w:spacing w:after="140"/>
      </w:pPr>
      <w:r>
        <w:rPr>
          <w:b/>
          <w:bCs/>
          <w:sz w:val="21"/>
          <w:szCs w:val="21"/>
        </w:rPr>
        <w:t xml:space="preserve">Recommendation: </w:t>
      </w:r>
      <w:r>
        <w:rPr>
          <w:sz w:val="21"/>
          <w:szCs w:val="21"/>
        </w:rPr>
        <w:t xml:space="preserve">keep pulse/ai/provider.py provider-agnostic (its design) and configure two providers at launch — Claude-in-Foundry primary, Azure OpenAI fallback (automatic failover = resilience + procurement leverage). Add a Gemini provider only if a GCP relationship exists. Either way: move model names/API versions from hardcoded defaults to environment configuration and refresh the stale strings.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Cost, order of magnitude </w:t>
      </w:r>
      <w:r>
        <w:rPr>
          <w:i/>
          <w:iCs/>
          <w:sz w:val="21"/>
          <w:szCs w:val="21"/>
        </w:rPr>
        <w:t xml:space="preserve">(estimate — token arithmetic at June-2026 list prices; DX to validate against EA rates): LLM total well under €100/month (weekly scan ≈ 200 articles × ~2k tokens × 2 passes; narration negligible). Infrastructure ≈ €200–500/month depending on tiers. Simulation compute is minutes per month — irrelevant.</w:t>
      </w:r>
    </w:p>
    <w:p>
      <w:pPr>
        <w:pStyle w:val="Heading1"/>
      </w:pPr>
      <w:r>
        <w:t xml:space="preserve">5.  Governance — what transfers, what's added</w:t>
      </w:r>
    </w:p>
    <w:p>
      <w:pPr>
        <w:spacing w:after="140"/>
      </w:pPr>
      <w:r>
        <w:rPr>
          <w:sz w:val="21"/>
          <w:szCs w:val="21"/>
        </w:rPr>
        <w:t xml:space="preserve">Unchanged: trend-scoring RACI (Category Leads R, Strategy VP A), admin-only audited config writes, provenance chips, integrity events, honest-display rules, and the open-by-decision register (no predictive-validity claims). Added: DX owns platform/SLA/security; a named suggestion-review owner per force or category (default: existing Category Leads); a monthly model-health glance — drift events, suggestion acceptance rate, calibrator deltas — largely surfaced by the existing integrity chip.</w:t>
      </w:r>
    </w:p>
    <w:p>
      <w:pPr>
        <w:pStyle w:val="Heading1"/>
      </w:pPr>
      <w:r>
        <w:t xml:space="preserve">6.  Migration plan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226"/>
        <w:gridCol w:w="2500"/>
        <w:gridCol w:w="1000"/>
      </w:tblGrid>
      <w:tr>
        <w:tc>
          <w:tcPr>
            <w:tcW w:type="dxa" w:w="13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00345E"/>
                <w:sz w:val="19"/>
                <w:szCs w:val="19"/>
              </w:rPr>
              <w:t xml:space="preserve">Phase</w:t>
            </w:r>
          </w:p>
        </w:tc>
        <w:tc>
          <w:tcPr>
            <w:tcW w:type="dxa" w:w="422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00345E"/>
                <w:sz w:val="19"/>
                <w:szCs w:val="19"/>
              </w:rPr>
              <w:t xml:space="preserve">Scope</w:t>
            </w:r>
          </w:p>
        </w:tc>
        <w:tc>
          <w:tcPr>
            <w:tcW w:type="dxa" w:w="2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00345E"/>
                <w:sz w:val="19"/>
                <w:szCs w:val="19"/>
              </w:rPr>
              <w:t xml:space="preserve">Exit criterion</w:t>
            </w:r>
          </w:p>
        </w:tc>
        <w:tc>
          <w:tcPr>
            <w:tcW w:type="dxa" w:w="10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00345E"/>
                <w:sz w:val="19"/>
                <w:szCs w:val="19"/>
              </w:rPr>
              <w:t xml:space="preserve">Effort*</w:t>
            </w:r>
          </w:p>
        </w:tc>
      </w:tr>
      <w:tr>
        <w:tc>
          <w:tcPr>
            <w:tcW w:type="dxa" w:w="13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0 — Prep</w:t>
            </w:r>
          </w:p>
        </w:tc>
        <w:tc>
          <w:tcPr>
            <w:tcW w:type="dxa" w:w="422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Fresh-history repo transfer to the Henkel org; secret rotation; pg_dump → Azure PG restore; CI green in the Henkel org</w:t>
            </w:r>
          </w:p>
        </w:tc>
        <w:tc>
          <w:tcPr>
            <w:tcW w:type="dxa" w:w="2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CI (typecheck/lint/vitest/pytest incl. golden pins) green on Henkel infra</w:t>
            </w:r>
          </w:p>
        </w:tc>
        <w:tc>
          <w:tcPr>
            <w:tcW w:type="dxa" w:w="10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~1 wk</w:t>
            </w:r>
          </w:p>
        </w:tc>
      </w:tr>
      <w:tr>
        <w:tc>
          <w:tcPr>
            <w:tcW w:type="dxa" w:w="13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1 — Lift &amp; host</w:t>
            </w:r>
          </w:p>
        </w:tc>
        <w:tc>
          <w:tcPr>
            <w:tcW w:type="dxa" w:w="422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Containerize Next.js + FastAPI; App Service + Front Door; Key Vault + managed identities; Neon-driver → pg swap; Entra ID SSO; App Insights</w:t>
            </w:r>
          </w:p>
        </w:tc>
        <w:tc>
          <w:tcPr>
            <w:tcW w:type="dxa" w:w="2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Dashboard renders the migrated run inside the Henkel network; smoke tests pass; old stack frozen</w:t>
            </w:r>
          </w:p>
        </w:tc>
        <w:tc>
          <w:tcPr>
            <w:tcW w:type="dxa" w:w="10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2–4 wks</w:t>
            </w:r>
          </w:p>
        </w:tc>
      </w:tr>
      <w:tr>
        <w:tc>
          <w:tcPr>
            <w:tcW w:type="dxa" w:w="13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2 — Online compute</w:t>
            </w:r>
          </w:p>
        </w:tc>
        <w:tc>
          <w:tcPr>
            <w:tcW w:type="dxa" w:w="422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Worker image (scipy pinned); Container Apps Job + queue; admin “Run simulation” → enqueue → status; monthly schedule; golden-pin pre-flight</w:t>
            </w:r>
          </w:p>
        </w:tc>
        <w:tc>
          <w:tcPr>
            <w:tcW w:type="dxa" w:w="2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Job-produced run bit-identical to a reference CLI run (same seed/versions); CLI demoted to break-glass</w:t>
            </w:r>
          </w:p>
        </w:tc>
        <w:tc>
          <w:tcPr>
            <w:tcW w:type="dxa" w:w="10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2–3 wks</w:t>
            </w:r>
          </w:p>
        </w:tc>
      </w:tr>
      <w:tr>
        <w:tc>
          <w:tcPr>
            <w:tcW w:type="dxa" w:w="13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3 — Living intelligence</w:t>
            </w:r>
          </w:p>
        </w:tc>
        <w:tc>
          <w:tcPr>
            <w:tcW w:type="dxa" w:w="422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Scanner job + suggestion inbox in Trends2; quarterly calibrator; narrator on run completion; dual-provider config + failover test; prompt/response audit surfacing</w:t>
            </w:r>
          </w:p>
        </w:tc>
        <w:tc>
          <w:tcPr>
            <w:tcW w:type="dxa" w:w="2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First AI-suggested trend accepted by a human reviewer, visible drift event, reflected in the next run's narrative</w:t>
            </w:r>
          </w:p>
        </w:tc>
        <w:tc>
          <w:tcPr>
            <w:tcW w:type="dxa" w:w="10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4–6 wks</w:t>
            </w:r>
          </w:p>
        </w:tc>
      </w:tr>
      <w:tr>
        <w:tc>
          <w:tcPr>
            <w:tcW w:type="dxa" w:w="13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4 — Backlog</w:t>
            </w:r>
          </w:p>
        </w:tc>
        <w:tc>
          <w:tcPr>
            <w:tcW w:type="dxa" w:w="422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Home-Care journey, per-year journey decomposition, White-Spot server persistence, PPTX export route, wider source integrations</w:t>
            </w:r>
          </w:p>
        </w:tc>
        <w:tc>
          <w:tcPr>
            <w:tcW w:type="dxa" w:w="2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Owner-gated, as prioritized</w:t>
            </w:r>
          </w:p>
        </w:tc>
        <w:tc>
          <w:tcPr>
            <w:tcW w:type="dxa" w:w="10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40"/>
      </w:pPr>
      <w:r>
        <w:rPr>
          <w:i/>
          <w:iCs/>
          <w:color w:val="555555"/>
          <w:sz w:val="18"/>
          <w:szCs w:val="18"/>
        </w:rPr>
        <w:t xml:space="preserve">* One full-stack developer + part-time DevOps; grades are estimates, not quotes.</w:t>
      </w:r>
    </w:p>
    <w:p>
      <w:pPr>
        <w:pStyle w:val="Heading1"/>
      </w:pPr>
      <w:r>
        <w:t xml:space="preserve">7.  Risks &amp; mitigations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c>
          <w:tcPr>
            <w:tcW w:type="dxa" w:w="33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00345E"/>
                <w:sz w:val="19"/>
                <w:szCs w:val="19"/>
              </w:rPr>
              <w:t xml:space="preserve">Risk</w:t>
            </w:r>
          </w:p>
        </w:tc>
        <w:tc>
          <w:tcPr>
            <w:tcW w:type="dxa" w:w="572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00345E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33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Claude-in-Foundry EU residency not yet Azure-native</w:t>
            </w:r>
          </w:p>
        </w:tc>
        <w:tc>
          <w:tcPr>
            <w:tcW w:type="dxa" w:w="572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If blocking per Henkel policy: launch with Azure OpenAI primary, flip to Claude when EU-native lands — a config change under the provider abstraction</w:t>
            </w:r>
          </w:p>
        </w:tc>
      </w:tr>
      <w:tr>
        <w:tc>
          <w:tcPr>
            <w:tcW w:type="dxa" w:w="33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LLM hallucination / junk suggestions</w:t>
            </w:r>
          </w:p>
        </w:tc>
        <w:tc>
          <w:tcPr>
            <w:tcW w:type="dxa" w:w="572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Mandatory source URL + evidence quote; confidence ranking; weekly cap; human accept-gate; provenance chips; full audit log</w:t>
            </w:r>
          </w:p>
        </w:tc>
      </w:tr>
      <w:tr>
        <w:tc>
          <w:tcPr>
            <w:tcW w:type="dxa" w:w="33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Scanner noise drowns reviewers</w:t>
            </w:r>
          </w:p>
        </w:tc>
        <w:tc>
          <w:tcPr>
            <w:tcW w:type="dxa" w:w="572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Curated source list + dedupe + cap; tune monthly against acceptance rate</w:t>
            </w:r>
          </w:p>
        </w:tc>
      </w:tr>
      <w:tr>
        <w:tc>
          <w:tcPr>
            <w:tcW w:type="dxa" w:w="33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Numeric drift across environments</w:t>
            </w:r>
          </w:p>
        </w:tc>
        <w:tc>
          <w:tcPr>
            <w:tcW w:type="dxa" w:w="572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Pinned image + golden-pin CI gate + pre-flight + numerics_backend per run + Phase-2 bit-identity test</w:t>
            </w:r>
          </w:p>
        </w:tc>
      </w:tr>
      <w:tr>
        <w:tc>
          <w:tcPr>
            <w:tcW w:type="dxa" w:w="33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Clerk → Entra migration friction</w:t>
            </w:r>
          </w:p>
        </w:tc>
        <w:tc>
          <w:tcPr>
            <w:tcW w:type="dxa" w:w="572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Small user base; run both for one sprint behind a feature flag; engine JWT bridge unchanged</w:t>
            </w:r>
          </w:p>
        </w:tc>
      </w:tr>
      <w:tr>
        <w:tc>
          <w:tcPr>
            <w:tcW w:type="dxa" w:w="33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Model-string / API churn</w:t>
            </w:r>
          </w:p>
        </w:tc>
        <w:tc>
          <w:tcPr>
            <w:tcW w:type="dxa" w:w="572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Provider config from environment, not code; failover provider configured</w:t>
            </w:r>
          </w:p>
        </w:tc>
      </w:tr>
      <w:tr>
        <w:tc>
          <w:tcPr>
            <w:tcW w:type="dxa" w:w="33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Cost creep</w:t>
            </w:r>
          </w:p>
        </w:tc>
        <w:tc>
          <w:tcPr>
            <w:tcW w:type="dxa" w:w="572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Budget alerts on the resource group; LLM spend metered and logged per call</w:t>
            </w:r>
          </w:p>
        </w:tc>
      </w:tr>
      <w:tr>
        <w:tc>
          <w:tcPr>
            <w:tcW w:type="dxa" w:w="33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Golden pins regenerated to “fix” CI</w:t>
            </w:r>
          </w:p>
        </w:tc>
        <w:tc>
          <w:tcPr>
            <w:tcW w:type="dxa" w:w="572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Pin regeneration requires owner sign-off — same discipline as today, now organizationally enforced (HANDOVER.md §6)</w:t>
            </w:r>
          </w:p>
        </w:tc>
      </w:tr>
    </w:tbl>
    <w:p>
      <w:pPr>
        <w:pStyle w:val="Heading1"/>
      </w:pPr>
      <w:r>
        <w:t xml:space="preserve">8.  Decisions requested from DX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1"/>
          <w:szCs w:val="21"/>
        </w:rPr>
        <w:t xml:space="preserve">Confirm Azure landing zone + Container Apps availability (else: AKS variant of the same design).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1"/>
          <w:szCs w:val="21"/>
        </w:rPr>
        <w:t xml:space="preserve">Entra ID at Phase 1 vs. keeping Clerk one more quarter.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1"/>
          <w:szCs w:val="21"/>
        </w:rPr>
        <w:t xml:space="preserve">GitHub Enterprise vs. Azure DevOps for repo/CI.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1"/>
          <w:szCs w:val="21"/>
        </w:rPr>
        <w:t xml:space="preserve">Primary LLM provider per Henkel AI policy (recommendation: Claude-in-Foundry primary / Azure OpenAI fallback) and AI-policy/legal classification of the scanner use case.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1"/>
          <w:szCs w:val="21"/>
        </w:rPr>
        <w:t xml:space="preserve">Scan cadence + suggestion-review ownership (proposal: weekly, capped at 10, Category Leads review).</w:t>
      </w:r>
    </w:p>
    <w:p>
      <w:pPr>
        <w:pStyle w:val="Heading1"/>
      </w:pPr>
      <w:r>
        <w:t xml:space="preserve">Sources (provider facts, verified 2026-06-11)</w:t>
      </w:r>
    </w:p>
    <w:p>
      <w:pPr>
        <w:spacing w:after="60"/>
      </w:pPr>
      <w:hyperlink w:history="1" r:id="rIde19vknlukoloz9dnnu9j2">
        <w:r>
          <w:rPr>
            <w:rStyle w:val="Hyperlink"/>
            <w:sz w:val="19"/>
            <w:szCs w:val="19"/>
          </w:rPr>
          <w:t xml:space="preserve">Deploy and use Claude models in Microsoft Foundry — Microsoft Learn</w:t>
        </w:r>
      </w:hyperlink>
    </w:p>
    <w:p>
      <w:pPr>
        <w:spacing w:after="60"/>
      </w:pPr>
      <w:hyperlink w:history="1" r:id="rIdbkoghb8kbzxouowx6wtku">
        <w:r>
          <w:rPr>
            <w:rStyle w:val="Hyperlink"/>
            <w:sz w:val="19"/>
            <w:szCs w:val="19"/>
          </w:rPr>
          <w:t xml:space="preserve">Claude in Microsoft Foundry — Claude API Docs</w:t>
        </w:r>
      </w:hyperlink>
    </w:p>
    <w:p>
      <w:pPr>
        <w:spacing w:after="60"/>
      </w:pPr>
      <w:hyperlink w:history="1" r:id="rIdwrklicqqycxhiwvivncmp">
        <w:r>
          <w:rPr>
            <w:rStyle w:val="Hyperlink"/>
            <w:sz w:val="19"/>
            <w:szCs w:val="19"/>
          </w:rPr>
          <w:t xml:space="preserve">Introducing Anthropic's Claude models in Microsoft Foundry — Microsoft Azure Blog</w:t>
        </w:r>
      </w:hyperlink>
    </w:p>
    <w:p>
      <w:pPr>
        <w:spacing w:after="60"/>
      </w:pPr>
      <w:hyperlink w:history="1" r:id="rIdw14msllxz5vwtzj0_ht3x">
        <w:r>
          <w:rPr>
            <w:rStyle w:val="Hyperlink"/>
            <w:sz w:val="19"/>
            <w:szCs w:val="19"/>
          </w:rPr>
          <w:t xml:space="preserve">Timeline for Claude in Microsoft Foundry on Azure EU infrastructure — Microsoft Q&amp;A</w:t>
        </w:r>
      </w:hyperlink>
    </w:p>
    <w:p>
      <w:pPr>
        <w:spacing w:after="60"/>
      </w:pPr>
      <w:hyperlink w:history="1" r:id="rId8evcpsqkj2llk182-kfxf">
        <w:r>
          <w:rPr>
            <w:rStyle w:val="Hyperlink"/>
            <w:sz w:val="19"/>
            <w:szCs w:val="19"/>
          </w:rPr>
          <w:t xml:space="preserve">Claude now available in Microsoft Foundry — Anthropic</w:t>
        </w:r>
      </w:hyperlink>
    </w:p>
    <w:p>
      <w:pPr>
        <w:spacing w:after="60"/>
      </w:pPr>
      <w:hyperlink w:history="1" r:id="rIdnkipw7l-nbryj7i3tltzq">
        <w:r>
          <w:rPr>
            <w:rStyle w:val="Hyperlink"/>
            <w:sz w:val="19"/>
            <w:szCs w:val="19"/>
          </w:rPr>
          <w:t xml:space="preserve">Gemini / Vertex AI data residency — Google Cloud Documentation</w:t>
        </w:r>
      </w:hyperlink>
    </w:p>
    <w:p>
      <w:pPr>
        <w:spacing w:after="240"/>
      </w:pPr>
      <w:hyperlink w:history="1" r:id="rIdjc1pgcggspnnke-4uaksa">
        <w:r>
          <w:rPr>
            <w:rStyle w:val="Hyperlink"/>
            <w:sz w:val="19"/>
            <w:szCs w:val="19"/>
          </w:rPr>
          <w:t xml:space="preserve">Gemini Enterprise data residency locations — Google Cloud Documentation</w:t>
        </w:r>
      </w:hyperlink>
    </w:p>
    <w:p>
      <w:pPr>
        <w:spacing w:after="140"/>
      </w:pPr>
      <w:r>
        <w:rPr>
          <w:i/>
          <w:iCs/>
          <w:color w:val="555555"/>
          <w:sz w:val="18"/>
          <w:szCs w:val="18"/>
        </w:rPr>
        <w:t xml:space="preserve">Internal references: CLAUDE.md (v3.7 spec), HANDOVER.md, pulse/ai/ source, docs/SCANNER_API.md, AI_QUICKSTART.md.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55555"/>
        <w:sz w:val="16"/>
        <w:szCs w:val="16"/>
      </w:rPr>
      <w:t xml:space="preserve">Internal — Henkel Consumer Brands × DX</w:t>
    </w:r>
    <w:r>
      <w:rPr>
        <w:color w:val="555555"/>
        <w:sz w:val="16"/>
        <w:szCs w:val="16"/>
      </w:rPr>
      <w:t xml:space="preserve">	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6"/>
        <w:szCs w:val="16"/>
      </w:rPr>
      <w:t xml:space="preserve"> of </w:t>
    </w:r>
    <w:r>
      <w:rPr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345E" w:sz="4" w:space="2"/>
      </w:pBdr>
      <w:tabs>
        <w:tab w:val="right" w:pos="9026"/>
      </w:tabs>
    </w:pPr>
    <w:r>
      <w:rPr>
        <w:b/>
        <w:bCs/>
        <w:color w:val="00345E"/>
        <w:sz w:val="17"/>
        <w:szCs w:val="17"/>
      </w:rPr>
      <w:t xml:space="preserve">PRISM — Online Operating Concept</w:t>
    </w:r>
    <w:r>
      <w:rPr>
        <w:color w:val="555555"/>
        <w:sz w:val="17"/>
        <w:szCs w:val="17"/>
      </w:rPr>
      <w:t xml:space="preserve">	v1.0 · 2026-06-11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0345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0345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e19vknlukoloz9dnnu9j2" Type="http://schemas.openxmlformats.org/officeDocument/2006/relationships/hyperlink" Target="https://learn.microsoft.com/en-us/azure/foundry/foundry-models/how-to/use-foundry-models-claude" TargetMode="External"/><Relationship Id="rIdbkoghb8kbzxouowx6wtku" Type="http://schemas.openxmlformats.org/officeDocument/2006/relationships/hyperlink" Target="https://platform.claude.com/docs/en/build-with-claude/claude-in-microsoft-foundry" TargetMode="External"/><Relationship Id="rIdwrklicqqycxhiwvivncmp" Type="http://schemas.openxmlformats.org/officeDocument/2006/relationships/hyperlink" Target="https://azure.microsoft.com/en-us/blog/introducing-anthropics-claude-models-in-microsoft-foundry-bringing-frontier-intelligence-to-azure/" TargetMode="External"/><Relationship Id="rIdw14msllxz5vwtzj0_ht3x" Type="http://schemas.openxmlformats.org/officeDocument/2006/relationships/hyperlink" Target="https://learn.microsoft.com/en-us/answers/questions/5867930/timeline-for-claude-in-microsoft-foundry-to-run-on" TargetMode="External"/><Relationship Id="rId8evcpsqkj2llk182-kfxf" Type="http://schemas.openxmlformats.org/officeDocument/2006/relationships/hyperlink" Target="https://www.anthropic.com/news/claude-in-microsoft-foundry" TargetMode="External"/><Relationship Id="rIdnkipw7l-nbryj7i3tltzq" Type="http://schemas.openxmlformats.org/officeDocument/2006/relationships/hyperlink" Target="https://docs.cloud.google.com/vertex-ai/generative-ai/docs/learn/data-residency" TargetMode="External"/><Relationship Id="rIdjc1pgcggspnnke-4uaksa" Type="http://schemas.openxmlformats.org/officeDocument/2006/relationships/hyperlink" Target="https://docs.cloud.google.com/gemini/enterprise/docs/locations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2026-06-11T19:46:07.992Z</dcterms:created>
  <dcterms:modified xsi:type="dcterms:W3CDTF">2026-06-11T19:46:07.992Z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