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pBdr>
          <w:bottom w:val="single" w:color="CC0000" w:sz="12" w:space="8"/>
        </w:pBdr>
        <w:spacing w:after="0"/>
        <w:jc w:val="left"/>
      </w:pPr>
      <w:r>
        <w:rPr>
          <w:rFonts w:ascii="Arial" w:cs="Arial" w:eastAsia="Arial" w:hAnsi="Arial"/>
          <w:b/>
          <w:bCs/>
          <w:color w:val="1A5276"/>
          <w:sz w:val="72"/>
          <w:szCs w:val="72"/>
        </w:rPr>
        <w:t xml:space="preserve">PRISM</w:t>
      </w:r>
    </w:p>
    <w:p>
      <w:pPr>
        <w:spacing w:after="80" w:before="200"/>
        <w:jc w:val="left"/>
      </w:pPr>
      <w:r>
        <w:rPr>
          <w:rFonts w:ascii="Arial" w:cs="Arial" w:eastAsia="Arial" w:hAnsi="Arial"/>
          <w:color w:val="333333"/>
          <w:sz w:val="32"/>
          <w:szCs w:val="32"/>
        </w:rPr>
        <w:t xml:space="preserve">Profit Pool Risk &amp; Intelligence Simulation Model</w:t>
      </w:r>
    </w:p>
    <w:p>
      <w:pPr>
        <w:spacing w:after="80"/>
      </w:pPr>
    </w:p>
    <w:p>
      <w:pPr>
        <w:spacing w:after="60"/>
        <w:jc w:val="left"/>
      </w:pPr>
      <w:r>
        <w:rPr>
          <w:rFonts w:ascii="Arial" w:cs="Arial" w:eastAsia="Arial" w:hAnsi="Arial"/>
          <w:color w:val="666666"/>
          <w:sz w:val="26"/>
          <w:szCs w:val="26"/>
        </w:rPr>
        <w:t xml:space="preserve">Methodology Documentation &amp; Technical Reference</w:t>
      </w:r>
    </w:p>
    <w:p>
      <w:pPr>
        <w:spacing w:after="60"/>
      </w:pPr>
      <w:r>
        <w:rPr>
          <w:rFonts w:ascii="Arial" w:cs="Arial" w:eastAsia="Arial" w:hAnsi="Arial"/>
          <w:color w:val="666666"/>
          <w:sz w:val="22"/>
          <w:szCs w:val="22"/>
        </w:rPr>
        <w:t xml:space="preserve">Final Deliverable — Project Close-Out</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pBdr>
          <w:bottom w:val="single" w:color="CC0000" w:sz="6" w:space="1"/>
        </w:pBdr>
        <w:spacing w:after="200" w:before="200"/>
      </w:pPr>
    </w:p>
    <w:p>
      <w:pPr>
        <w:spacing w:after="60"/>
      </w:pPr>
      <w:r>
        <w:rPr>
          <w:rFonts w:ascii="Arial" w:cs="Arial" w:eastAsia="Arial" w:hAnsi="Arial"/>
          <w:color w:val="666666"/>
          <w:sz w:val="20"/>
          <w:szCs w:val="20"/>
        </w:rPr>
        <w:t xml:space="preserve">Prepared for: </w:t>
      </w:r>
      <w:r>
        <w:rPr>
          <w:rFonts w:ascii="Arial" w:cs="Arial" w:eastAsia="Arial" w:hAnsi="Arial"/>
          <w:b/>
          <w:bCs/>
          <w:color w:val="333333"/>
          <w:sz w:val="20"/>
          <w:szCs w:val="20"/>
        </w:rPr>
        <w:t xml:space="preserve">Henkel Consumer Brands — Global Strategy</w:t>
      </w:r>
    </w:p>
    <w:p>
      <w:pPr>
        <w:spacing w:after="60"/>
      </w:pPr>
      <w:r>
        <w:rPr>
          <w:rFonts w:ascii="Arial" w:cs="Arial" w:eastAsia="Arial" w:hAnsi="Arial"/>
          <w:color w:val="666666"/>
          <w:sz w:val="20"/>
          <w:szCs w:val="20"/>
        </w:rPr>
        <w:t xml:space="preserve">Prepared by: </w:t>
      </w:r>
      <w:r>
        <w:rPr>
          <w:rFonts w:ascii="Arial" w:cs="Arial" w:eastAsia="Arial" w:hAnsi="Arial"/>
          <w:b/>
          <w:bCs/>
          <w:color w:val="333333"/>
          <w:sz w:val="20"/>
          <w:szCs w:val="20"/>
        </w:rPr>
        <w:t xml:space="preserve">Strategy × Technology × Quant Partnership</w:t>
      </w:r>
    </w:p>
    <w:p>
      <w:pPr>
        <w:spacing w:after="60"/>
      </w:pPr>
      <w:r>
        <w:rPr>
          <w:rFonts w:ascii="Arial" w:cs="Arial" w:eastAsia="Arial" w:hAnsi="Arial"/>
          <w:color w:val="666666"/>
          <w:sz w:val="20"/>
          <w:szCs w:val="20"/>
        </w:rPr>
        <w:t xml:space="preserve">Date: </w:t>
      </w:r>
      <w:r>
        <w:rPr>
          <w:rFonts w:ascii="Arial" w:cs="Arial" w:eastAsia="Arial" w:hAnsi="Arial"/>
          <w:b/>
          <w:bCs/>
          <w:color w:val="333333"/>
          <w:sz w:val="20"/>
          <w:szCs w:val="20"/>
        </w:rPr>
        <w:t xml:space="preserve">April 2026</w:t>
      </w:r>
    </w:p>
    <w:p>
      <w:pPr>
        <w:spacing w:after="60"/>
      </w:pPr>
      <w:r>
        <w:rPr>
          <w:rFonts w:ascii="Arial" w:cs="Arial" w:eastAsia="Arial" w:hAnsi="Arial"/>
          <w:color w:val="666666"/>
          <w:sz w:val="20"/>
          <w:szCs w:val="20"/>
        </w:rPr>
        <w:t xml:space="preserve">Classification: </w:t>
      </w:r>
      <w:r>
        <w:rPr>
          <w:rFonts w:ascii="Arial" w:cs="Arial" w:eastAsia="Arial" w:hAnsi="Arial"/>
          <w:b/>
          <w:bCs/>
          <w:color w:val="CC0000"/>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2"/>
          <w:szCs w:val="32"/>
        </w:rPr>
        <w:t xml:space="preserve">1. Executive Summary</w:t>
      </w:r>
    </w:p>
    <w:p>
      <w:pPr>
        <w:spacing w:after="140" w:line="300"/>
      </w:pPr>
      <w:r>
        <w:rPr>
          <w:rFonts w:ascii="Arial" w:cs="Arial" w:eastAsia="Arial" w:hAnsi="Arial"/>
          <w:color w:val="333333"/>
          <w:sz w:val="22"/>
          <w:szCs w:val="22"/>
        </w:rPr>
        <w:t xml:space="preserve">PRISM (Profit Pool Risk &amp; Intelligence Simulation Model) is Henkel Consumer Brands’ AI-augmented profit pool simulation engine. It transforms a static Excel-based strategic force assessment into a living, probabilistic, causally-structured decision platform.</w:t>
      </w:r>
    </w:p>
    <w:p>
      <w:pPr>
        <w:spacing w:after="140" w:line="300"/>
      </w:pPr>
      <w:r>
        <w:rPr>
          <w:rFonts w:ascii="Arial" w:cs="Arial" w:eastAsia="Arial" w:hAnsi="Arial"/>
          <w:color w:val="333333"/>
          <w:sz w:val="22"/>
          <w:szCs w:val="22"/>
        </w:rPr>
        <w:t xml:space="preserve">This document explains — in plain language — what PRISM does, how it works, what data it uses, and how its outputs should be interpreted. It is designed so that a reader without programming experience can understand the mechanics inside the system and make informed decisions based on its outputs.</w:t>
      </w:r>
    </w:p>
    <w:p>
      <w:pPr>
        <w:pStyle w:val="Heading2"/>
        <w:spacing w:after="160" w:before="280"/>
      </w:pPr>
      <w:r>
        <w:rPr>
          <w:rFonts w:ascii="Arial" w:cs="Arial" w:eastAsia="Arial" w:hAnsi="Arial"/>
          <w:b/>
          <w:bCs/>
          <w:color w:val="333333"/>
          <w:sz w:val="26"/>
          <w:szCs w:val="26"/>
        </w:rPr>
        <w:t xml:space="preserve">1.1 What Problem Does PRISM Solve?</w:t>
      </w:r>
    </w:p>
    <w:p>
      <w:pPr>
        <w:spacing w:after="140" w:line="300"/>
      </w:pPr>
      <w:r>
        <w:rPr>
          <w:rFonts w:ascii="Arial" w:cs="Arial" w:eastAsia="Arial" w:hAnsi="Arial"/>
          <w:color w:val="333333"/>
          <w:sz w:val="22"/>
          <w:szCs w:val="22"/>
        </w:rPr>
        <w:t xml:space="preserve">Strategic planning at Henkel Consumer Brands relies on a force assessment (the “V12 Excel”) that evaluates 55 market trends across six strategic forces. The Excel model produces a single point estimate of profit pool shifts per category. This approach has three fundamental limitations:</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 uncertainty:</w:t>
      </w:r>
      <w:r>
        <w:rPr>
          <w:rFonts w:ascii="Arial" w:cs="Arial" w:eastAsia="Arial" w:hAnsi="Arial"/>
          <w:color w:val="333333"/>
          <w:sz w:val="22"/>
          <w:szCs w:val="22"/>
        </w:rPr>
        <w:t xml:space="preserve"> A single number (“-3.2%”) hides the range of possible outcomes. Is the true range -1% to -5%, or -0.5% to -15%? The distinction matters for resource allocation.</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 causal structure:</w:t>
      </w:r>
      <w:r>
        <w:rPr>
          <w:rFonts w:ascii="Arial" w:cs="Arial" w:eastAsia="Arial" w:hAnsi="Arial"/>
          <w:color w:val="333333"/>
          <w:sz w:val="22"/>
          <w:szCs w:val="22"/>
        </w:rPr>
        <w:t xml:space="preserve"> Forces are treated as independent channels. In reality, a regulatory shock in Government propagates to Technology (reformulation costs), Customer (shelf price), and Consumer (behavior). Independent treatment underestimates compound risk.</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 path dynamics:</w:t>
      </w:r>
      <w:r>
        <w:rPr>
          <w:rFonts w:ascii="Arial" w:cs="Arial" w:eastAsia="Arial" w:hAnsi="Arial"/>
          <w:color w:val="333333"/>
          <w:sz w:val="22"/>
          <w:szCs w:val="22"/>
        </w:rPr>
        <w:t xml:space="preserve"> The Excel model shows where you end up (2028, 2030) but not how fast you get there. A -5% shift arriving gradually over four years requires a different response than -5% from a regulatory cliff in a single year.</w:t>
      </w:r>
    </w:p>
    <w:p>
      <w:pPr>
        <w:spacing w:after="140" w:line="300"/>
      </w:pPr>
      <w:r>
        <w:rPr>
          <w:rFonts w:ascii="Arial" w:cs="Arial" w:eastAsia="Arial" w:hAnsi="Arial"/>
          <w:color w:val="333333"/>
          <w:sz w:val="22"/>
          <w:szCs w:val="22"/>
        </w:rPr>
        <w:t xml:space="preserve">PRISM addresses all three by replacing point estimates with full probability distributions, modeling causal interdependencies between forces, and computing continuous annual paths from 2026 through 2030.</w:t>
      </w:r>
    </w:p>
    <w:p>
      <w:pPr>
        <w:pStyle w:val="Heading2"/>
        <w:spacing w:after="160" w:before="280"/>
      </w:pPr>
      <w:r>
        <w:rPr>
          <w:rFonts w:ascii="Arial" w:cs="Arial" w:eastAsia="Arial" w:hAnsi="Arial"/>
          <w:b/>
          <w:bCs/>
          <w:color w:val="333333"/>
          <w:sz w:val="26"/>
          <w:szCs w:val="26"/>
        </w:rPr>
        <w:t xml:space="preserve">1.2 The Core Output: The Shift Matrix</w:t>
      </w:r>
    </w:p>
    <w:p>
      <w:pPr>
        <w:spacing w:after="140" w:line="300"/>
      </w:pPr>
      <w:r>
        <w:rPr>
          <w:rFonts w:ascii="Arial" w:cs="Arial" w:eastAsia="Arial" w:hAnsi="Arial"/>
          <w:color w:val="333333"/>
          <w:sz w:val="22"/>
          <w:szCs w:val="22"/>
        </w:rPr>
        <w:t xml:space="preserve">PRISM’s primary deliverable is the </w:t>
      </w:r>
      <w:r>
        <w:rPr>
          <w:rFonts w:ascii="Arial" w:cs="Arial" w:eastAsia="Arial" w:hAnsi="Arial"/>
          <w:b/>
          <w:bCs/>
          <w:color w:val="333333"/>
          <w:sz w:val="22"/>
          <w:szCs w:val="22"/>
        </w:rPr>
        <w:t xml:space="preserve">Shift Matrix</w:t>
      </w:r>
      <w:r>
        <w:rPr>
          <w:rFonts w:ascii="Arial" w:cs="Arial" w:eastAsia="Arial" w:hAnsi="Arial"/>
          <w:color w:val="333333"/>
          <w:sz w:val="22"/>
          <w:szCs w:val="22"/>
        </w:rPr>
        <w:t xml:space="preserve"> — a structured table showing projected percentage shifts in profit pool (GP1) for each of Henkel’s 12 product categories, across five years, at multiple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0" w:line="300"/>
            </w:pPr>
            <w:r>
              <w:rPr>
                <w:rFonts w:ascii="Arial" w:cs="Arial" w:eastAsia="Arial" w:hAnsi="Arial"/>
                <w:i/>
                <w:iCs/>
                <w:color w:val="1A5276"/>
                <w:sz w:val="22"/>
                <w:szCs w:val="22"/>
              </w:rPr>
              <w:t xml:space="preserve">Key design principle: PRISM works exclusively with percentage shifts and relative values. It never touches, stores, or outputs absolute financial figures (€M). Users apply the percentage shifts to their own financial models in Excel or Power BI.</w:t>
            </w:r>
          </w:p>
        </w:tc>
      </w:tr>
    </w:tbl>
    <w:p>
      <w:pPr>
        <w:spacing w:after="80"/>
      </w:pPr>
    </w:p>
    <w:p>
      <w:pPr>
        <w:spacing w:after="140" w:line="300"/>
      </w:pPr>
      <w:r>
        <w:rPr>
          <w:rFonts w:ascii="Arial" w:cs="Arial" w:eastAsia="Arial" w:hAnsi="Arial"/>
          <w:color w:val="333333"/>
          <w:sz w:val="22"/>
          <w:szCs w:val="22"/>
        </w:rPr>
        <w:t xml:space="preserve">A simplified reading example: If PRISM outputs a median shift of -3.2% for Hair: Color at 2030 with a p10 of -1.5% and a p90 of -6.5%, this means: under current assumptions, we expect the Color profit pool to contract by 3.2%, but outcomes between -1.5% (optimistic) and -6.5% (pessimistic) are within the 80% confidence interval.</w:t>
      </w:r>
    </w:p>
    <w:p>
      <w:pPr>
        <w:spacing w:after="140" w:line="300"/>
      </w:pPr>
      <w:r>
        <w:rPr>
          <w:rFonts w:ascii="Arial" w:cs="Arial" w:eastAsia="Arial" w:hAnsi="Arial"/>
          <w:color w:val="333333"/>
          <w:sz w:val="22"/>
          <w:szCs w:val="22"/>
        </w:rPr>
        <w:t xml:space="preserve">Users apply this in Excel as: GP1_projected = GP1_actual × (1 + shift_median). The bear case uses p90, the bull case uses p10.</w:t>
      </w:r>
    </w:p>
    <w:p>
      <w:r>
        <w:br w:type="page"/>
      </w:r>
    </w:p>
    <w:p>
      <w:pPr>
        <w:pStyle w:val="Heading1"/>
        <w:spacing w:after="200" w:before="360"/>
      </w:pPr>
      <w:r>
        <w:rPr>
          <w:rFonts w:ascii="Arial" w:cs="Arial" w:eastAsia="Arial" w:hAnsi="Arial"/>
          <w:b/>
          <w:bCs/>
          <w:color w:val="1A5276"/>
          <w:sz w:val="32"/>
          <w:szCs w:val="32"/>
        </w:rPr>
        <w:t xml:space="preserve">2. How PRISM Works: The Simulation Pipeline</w:t>
      </w:r>
    </w:p>
    <w:p>
      <w:pPr>
        <w:spacing w:after="140" w:line="300"/>
      </w:pPr>
      <w:r>
        <w:rPr>
          <w:rFonts w:ascii="Arial" w:cs="Arial" w:eastAsia="Arial" w:hAnsi="Arial"/>
          <w:color w:val="333333"/>
          <w:sz w:val="22"/>
          <w:szCs w:val="22"/>
        </w:rPr>
        <w:t xml:space="preserve">PRISM runs a six-step simulation pipeline. Each step builds on the previous one. This section walks through each step in plain language.</w:t>
      </w:r>
    </w:p>
    <w:p>
      <w:pPr>
        <w:pStyle w:val="Heading2"/>
        <w:spacing w:after="160" w:before="280"/>
      </w:pPr>
      <w:r>
        <w:rPr>
          <w:rFonts w:ascii="Arial" w:cs="Arial" w:eastAsia="Arial" w:hAnsi="Arial"/>
          <w:b/>
          <w:bCs/>
          <w:color w:val="333333"/>
          <w:sz w:val="26"/>
          <w:szCs w:val="26"/>
        </w:rPr>
        <w:t xml:space="preserve">2.1 Step 1: Data Ingestion</w:t>
      </w:r>
    </w:p>
    <w:p>
      <w:pPr>
        <w:spacing w:after="140" w:line="300"/>
      </w:pPr>
      <w:r>
        <w:rPr>
          <w:rFonts w:ascii="Arial" w:cs="Arial" w:eastAsia="Arial" w:hAnsi="Arial"/>
          <w:color w:val="333333"/>
          <w:sz w:val="22"/>
          <w:szCs w:val="22"/>
        </w:rPr>
        <w:t xml:space="preserve">PRISM reads the V12 Excel workbook and extracts all trend data. The system parses six force sheets (Consumer, Customer, Technology, Government, Environmental, Competitive) and structures the data into a database of 55 validated trends.</w:t>
      </w:r>
    </w:p>
    <w:p>
      <w:pPr>
        <w:spacing w:after="140" w:line="300"/>
      </w:pPr>
      <w:r>
        <w:rPr>
          <w:rFonts w:ascii="Arial" w:cs="Arial" w:eastAsia="Arial" w:hAnsi="Arial"/>
          <w:color w:val="333333"/>
          <w:sz w:val="22"/>
          <w:szCs w:val="22"/>
        </w:rPr>
        <w:t xml:space="preserve">Each trend carries a rich data profile: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Name and description:</w:t>
      </w:r>
      <w:r>
        <w:rPr>
          <w:rFonts w:ascii="Arial" w:cs="Arial" w:eastAsia="Arial" w:hAnsi="Arial"/>
          <w:color w:val="333333"/>
          <w:sz w:val="22"/>
          <w:szCs w:val="22"/>
        </w:rPr>
        <w:t xml:space="preserve"> What the trend is and the evidence behind it (e.g., “Private Label crossed 42% value share in EU6, Circana Dec 2025”)</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Force assignment:</w:t>
      </w:r>
      <w:r>
        <w:rPr>
          <w:rFonts w:ascii="Arial" w:cs="Arial" w:eastAsia="Arial" w:hAnsi="Arial"/>
          <w:color w:val="333333"/>
          <w:sz w:val="22"/>
          <w:szCs w:val="22"/>
        </w:rPr>
        <w:t xml:space="preserve"> Which of the six strategic forces this trend belongs to</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Direction:</w:t>
      </w:r>
      <w:r>
        <w:rPr>
          <w:rFonts w:ascii="Arial" w:cs="Arial" w:eastAsia="Arial" w:hAnsi="Arial"/>
          <w:color w:val="333333"/>
          <w:sz w:val="22"/>
          <w:szCs w:val="22"/>
        </w:rPr>
        <w:t xml:space="preserve"> Whether this trend expands or contracts the profit pool</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Probability (1–5):</w:t>
      </w:r>
      <w:r>
        <w:rPr>
          <w:rFonts w:ascii="Arial" w:cs="Arial" w:eastAsia="Arial" w:hAnsi="Arial"/>
          <w:color w:val="333333"/>
          <w:sz w:val="22"/>
          <w:szCs w:val="22"/>
        </w:rPr>
        <w:t xml:space="preserve"> How likely the trend is to fully materialize, scored via structured expert workshops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Economic scope (gp1_pct_affected):</w:t>
      </w:r>
      <w:r>
        <w:rPr>
          <w:rFonts w:ascii="Arial" w:cs="Arial" w:eastAsia="Arial" w:hAnsi="Arial"/>
          <w:color w:val="333333"/>
          <w:sz w:val="22"/>
          <w:szCs w:val="22"/>
        </w:rPr>
        <w:t xml:space="preserve"> What fraction of a category’s profit pool this trend can realistically touch at full materialization (range: 2–25%)</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Category exposure (12 scores):</w:t>
      </w:r>
      <w:r>
        <w:rPr>
          <w:rFonts w:ascii="Arial" w:cs="Arial" w:eastAsia="Arial" w:hAnsi="Arial"/>
          <w:color w:val="333333"/>
          <w:sz w:val="22"/>
          <w:szCs w:val="22"/>
        </w:rPr>
        <w:t xml:space="preserve"> How exposed each product category is to this trend (0–5 scale)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Value chain exposure (8 scores):</w:t>
      </w:r>
      <w:r>
        <w:rPr>
          <w:rFonts w:ascii="Arial" w:cs="Arial" w:eastAsia="Arial" w:hAnsi="Arial"/>
          <w:color w:val="333333"/>
          <w:sz w:val="22"/>
          <w:szCs w:val="22"/>
        </w:rPr>
        <w:t xml:space="preserve"> Where along the value chain the impact lands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Regional exposure (4 scores):</w:t>
      </w:r>
      <w:r>
        <w:rPr>
          <w:rFonts w:ascii="Arial" w:cs="Arial" w:eastAsia="Arial" w:hAnsi="Arial"/>
          <w:color w:val="333333"/>
          <w:sz w:val="22"/>
          <w:szCs w:val="22"/>
        </w:rPr>
        <w:t xml:space="preserve"> Geographic differentiation of impact</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Diffusion curve:</w:t>
      </w:r>
      <w:r>
        <w:rPr>
          <w:rFonts w:ascii="Arial" w:cs="Arial" w:eastAsia="Arial" w:hAnsi="Arial"/>
          <w:color w:val="333333"/>
          <w:sz w:val="22"/>
          <w:szCs w:val="22"/>
        </w:rPr>
        <w:t xml:space="preserve"> How the trend materializes over time (S-curve, linear, front-loaded, back-loaded, or step function)</w:t>
      </w:r>
    </w:p>
    <w:p>
      <w:pPr>
        <w:spacing w:after="140" w:line="300"/>
      </w:pPr>
      <w:r>
        <w:rPr>
          <w:rFonts w:ascii="Arial" w:cs="Arial" w:eastAsia="Arial" w:hAnsi="Arial"/>
          <w:color w:val="333333"/>
          <w:sz w:val="22"/>
          <w:szCs w:val="22"/>
        </w:rPr>
        <w:t xml:space="preserve">A built-in </w:t>
      </w:r>
      <w:r>
        <w:rPr>
          <w:rFonts w:ascii="Arial" w:cs="Arial" w:eastAsia="Arial" w:hAnsi="Arial"/>
          <w:b/>
          <w:bCs/>
          <w:color w:val="333333"/>
          <w:sz w:val="22"/>
          <w:szCs w:val="22"/>
        </w:rPr>
        <w:t xml:space="preserve">financial data firewall</w:t>
      </w:r>
      <w:r>
        <w:rPr>
          <w:rFonts w:ascii="Arial" w:cs="Arial" w:eastAsia="Arial" w:hAnsi="Arial"/>
          <w:color w:val="333333"/>
          <w:sz w:val="22"/>
          <w:szCs w:val="22"/>
        </w:rPr>
        <w:t xml:space="preserve"> scans all inputs for absolute financial values and blocks them from entering the system. This ensures PRISM operates exclusively with relative metrics.</w:t>
      </w:r>
    </w:p>
    <w:p>
      <w:pPr>
        <w:pStyle w:val="Heading2"/>
        <w:spacing w:after="160" w:before="280"/>
      </w:pPr>
      <w:r>
        <w:rPr>
          <w:rFonts w:ascii="Arial" w:cs="Arial" w:eastAsia="Arial" w:hAnsi="Arial"/>
          <w:b/>
          <w:bCs/>
          <w:color w:val="333333"/>
          <w:sz w:val="26"/>
          <w:szCs w:val="26"/>
        </w:rPr>
        <w:t xml:space="preserve">2.2 Step 2: Bayesian Monte Carlo Simulation</w:t>
      </w:r>
    </w:p>
    <w:p>
      <w:pPr>
        <w:spacing w:after="140" w:line="300"/>
      </w:pPr>
      <w:r>
        <w:rPr>
          <w:rFonts w:ascii="Arial" w:cs="Arial" w:eastAsia="Arial" w:hAnsi="Arial"/>
          <w:color w:val="333333"/>
          <w:sz w:val="22"/>
          <w:szCs w:val="22"/>
        </w:rPr>
        <w:t xml:space="preserve">This is the statistical core of PRISM. Instead of computing a single answer, the engine runs 10,000 simulated scenarios (configurable up to 50,000) and observes the distribution of outcomes.</w:t>
      </w:r>
    </w:p>
    <w:p>
      <w:pPr>
        <w:pStyle w:val="Heading3"/>
        <w:spacing w:after="120" w:before="200"/>
      </w:pPr>
      <w:r>
        <w:rPr>
          <w:rFonts w:ascii="Arial" w:cs="Arial" w:eastAsia="Arial" w:hAnsi="Arial"/>
          <w:b/>
          <w:bCs/>
          <w:color w:val="666666"/>
          <w:sz w:val="22"/>
          <w:szCs w:val="22"/>
        </w:rPr>
        <w:t xml:space="preserve">2.2.1 Why Bayesian?</w:t>
      </w:r>
    </w:p>
    <w:p>
      <w:pPr>
        <w:spacing w:after="140" w:line="300"/>
      </w:pPr>
      <w:r>
        <w:rPr>
          <w:rFonts w:ascii="Arial" w:cs="Arial" w:eastAsia="Arial" w:hAnsi="Arial"/>
          <w:color w:val="333333"/>
          <w:sz w:val="22"/>
          <w:szCs w:val="22"/>
        </w:rPr>
        <w:t xml:space="preserve">Traditional simulation assumes fixed distributions (e.g., a triangular distribution centered on the expert score). PRISM uses </w:t>
      </w:r>
      <w:r>
        <w:rPr>
          <w:rFonts w:ascii="Arial" w:cs="Arial" w:eastAsia="Arial" w:hAnsi="Arial"/>
          <w:b/>
          <w:bCs/>
          <w:color w:val="333333"/>
          <w:sz w:val="22"/>
          <w:szCs w:val="22"/>
        </w:rPr>
        <w:t xml:space="preserve">Bayesian inference</w:t>
      </w:r>
      <w:r>
        <w:rPr>
          <w:rFonts w:ascii="Arial" w:cs="Arial" w:eastAsia="Arial" w:hAnsi="Arial"/>
          <w:color w:val="333333"/>
          <w:sz w:val="22"/>
          <w:szCs w:val="22"/>
        </w:rPr>
        <w:t xml:space="preserve">, which means each trend’s probability is modeled as a Beta distribution that can be updated as new evidence arrives. When backtesting data exists (comparing past predictions to actual outcomes), the distributions sharpen. When no historical data is available, PRISM uses a weakly informative prior — essentially saying “we’re not very sure yet.”</w:t>
      </w:r>
    </w:p>
    <w:p>
      <w:pPr>
        <w:spacing w:after="140" w:line="300"/>
      </w:pPr>
      <w:r>
        <w:rPr>
          <w:rFonts w:ascii="Arial" w:cs="Arial" w:eastAsia="Arial" w:hAnsi="Arial"/>
          <w:color w:val="333333"/>
          <w:sz w:val="22"/>
          <w:szCs w:val="22"/>
        </w:rPr>
        <w:t xml:space="preserve">In practical terms: if experts scored a trend at probability 4 out of 5, the Bayesian model doesn’t treat this as “exactly 80%.” It treats it as “most likely around 80%, but could be anywhere from 60% to 95%.” Each Monte Carlo iteration samples from this range.</w:t>
      </w:r>
    </w:p>
    <w:p>
      <w:pPr>
        <w:pStyle w:val="Heading3"/>
        <w:spacing w:after="120" w:before="200"/>
      </w:pPr>
      <w:r>
        <w:rPr>
          <w:rFonts w:ascii="Arial" w:cs="Arial" w:eastAsia="Arial" w:hAnsi="Arial"/>
          <w:b/>
          <w:bCs/>
          <w:color w:val="666666"/>
          <w:sz w:val="22"/>
          <w:szCs w:val="22"/>
        </w:rPr>
        <w:t xml:space="preserve">2.2.2 The Copula: Modeling “Crisis Correlation”</w:t>
      </w:r>
    </w:p>
    <w:p>
      <w:pPr>
        <w:spacing w:after="140" w:line="300"/>
      </w:pPr>
      <w:r>
        <w:rPr>
          <w:rFonts w:ascii="Arial" w:cs="Arial" w:eastAsia="Arial" w:hAnsi="Arial"/>
          <w:color w:val="333333"/>
          <w:sz w:val="22"/>
          <w:szCs w:val="22"/>
        </w:rPr>
        <w:t xml:space="preserve">A critical innovation in PRISM is the use of a </w:t>
      </w:r>
      <w:r>
        <w:rPr>
          <w:rFonts w:ascii="Arial" w:cs="Arial" w:eastAsia="Arial" w:hAnsi="Arial"/>
          <w:b/>
          <w:bCs/>
          <w:color w:val="333333"/>
          <w:sz w:val="22"/>
          <w:szCs w:val="22"/>
        </w:rPr>
        <w:t xml:space="preserve">t-copula</w:t>
      </w:r>
      <w:r>
        <w:rPr>
          <w:rFonts w:ascii="Arial" w:cs="Arial" w:eastAsia="Arial" w:hAnsi="Arial"/>
          <w:color w:val="333333"/>
          <w:sz w:val="22"/>
          <w:szCs w:val="22"/>
        </w:rPr>
        <w:t xml:space="preserve"> for modeling dependencies between trends. In plain language, a copula answers the question: “When things go wrong, do they go wrong together?”</w:t>
      </w:r>
    </w:p>
    <w:p>
      <w:pPr>
        <w:spacing w:after="140" w:line="300"/>
      </w:pPr>
      <w:r>
        <w:rPr>
          <w:rFonts w:ascii="Arial" w:cs="Arial" w:eastAsia="Arial" w:hAnsi="Arial"/>
          <w:color w:val="333333"/>
          <w:sz w:val="22"/>
          <w:szCs w:val="22"/>
        </w:rPr>
        <w:t xml:space="preserve">Standard correlation assumes a fixed relationship between variables. But empirically, trends become more correlated during crises — a regulatory shock, a recession, or a supply chain disruption can cause multiple forces to move in lockstep. The t-copula with 4 degrees of freedom (low degrees of freedom = heavier tails) captures this “crisis correlation” effect.</w:t>
      </w:r>
    </w:p>
    <w:p>
      <w:pPr>
        <w:spacing w:after="140" w:line="300"/>
      </w:pPr>
      <w:r>
        <w:rPr>
          <w:rFonts w:ascii="Arial" w:cs="Arial" w:eastAsia="Arial" w:hAnsi="Arial"/>
          <w:color w:val="333333"/>
          <w:sz w:val="22"/>
          <w:szCs w:val="22"/>
        </w:rPr>
        <w:t xml:space="preserve">Within the same force (e.g., two Consumer trends), correlation is set at 0.30 by default. Across forces, correlations are derived from the causal DAG structure (see Section 3). The result: PRISM’s worst-case scenarios are more realistic than models that assume independence.</w:t>
      </w:r>
    </w:p>
    <w:p>
      <w:pPr>
        <w:pStyle w:val="Heading3"/>
        <w:spacing w:after="120" w:before="200"/>
      </w:pPr>
      <w:r>
        <w:rPr>
          <w:rFonts w:ascii="Arial" w:cs="Arial" w:eastAsia="Arial" w:hAnsi="Arial"/>
          <w:b/>
          <w:bCs/>
          <w:color w:val="666666"/>
          <w:sz w:val="22"/>
          <w:szCs w:val="22"/>
        </w:rPr>
        <w:t xml:space="preserve">2.2.3 The Scoring Formula</w:t>
      </w:r>
    </w:p>
    <w:p>
      <w:pPr>
        <w:spacing w:after="140" w:line="300"/>
      </w:pPr>
      <w:r>
        <w:rPr>
          <w:rFonts w:ascii="Arial" w:cs="Arial" w:eastAsia="Arial" w:hAnsi="Arial"/>
          <w:color w:val="333333"/>
          <w:sz w:val="22"/>
          <w:szCs w:val="22"/>
        </w:rPr>
        <w:t xml:space="preserve">For each Monte Carlo iteration, every trend’s impact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0" w:line="300"/>
            </w:pPr>
            <w:r>
              <w:rPr>
                <w:rFonts w:ascii="Arial" w:cs="Arial" w:eastAsia="Arial" w:hAnsi="Arial"/>
                <w:i/>
                <w:iCs/>
                <w:color w:val="1A5276"/>
                <w:sz w:val="22"/>
                <w:szCs w:val="22"/>
              </w:rPr>
              <w:t xml:space="preserve">Score = Probability (sampled) × Economic Scope (gp1_pct_affected) × Direction (+1 or -1)</w:t>
            </w:r>
          </w:p>
        </w:tc>
      </w:tr>
    </w:tbl>
    <w:p>
      <w:pPr>
        <w:spacing w:after="80"/>
      </w:pPr>
    </w:p>
    <w:p>
      <w:pPr>
        <w:spacing w:after="140" w:line="300"/>
      </w:pPr>
      <w:r>
        <w:rPr>
          <w:rFonts w:ascii="Arial" w:cs="Arial" w:eastAsia="Arial" w:hAnsi="Arial"/>
          <w:color w:val="333333"/>
          <w:sz w:val="22"/>
          <w:szCs w:val="22"/>
        </w:rPr>
        <w:t xml:space="preserve">This score is then weighted by category exposure, regional exposure, force weight, and an attenuation factor (default: 0.50) before being compounded multiplicatively across all forces. The multiplicative compounding means that if multiple forces are simultaneously contracting, the combined effect is worse than the sum of parts — just as in reality.</w:t>
      </w:r>
    </w:p>
    <w:p>
      <w:pPr>
        <w:pStyle w:val="Heading2"/>
        <w:spacing w:after="160" w:before="280"/>
      </w:pPr>
      <w:r>
        <w:rPr>
          <w:rFonts w:ascii="Arial" w:cs="Arial" w:eastAsia="Arial" w:hAnsi="Arial"/>
          <w:b/>
          <w:bCs/>
          <w:color w:val="333333"/>
          <w:sz w:val="26"/>
          <w:szCs w:val="26"/>
        </w:rPr>
        <w:t xml:space="preserve">2.3 Step 3: Continuous Path Modeling</w:t>
      </w:r>
    </w:p>
    <w:p>
      <w:pPr>
        <w:spacing w:after="140" w:line="300"/>
      </w:pPr>
      <w:r>
        <w:rPr>
          <w:rFonts w:ascii="Arial" w:cs="Arial" w:eastAsia="Arial" w:hAnsi="Arial"/>
          <w:color w:val="333333"/>
          <w:sz w:val="22"/>
          <w:szCs w:val="22"/>
        </w:rPr>
        <w:t xml:space="preserve">Rather than two discrete time points, PRISM computes annual shift paths from 2026 through 2030. Each trend has its own </w:t>
      </w:r>
      <w:r>
        <w:rPr>
          <w:rFonts w:ascii="Arial" w:cs="Arial" w:eastAsia="Arial" w:hAnsi="Arial"/>
          <w:b/>
          <w:bCs/>
          <w:color w:val="333333"/>
          <w:sz w:val="22"/>
          <w:szCs w:val="22"/>
        </w:rPr>
        <w:t xml:space="preserve">diffusion curve</w:t>
      </w:r>
      <w:r>
        <w:rPr>
          <w:rFonts w:ascii="Arial" w:cs="Arial" w:eastAsia="Arial" w:hAnsi="Arial"/>
          <w:color w:val="333333"/>
          <w:sz w:val="22"/>
          <w:szCs w:val="22"/>
        </w:rPr>
        <w:t xml:space="preserve"> that determines how quickly it materializes: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Curve Type</w:t>
            </w:r>
          </w:p>
        </w:tc>
        <w:tc>
          <w:tcPr>
            <w:tcW w:type="dxa" w:w="358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c>
          <w:tcPr>
            <w:tcW w:type="dxa" w:w="358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Typical 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S-Curve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Slow start, rapid middle, plateau at end</w:t>
            </w:r>
          </w:p>
        </w:tc>
        <w:tc>
          <w:tcPr>
            <w:tcW w:type="dxa" w:w="35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Most market trends (default)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Linear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Steady, constant rate of change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Gradual demographic shifts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Front-loaded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Fast early impact, then flattens</w:t>
            </w:r>
          </w:p>
        </w:tc>
        <w:tc>
          <w:tcPr>
            <w:tcW w:type="dxa" w:w="35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One-time regulatory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Back-loaded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Slow early, accelerates later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Technology adoption (R&amp;D lag)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Step function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Near-zero until threshold, then jumps</w:t>
            </w:r>
          </w:p>
        </w:tc>
        <w:tc>
          <w:tcPr>
            <w:tcW w:type="dxa" w:w="358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Regulation with hard deadlines</w:t>
            </w:r>
          </w:p>
        </w:tc>
      </w:tr>
    </w:tbl>
    <w:p>
      <w:pPr>
        <w:spacing w:after="80"/>
      </w:pPr>
    </w:p>
    <w:p>
      <w:pPr>
        <w:spacing w:after="140" w:line="300"/>
      </w:pPr>
      <w:r>
        <w:rPr>
          <w:rFonts w:ascii="Arial" w:cs="Arial" w:eastAsia="Arial" w:hAnsi="Arial"/>
          <w:color w:val="333333"/>
          <w:sz w:val="22"/>
          <w:szCs w:val="22"/>
        </w:rPr>
        <w:t xml:space="preserve">The path model also computes </w:t>
      </w:r>
      <w:r>
        <w:rPr>
          <w:rFonts w:ascii="Arial" w:cs="Arial" w:eastAsia="Arial" w:hAnsi="Arial"/>
          <w:b/>
          <w:bCs/>
          <w:color w:val="333333"/>
          <w:sz w:val="22"/>
          <w:szCs w:val="22"/>
        </w:rPr>
        <w:t xml:space="preserve">velocity</w:t>
      </w:r>
      <w:r>
        <w:rPr>
          <w:rFonts w:ascii="Arial" w:cs="Arial" w:eastAsia="Arial" w:hAnsi="Arial"/>
          <w:color w:val="333333"/>
          <w:sz w:val="22"/>
          <w:szCs w:val="22"/>
        </w:rPr>
        <w:t xml:space="preserve"> (rate of change year-over-year) and evaluates </w:t>
      </w:r>
      <w:r>
        <w:rPr>
          <w:rFonts w:ascii="Arial" w:cs="Arial" w:eastAsia="Arial" w:hAnsi="Arial"/>
          <w:b/>
          <w:bCs/>
          <w:color w:val="333333"/>
          <w:sz w:val="22"/>
          <w:szCs w:val="22"/>
        </w:rPr>
        <w:t xml:space="preserve">early-warning triggers</w:t>
      </w:r>
      <w:r>
        <w:rPr>
          <w:rFonts w:ascii="Arial" w:cs="Arial" w:eastAsia="Arial" w:hAnsi="Arial"/>
          <w:color w:val="333333"/>
          <w:sz w:val="22"/>
          <w:szCs w:val="22"/>
        </w:rPr>
        <w:t xml:space="preserve"> — pre-defined conditions that alert the strategy team when shifts exceed thresholds ahead of schedule.</w:t>
      </w:r>
    </w:p>
    <w:p>
      <w:r>
        <w:br w:type="page"/>
      </w:r>
    </w:p>
    <w:p>
      <w:pPr>
        <w:pStyle w:val="Heading2"/>
        <w:spacing w:after="160" w:before="280"/>
      </w:pPr>
      <w:r>
        <w:rPr>
          <w:rFonts w:ascii="Arial" w:cs="Arial" w:eastAsia="Arial" w:hAnsi="Arial"/>
          <w:b/>
          <w:bCs/>
          <w:color w:val="333333"/>
          <w:sz w:val="26"/>
          <w:szCs w:val="26"/>
        </w:rPr>
        <w:t xml:space="preserve">2.4 Step 4: Scenario Analysis</w:t>
      </w:r>
    </w:p>
    <w:p>
      <w:pPr>
        <w:spacing w:after="140" w:line="300"/>
      </w:pPr>
      <w:r>
        <w:rPr>
          <w:rFonts w:ascii="Arial" w:cs="Arial" w:eastAsia="Arial" w:hAnsi="Arial"/>
          <w:color w:val="333333"/>
          <w:sz w:val="22"/>
          <w:szCs w:val="22"/>
        </w:rPr>
        <w:t xml:space="preserve">PRISM includes five pre-built scenarios plus a custom scenario builder. Each scenario defines an initial shock to one or more forces, then uses the Causal DAG (Section 3) to propagate effects through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w:t>
            </w:r>
          </w:p>
        </w:tc>
        <w:tc>
          <w:tcPr>
            <w:tcW w:type="dxa" w:w="69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Base Case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Current expert scores, causal DAG active, no external shocks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Green Squeeze</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Environmental force shock propagates to Government (regulation), Technology (reformulation costs), Customer (shelf price), Consumer (willingness to pay premium)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Tech Disruption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Technology force shock propagates to Consumer (adoption), Competitive (first-mover advantage), Customer (channel shift)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Price War</w:t>
            </w:r>
          </w:p>
        </w:tc>
        <w:tc>
          <w:tcPr>
            <w:tcW w:type="dxa" w:w="6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Competitive force shock propagates to Customer (margin pressure), Consumer (trading down 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Perfect Storm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Correlated tail event via t-copula at the 1st percentile — models simultaneous worst-case across all forces (much more realistic than simply adding +1σ to each force)</w:t>
            </w:r>
          </w:p>
        </w:tc>
      </w:tr>
    </w:tbl>
    <w:p>
      <w:pPr>
        <w:spacing w:after="80"/>
      </w:pPr>
    </w:p>
    <w:p>
      <w:pPr>
        <w:spacing w:after="140" w:line="300"/>
      </w:pPr>
      <w:r>
        <w:rPr>
          <w:rFonts w:ascii="Arial" w:cs="Arial" w:eastAsia="Arial" w:hAnsi="Arial"/>
          <w:color w:val="333333"/>
          <w:sz w:val="22"/>
          <w:szCs w:val="22"/>
        </w:rPr>
        <w:t xml:space="preserve">The custom scenario builder allows users to shock any specific force by a defined magnitude, and PRISM propagates the rest through the causal structure.</w:t>
      </w:r>
    </w:p>
    <w:p>
      <w:pPr>
        <w:pStyle w:val="Heading2"/>
        <w:spacing w:after="160" w:before="280"/>
      </w:pPr>
      <w:r>
        <w:rPr>
          <w:rFonts w:ascii="Arial" w:cs="Arial" w:eastAsia="Arial" w:hAnsi="Arial"/>
          <w:b/>
          <w:bCs/>
          <w:color w:val="333333"/>
          <w:sz w:val="26"/>
          <w:szCs w:val="26"/>
        </w:rPr>
        <w:t xml:space="preserve">2.5 Step 5: Competitive Response Modeling</w:t>
      </w:r>
    </w:p>
    <w:p>
      <w:pPr>
        <w:spacing w:after="140" w:line="300"/>
      </w:pPr>
      <w:r>
        <w:rPr>
          <w:rFonts w:ascii="Arial" w:cs="Arial" w:eastAsia="Arial" w:hAnsi="Arial"/>
          <w:color w:val="333333"/>
          <w:sz w:val="22"/>
          <w:szCs w:val="22"/>
        </w:rPr>
        <w:t xml:space="preserve">Profit pool shifts don’t happen in a vacuum — competitors react. PRISM models the likely strategic responses of the top competitors (P&amp;G, Unilever, Reckitt, L’Oréal, Church &amp; Dwight) based on publicly available information about their strategic archetypes and historical response patterns.</w:t>
      </w:r>
    </w:p>
    <w:p>
      <w:pPr>
        <w:spacing w:after="140" w:line="300"/>
      </w:pPr>
      <w:r>
        <w:rPr>
          <w:rFonts w:ascii="Arial" w:cs="Arial" w:eastAsia="Arial" w:hAnsi="Arial"/>
          <w:color w:val="333333"/>
          <w:sz w:val="22"/>
          <w:szCs w:val="22"/>
        </w:rPr>
        <w:t xml:space="preserve">For example, in a price war scenario, P&amp;G (archetype: “premium defender”) typically responds with innovation-led premiumization, while Unilever (archetype: “sustainability leader”) tends toward value tier launches and portfolio rationalization. These responses create second-order effects on the profit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0" w:line="300"/>
            </w:pPr>
            <w:r>
              <w:rPr>
                <w:rFonts w:ascii="Arial" w:cs="Arial" w:eastAsia="Arial" w:hAnsi="Arial"/>
                <w:i/>
                <w:iCs/>
                <w:color w:val="1A5276"/>
                <w:sz w:val="22"/>
                <w:szCs w:val="22"/>
              </w:rPr>
              <w:t xml:space="preserve">Important: The competitive layer uses only public intelligence (annual reports, earnings calls, patent filings, public strategy signals). No competitor financial data enters the model.</w:t>
            </w:r>
          </w:p>
        </w:tc>
      </w:tr>
    </w:tbl>
    <w:p>
      <w:pPr>
        <w:spacing w:after="80"/>
      </w:pPr>
    </w:p>
    <w:p>
      <w:pPr>
        <w:pStyle w:val="Heading2"/>
        <w:spacing w:after="160" w:before="280"/>
      </w:pPr>
      <w:r>
        <w:rPr>
          <w:rFonts w:ascii="Arial" w:cs="Arial" w:eastAsia="Arial" w:hAnsi="Arial"/>
          <w:b/>
          <w:bCs/>
          <w:color w:val="333333"/>
          <w:sz w:val="26"/>
          <w:szCs w:val="26"/>
        </w:rPr>
        <w:t xml:space="preserve">2.6 Step 6: Resource Allocation Optimization</w:t>
      </w:r>
    </w:p>
    <w:p>
      <w:pPr>
        <w:spacing w:after="140" w:line="300"/>
      </w:pPr>
      <w:r>
        <w:rPr>
          <w:rFonts w:ascii="Arial" w:cs="Arial" w:eastAsia="Arial" w:hAnsi="Arial"/>
          <w:color w:val="333333"/>
          <w:sz w:val="22"/>
          <w:szCs w:val="22"/>
        </w:rPr>
        <w:t xml:space="preserve">The final step converts analysis into actionable recommendations. PRISM’s optimizer computes the ideal relative allocation of strategic investment across the 12 product categories, balancing expected pool growth against risk.</w:t>
      </w:r>
    </w:p>
    <w:p>
      <w:pPr>
        <w:spacing w:after="140" w:line="300"/>
      </w:pPr>
      <w:r>
        <w:rPr>
          <w:rFonts w:ascii="Arial" w:cs="Arial" w:eastAsia="Arial" w:hAnsi="Arial"/>
          <w:color w:val="333333"/>
          <w:sz w:val="22"/>
          <w:szCs w:val="22"/>
        </w:rPr>
        <w:t xml:space="preserve">The optimizer uses a </w:t>
      </w:r>
      <w:r>
        <w:rPr>
          <w:rFonts w:ascii="Arial" w:cs="Arial" w:eastAsia="Arial" w:hAnsi="Arial"/>
          <w:b/>
          <w:bCs/>
          <w:color w:val="333333"/>
          <w:sz w:val="22"/>
          <w:szCs w:val="22"/>
        </w:rPr>
        <w:t xml:space="preserve">mean-variance framework</w:t>
      </w:r>
      <w:r>
        <w:rPr>
          <w:rFonts w:ascii="Arial" w:cs="Arial" w:eastAsia="Arial" w:hAnsi="Arial"/>
          <w:color w:val="333333"/>
          <w:sz w:val="22"/>
          <w:szCs w:val="22"/>
        </w:rPr>
        <w:t xml:space="preserve"> (the same mathematical foundation used in financial portfolio management):</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Maximize risk-adjusted expected pool capture across all categories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Inputs:</w:t>
      </w:r>
      <w:r>
        <w:rPr>
          <w:rFonts w:ascii="Arial" w:cs="Arial" w:eastAsia="Arial" w:hAnsi="Arial"/>
          <w:color w:val="333333"/>
          <w:sz w:val="22"/>
          <w:szCs w:val="22"/>
        </w:rPr>
        <w:t xml:space="preserve"> Expected shifts (median) and shift variance (risk) from the Monte Carlo simulation</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Constraints:</w:t>
      </w:r>
      <w:r>
        <w:rPr>
          <w:rFonts w:ascii="Arial" w:cs="Arial" w:eastAsia="Arial" w:hAnsi="Arial"/>
          <w:color w:val="333333"/>
          <w:sz w:val="22"/>
          <w:szCs w:val="22"/>
        </w:rPr>
        <w:t xml:space="preserve"> Minimum 2% and maximum 25% allocation per category; total turnover from current allocation capped at 50%</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Output:</w:t>
      </w:r>
      <w:r>
        <w:rPr>
          <w:rFonts w:ascii="Arial" w:cs="Arial" w:eastAsia="Arial" w:hAnsi="Arial"/>
          <w:color w:val="333333"/>
          <w:sz w:val="22"/>
          <w:szCs w:val="22"/>
        </w:rPr>
        <w:t xml:space="preserve"> Relative weights that sum to 100% — “invest 14% in Hair: Care, 6% in Hair: Color”</w:t>
      </w:r>
    </w:p>
    <w:p>
      <w:pPr>
        <w:spacing w:after="140" w:line="300"/>
      </w:pPr>
      <w:r>
        <w:rPr>
          <w:rFonts w:ascii="Arial" w:cs="Arial" w:eastAsia="Arial" w:hAnsi="Arial"/>
          <w:color w:val="333333"/>
          <w:sz w:val="22"/>
          <w:szCs w:val="22"/>
        </w:rPr>
        <w:t xml:space="preserve">The optimizer also produces an </w:t>
      </w:r>
      <w:r>
        <w:rPr>
          <w:rFonts w:ascii="Arial" w:cs="Arial" w:eastAsia="Arial" w:hAnsi="Arial"/>
          <w:b/>
          <w:bCs/>
          <w:color w:val="333333"/>
          <w:sz w:val="22"/>
          <w:szCs w:val="22"/>
        </w:rPr>
        <w:t xml:space="preserve">efficient frontier</w:t>
      </w:r>
      <w:r>
        <w:rPr>
          <w:rFonts w:ascii="Arial" w:cs="Arial" w:eastAsia="Arial" w:hAnsi="Arial"/>
          <w:color w:val="333333"/>
          <w:sz w:val="22"/>
          <w:szCs w:val="22"/>
        </w:rPr>
        <w:t xml:space="preserve"> showing the trade-off between expected return and risk at different levels of risk aversion, and a </w:t>
      </w:r>
      <w:r>
        <w:rPr>
          <w:rFonts w:ascii="Arial" w:cs="Arial" w:eastAsia="Arial" w:hAnsi="Arial"/>
          <w:b/>
          <w:bCs/>
          <w:color w:val="333333"/>
          <w:sz w:val="22"/>
          <w:szCs w:val="22"/>
        </w:rPr>
        <w:t xml:space="preserve">defense ranking</w:t>
      </w:r>
      <w:r>
        <w:rPr>
          <w:rFonts w:ascii="Arial" w:cs="Arial" w:eastAsia="Arial" w:hAnsi="Arial"/>
          <w:color w:val="333333"/>
          <w:sz w:val="22"/>
          <w:szCs w:val="22"/>
        </w:rPr>
        <w:t xml:space="preserve"> that identifies which categories are most and least exposed in contraction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0" w:line="300"/>
            </w:pPr>
            <w:r>
              <w:rPr>
                <w:rFonts w:ascii="Arial" w:cs="Arial" w:eastAsia="Arial" w:hAnsi="Arial"/>
                <w:i/>
                <w:iCs/>
                <w:color w:val="1A5276"/>
                <w:sz w:val="22"/>
                <w:szCs w:val="22"/>
              </w:rPr>
              <w:t xml:space="preserve">The optimizer’s output is advisory. It provides relative weights, never absolute € amounts. The Strategy VP makes the final allocation decision informed by the optimizer’s recommendation.</w:t>
            </w:r>
          </w:p>
        </w:tc>
      </w:tr>
    </w:tbl>
    <w:p>
      <w:r>
        <w:br w:type="page"/>
      </w:r>
    </w:p>
    <w:p>
      <w:pPr>
        <w:pStyle w:val="Heading1"/>
        <w:spacing w:after="200" w:before="360"/>
      </w:pPr>
      <w:r>
        <w:rPr>
          <w:rFonts w:ascii="Arial" w:cs="Arial" w:eastAsia="Arial" w:hAnsi="Arial"/>
          <w:b/>
          <w:bCs/>
          <w:color w:val="1A5276"/>
          <w:sz w:val="32"/>
          <w:szCs w:val="32"/>
        </w:rPr>
        <w:t xml:space="preserve">3. The Causal Architecture</w:t>
      </w:r>
    </w:p>
    <w:p>
      <w:pPr>
        <w:spacing w:after="140" w:line="300"/>
      </w:pPr>
      <w:r>
        <w:rPr>
          <w:rFonts w:ascii="Arial" w:cs="Arial" w:eastAsia="Arial" w:hAnsi="Arial"/>
          <w:color w:val="333333"/>
          <w:sz w:val="22"/>
          <w:szCs w:val="22"/>
        </w:rPr>
        <w:t xml:space="preserve">One of PRISM’s most important innovations is that it models the six strategic forces not as independent channels, but as a </w:t>
      </w:r>
      <w:r>
        <w:rPr>
          <w:rFonts w:ascii="Arial" w:cs="Arial" w:eastAsia="Arial" w:hAnsi="Arial"/>
          <w:b/>
          <w:bCs/>
          <w:color w:val="333333"/>
          <w:sz w:val="22"/>
          <w:szCs w:val="22"/>
        </w:rPr>
        <w:t xml:space="preserve">causally connected network</w:t>
      </w:r>
      <w:r>
        <w:rPr>
          <w:rFonts w:ascii="Arial" w:cs="Arial" w:eastAsia="Arial" w:hAnsi="Arial"/>
          <w:color w:val="333333"/>
          <w:sz w:val="22"/>
          <w:szCs w:val="22"/>
        </w:rPr>
        <w:t xml:space="preserve">. This section explains why this matters and how it works.</w:t>
      </w:r>
    </w:p>
    <w:p>
      <w:pPr>
        <w:pStyle w:val="Heading2"/>
        <w:spacing w:after="160" w:before="280"/>
      </w:pPr>
      <w:r>
        <w:rPr>
          <w:rFonts w:ascii="Arial" w:cs="Arial" w:eastAsia="Arial" w:hAnsi="Arial"/>
          <w:b/>
          <w:bCs/>
          <w:color w:val="333333"/>
          <w:sz w:val="26"/>
          <w:szCs w:val="26"/>
        </w:rPr>
        <w:t xml:space="preserve">3.1 Why Causal Modeling?</w:t>
      </w:r>
    </w:p>
    <w:p>
      <w:pPr>
        <w:spacing w:after="140" w:line="300"/>
      </w:pPr>
      <w:r>
        <w:rPr>
          <w:rFonts w:ascii="Arial" w:cs="Arial" w:eastAsia="Arial" w:hAnsi="Arial"/>
          <w:color w:val="333333"/>
          <w:sz w:val="22"/>
          <w:szCs w:val="22"/>
        </w:rPr>
        <w:t xml:space="preserve">Consider a concrete example: The EU announces new PFAS restrictions (Government force). This doesn’t just affect the “Government” score. It triggers a chain reaction:</w:t>
      </w:r>
    </w:p>
    <w:p>
      <w:pPr>
        <w:pStyle w:val="ListParagraph"/>
        <w:numPr>
          <w:ilvl w:val="0"/>
          <w:numId w:val="4"/>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Government → Technology (weight: 0.60, lag: 1 year):</w:t>
      </w:r>
      <w:r>
        <w:rPr>
          <w:rFonts w:ascii="Arial" w:cs="Arial" w:eastAsia="Arial" w:hAnsi="Arial"/>
          <w:color w:val="333333"/>
          <w:sz w:val="22"/>
          <w:szCs w:val="22"/>
        </w:rPr>
        <w:t xml:space="preserve"> Reformulation R&amp;D spending increases to develop PFAS-free alternatives</w:t>
      </w:r>
    </w:p>
    <w:p>
      <w:pPr>
        <w:pStyle w:val="ListParagraph"/>
        <w:numPr>
          <w:ilvl w:val="0"/>
          <w:numId w:val="4"/>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Government → Customer (weight: 0.40, lag: 1 year):</w:t>
      </w:r>
      <w:r>
        <w:rPr>
          <w:rFonts w:ascii="Arial" w:cs="Arial" w:eastAsia="Arial" w:hAnsi="Arial"/>
          <w:color w:val="333333"/>
          <w:sz w:val="22"/>
          <w:szCs w:val="22"/>
        </w:rPr>
        <w:t xml:space="preserve"> Compliance costs pass through to shelf prices, changing retailer economics</w:t>
      </w:r>
    </w:p>
    <w:p>
      <w:pPr>
        <w:pStyle w:val="ListParagraph"/>
        <w:numPr>
          <w:ilvl w:val="0"/>
          <w:numId w:val="4"/>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Government → Environmental (weight: 0.30, no lag):</w:t>
      </w:r>
      <w:r>
        <w:rPr>
          <w:rFonts w:ascii="Arial" w:cs="Arial" w:eastAsia="Arial" w:hAnsi="Arial"/>
          <w:color w:val="333333"/>
          <w:sz w:val="22"/>
          <w:szCs w:val="22"/>
        </w:rPr>
        <w:t xml:space="preserve"> The regulation codifies existing green trends, accelerating sustainability investments</w:t>
      </w:r>
    </w:p>
    <w:p>
      <w:pPr>
        <w:spacing w:after="140" w:line="300"/>
      </w:pPr>
      <w:r>
        <w:rPr>
          <w:rFonts w:ascii="Arial" w:cs="Arial" w:eastAsia="Arial" w:hAnsi="Arial"/>
          <w:color w:val="333333"/>
          <w:sz w:val="22"/>
          <w:szCs w:val="22"/>
        </w:rPr>
        <w:t xml:space="preserve">Without causal modeling, a Government shock would only affect Government-tagged categories. With causal modeling, the shock propagates through the network with appropriate weights and time lags, producing a more realistic compound effect.</w:t>
      </w:r>
    </w:p>
    <w:p>
      <w:pPr>
        <w:pStyle w:val="Heading2"/>
        <w:spacing w:after="160" w:before="280"/>
      </w:pPr>
      <w:r>
        <w:rPr>
          <w:rFonts w:ascii="Arial" w:cs="Arial" w:eastAsia="Arial" w:hAnsi="Arial"/>
          <w:b/>
          <w:bCs/>
          <w:color w:val="333333"/>
          <w:sz w:val="26"/>
          <w:szCs w:val="26"/>
        </w:rPr>
        <w:t xml:space="preserve">3.2 The Force Network</w:t>
      </w:r>
    </w:p>
    <w:p>
      <w:pPr>
        <w:spacing w:after="140" w:line="300"/>
      </w:pPr>
      <w:r>
        <w:rPr>
          <w:rFonts w:ascii="Arial" w:cs="Arial" w:eastAsia="Arial" w:hAnsi="Arial"/>
          <w:color w:val="333333"/>
          <w:sz w:val="22"/>
          <w:szCs w:val="22"/>
        </w:rPr>
        <w:t xml:space="preserve">PRISM’s causal DAG (Directed Acyclic Graph) contains 17 directed edges connecting the six forces. Each edge has three properties: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Propagation weight (0.0–1.0):</w:t>
      </w:r>
      <w:r>
        <w:rPr>
          <w:rFonts w:ascii="Arial" w:cs="Arial" w:eastAsia="Arial" w:hAnsi="Arial"/>
          <w:color w:val="333333"/>
          <w:sz w:val="22"/>
          <w:szCs w:val="22"/>
        </w:rPr>
        <w:t xml:space="preserve"> How much of the source force’s impact transfers to the target force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Lag (0–2 years):</w:t>
      </w:r>
      <w:r>
        <w:rPr>
          <w:rFonts w:ascii="Arial" w:cs="Arial" w:eastAsia="Arial" w:hAnsi="Arial"/>
          <w:color w:val="333333"/>
          <w:sz w:val="22"/>
          <w:szCs w:val="22"/>
        </w:rPr>
        <w:t xml:space="preserve"> How long before the effect manifests in the target force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Mechanism:</w:t>
      </w:r>
      <w:r>
        <w:rPr>
          <w:rFonts w:ascii="Arial" w:cs="Arial" w:eastAsia="Arial" w:hAnsi="Arial"/>
          <w:color w:val="333333"/>
          <w:sz w:val="22"/>
          <w:szCs w:val="22"/>
        </w:rPr>
        <w:t xml:space="preserve"> A plain-language description of why this causal link exists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000"/>
        <w:gridCol w:w="3560"/>
      </w:tblGrid>
      <w:tr>
        <w:tc>
          <w:tcPr>
            <w:tcW w:type="dxa" w:w="18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12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10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Lag</w:t>
            </w:r>
          </w:p>
        </w:tc>
        <w:tc>
          <w:tcPr>
            <w:tcW w:type="dxa" w:w="35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Mechanism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Government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Technology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0.60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Regulation triggers reformulation R&amp;D</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Government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0.40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Compliance costs pass to shelf price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Government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Environmental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Regulation codifies green trends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Consumer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0.50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Demand shifts force channel adaptation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Consumer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Preferences drive competitive positioning</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Consumer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Technology</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Demand pulls innovation investment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Technology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 adoption creates competitive gaps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Technology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Consumer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0.40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New tech enables new consumer behaviors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Technology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 changes channel economics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Environmental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Government</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0.60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Environmental crises accelerate regulation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Environmental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Consumer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Climate awareness shifts purchase behavior</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Environmental</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Technology</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Environmental pressure drives green innovation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Customer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Channel power shifts competitive dynamics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Customer</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Consumer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Channel availability shapes consumer access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Competitive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yr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Competitive moves change channel bargaining</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Competitive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Consumer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 yr</w:t>
            </w:r>
          </w:p>
        </w:tc>
        <w:tc>
          <w:tcPr>
            <w:tcW w:type="dxa" w:w="3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Competitive innovation shapes expectations</w:t>
            </w:r>
          </w:p>
        </w:tc>
      </w:tr>
    </w:tbl>
    <w:p>
      <w:pPr>
        <w:spacing w:after="80"/>
      </w:pPr>
    </w:p>
    <w:p>
      <w:pPr>
        <w:spacing w:after="140" w:line="300"/>
      </w:pPr>
      <w:r>
        <w:rPr>
          <w:rFonts w:ascii="Arial" w:cs="Arial" w:eastAsia="Arial" w:hAnsi="Arial"/>
          <w:color w:val="333333"/>
          <w:sz w:val="22"/>
          <w:szCs w:val="22"/>
        </w:rPr>
        <w:t xml:space="preserve">The strongest causal paths run from </w:t>
      </w:r>
      <w:r>
        <w:rPr>
          <w:rFonts w:ascii="Arial" w:cs="Arial" w:eastAsia="Arial" w:hAnsi="Arial"/>
          <w:b/>
          <w:bCs/>
          <w:color w:val="333333"/>
          <w:sz w:val="22"/>
          <w:szCs w:val="22"/>
        </w:rPr>
        <w:t xml:space="preserve">Government → Technology</w:t>
      </w:r>
      <w:r>
        <w:rPr>
          <w:rFonts w:ascii="Arial" w:cs="Arial" w:eastAsia="Arial" w:hAnsi="Arial"/>
          <w:color w:val="333333"/>
          <w:sz w:val="22"/>
          <w:szCs w:val="22"/>
        </w:rPr>
        <w:t xml:space="preserve"> (0.60) and </w:t>
      </w:r>
      <w:r>
        <w:rPr>
          <w:rFonts w:ascii="Arial" w:cs="Arial" w:eastAsia="Arial" w:hAnsi="Arial"/>
          <w:b/>
          <w:bCs/>
          <w:color w:val="333333"/>
          <w:sz w:val="22"/>
          <w:szCs w:val="22"/>
        </w:rPr>
        <w:t xml:space="preserve">Environmental → Government</w:t>
      </w:r>
      <w:r>
        <w:rPr>
          <w:rFonts w:ascii="Arial" w:cs="Arial" w:eastAsia="Arial" w:hAnsi="Arial"/>
          <w:color w:val="333333"/>
          <w:sz w:val="22"/>
          <w:szCs w:val="22"/>
        </w:rPr>
        <w:t xml:space="preserve"> (0.60), creating a reinforcing loop with a one-year lag: environmental crises accelerate regulation, which triggers reformulation costs. This loop is a key driver of the compound negative pressure on formulation-intensive categories like LHC: FCN and LHC: FCA.</w:t>
      </w:r>
    </w:p>
    <w:p>
      <w:pPr>
        <w:pStyle w:val="Heading2"/>
        <w:spacing w:after="160" w:before="280"/>
      </w:pPr>
      <w:r>
        <w:rPr>
          <w:rFonts w:ascii="Arial" w:cs="Arial" w:eastAsia="Arial" w:hAnsi="Arial"/>
          <w:b/>
          <w:bCs/>
          <w:color w:val="333333"/>
          <w:sz w:val="26"/>
          <w:szCs w:val="26"/>
        </w:rPr>
        <w:t xml:space="preserve">3.3 Propagation Signatures</w:t>
      </w:r>
    </w:p>
    <w:p>
      <w:pPr>
        <w:spacing w:after="140" w:line="300"/>
      </w:pPr>
      <w:r>
        <w:rPr>
          <w:rFonts w:ascii="Arial" w:cs="Arial" w:eastAsia="Arial" w:hAnsi="Arial"/>
          <w:color w:val="333333"/>
          <w:sz w:val="22"/>
          <w:szCs w:val="22"/>
        </w:rPr>
        <w:t xml:space="preserve">Each force creates a unique “fingerprint” when shocked. A Government shock produces a Technology-heavy cascade (reformulation). A Consumer shock produces a Customer-heavy cascade (channel adaptation). PRISM uses these signatures to fingerprint real-world developments and match them to the most appropriate scenario.</w:t>
      </w:r>
    </w:p>
    <w:p>
      <w:r>
        <w:br w:type="page"/>
      </w:r>
    </w:p>
    <w:p>
      <w:pPr>
        <w:pStyle w:val="Heading1"/>
        <w:spacing w:after="200" w:before="360"/>
      </w:pPr>
      <w:r>
        <w:rPr>
          <w:rFonts w:ascii="Arial" w:cs="Arial" w:eastAsia="Arial" w:hAnsi="Arial"/>
          <w:b/>
          <w:bCs/>
          <w:color w:val="1A5276"/>
          <w:sz w:val="32"/>
          <w:szCs w:val="32"/>
        </w:rPr>
        <w:t xml:space="preserve">4. The Trend Database</w:t>
      </w:r>
    </w:p>
    <w:p>
      <w:pPr>
        <w:spacing w:after="140" w:line="300"/>
      </w:pPr>
      <w:r>
        <w:rPr>
          <w:rFonts w:ascii="Arial" w:cs="Arial" w:eastAsia="Arial" w:hAnsi="Arial"/>
          <w:color w:val="333333"/>
          <w:sz w:val="22"/>
          <w:szCs w:val="22"/>
        </w:rPr>
        <w:t xml:space="preserve">PRISM’s intelligence is built on a database of 55 trends, each researched, sourced, and calibrated with current market data (as of March 2026). This section provides an overview of the trend landscape.</w:t>
      </w:r>
    </w:p>
    <w:p>
      <w:pPr>
        <w:pStyle w:val="Heading2"/>
        <w:spacing w:after="160" w:before="280"/>
      </w:pPr>
      <w:r>
        <w:rPr>
          <w:rFonts w:ascii="Arial" w:cs="Arial" w:eastAsia="Arial" w:hAnsi="Arial"/>
          <w:b/>
          <w:bCs/>
          <w:color w:val="333333"/>
          <w:sz w:val="26"/>
          <w:szCs w:val="26"/>
        </w:rPr>
        <w:t xml:space="preserve">4.1 Distribution by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Force</w:t>
            </w:r>
          </w:p>
        </w:tc>
        <w:tc>
          <w:tcPr>
            <w:tcW w:type="dxa" w:w="14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Trends</w:t>
            </w:r>
          </w:p>
        </w:tc>
        <w:tc>
          <w:tcPr>
            <w:tcW w:type="dxa" w:w="14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Net Direction</w:t>
            </w:r>
          </w:p>
        </w:tc>
        <w:tc>
          <w:tcPr>
            <w:tcW w:type="dxa" w:w="39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Themes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Consumer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Mixed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Private label, GLP-1, premiumization, e-commerce, sustainability preferences, silver economy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Technology</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Expansion</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Personalization, green chemistry, AI marketing efficiency, smart appliances, waterless formats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Government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Contraction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PFAS restrictions, DPP compliance, packaging EPR, microplastics ban, tariffs/trade wars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Environmental</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Contraction</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Water stress, PFAS remediation costs, circular economy, energy cost volatility, textile longevity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Customer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Contraction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Retail consolidation, margin pressure, channel fragmentation, quick commerce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Competitive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Mixed</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M&amp;A activity (Reckitt divestiture), DTC disruption, category convergence, premiumization race</w:t>
            </w:r>
          </w:p>
        </w:tc>
      </w:tr>
    </w:tbl>
    <w:p>
      <w:pPr>
        <w:spacing w:after="80"/>
      </w:pPr>
    </w:p>
    <w:p>
      <w:pPr>
        <w:pStyle w:val="Heading2"/>
        <w:spacing w:after="160" w:before="280"/>
      </w:pPr>
      <w:r>
        <w:rPr>
          <w:rFonts w:ascii="Arial" w:cs="Arial" w:eastAsia="Arial" w:hAnsi="Arial"/>
          <w:b/>
          <w:bCs/>
          <w:color w:val="333333"/>
          <w:sz w:val="26"/>
          <w:szCs w:val="26"/>
        </w:rPr>
        <w:t xml:space="preserve">4.2 Economic Scope Calibration</w:t>
      </w:r>
    </w:p>
    <w:p>
      <w:pPr>
        <w:spacing w:after="140" w:line="300"/>
      </w:pPr>
      <w:r>
        <w:rPr>
          <w:rFonts w:ascii="Arial" w:cs="Arial" w:eastAsia="Arial" w:hAnsi="Arial"/>
          <w:color w:val="333333"/>
          <w:sz w:val="22"/>
          <w:szCs w:val="22"/>
        </w:rPr>
        <w:t xml:space="preserve">Each trend’s </w:t>
      </w:r>
      <w:r>
        <w:rPr>
          <w:rFonts w:ascii="Arial" w:cs="Arial" w:eastAsia="Arial" w:hAnsi="Arial"/>
          <w:b/>
          <w:bCs/>
          <w:color w:val="333333"/>
          <w:sz w:val="22"/>
          <w:szCs w:val="22"/>
        </w:rPr>
        <w:t xml:space="preserve">gp1_pct_affected</w:t>
      </w:r>
      <w:r>
        <w:rPr>
          <w:rFonts w:ascii="Arial" w:cs="Arial" w:eastAsia="Arial" w:hAnsi="Arial"/>
          <w:color w:val="333333"/>
          <w:sz w:val="22"/>
          <w:szCs w:val="22"/>
        </w:rPr>
        <w:t xml:space="preserve"> parameter is calibrated based on the type of market impact:</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Market structure shifts</w:t>
      </w:r>
      <w:r>
        <w:rPr>
          <w:rFonts w:ascii="Arial" w:cs="Arial" w:eastAsia="Arial" w:hAnsi="Arial"/>
          <w:color w:val="333333"/>
          <w:sz w:val="22"/>
          <w:szCs w:val="22"/>
        </w:rPr>
        <w:t xml:space="preserve"> (private label, channel shifts): 15–25% — these affect pricing power across broad volume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Regulatory impacts</w:t>
      </w:r>
      <w:r>
        <w:rPr>
          <w:rFonts w:ascii="Arial" w:cs="Arial" w:eastAsia="Arial" w:hAnsi="Arial"/>
          <w:color w:val="333333"/>
          <w:sz w:val="22"/>
          <w:szCs w:val="22"/>
        </w:rPr>
        <w:t xml:space="preserve"> (reformulation, packaging mandates): 5–15% — primarily COGS impact, not the full margin stack</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Consumer behavioral shifts</w:t>
      </w:r>
      <w:r>
        <w:rPr>
          <w:rFonts w:ascii="Arial" w:cs="Arial" w:eastAsia="Arial" w:hAnsi="Arial"/>
          <w:color w:val="333333"/>
          <w:sz w:val="22"/>
          <w:szCs w:val="22"/>
        </w:rPr>
        <w:t xml:space="preserve"> (premiumization, trading down): 8–20% — affect willingness to pay for specific segments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Technology drivers</w:t>
      </w:r>
      <w:r>
        <w:rPr>
          <w:rFonts w:ascii="Arial" w:cs="Arial" w:eastAsia="Arial" w:hAnsi="Arial"/>
          <w:color w:val="333333"/>
          <w:sz w:val="22"/>
          <w:szCs w:val="22"/>
        </w:rPr>
        <w:t xml:space="preserve"> (new formats, AI efficiency): 3–10% — affect niche segments or operational efficiency</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Category creation</w:t>
      </w:r>
      <w:r>
        <w:rPr>
          <w:rFonts w:ascii="Arial" w:cs="Arial" w:eastAsia="Arial" w:hAnsi="Arial"/>
          <w:color w:val="333333"/>
          <w:sz w:val="22"/>
          <w:szCs w:val="22"/>
        </w:rPr>
        <w:t xml:space="preserve"> (scalp care, hair loss treatment): 3–8% — additive pools, not existing pool shifts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Competitive dynamics</w:t>
      </w:r>
      <w:r>
        <w:rPr>
          <w:rFonts w:ascii="Arial" w:cs="Arial" w:eastAsia="Arial" w:hAnsi="Arial"/>
          <w:color w:val="333333"/>
          <w:sz w:val="22"/>
          <w:szCs w:val="22"/>
        </w:rPr>
        <w:t xml:space="preserve"> (specific strategic moves): 5–15% — affect share in overlapping segments</w:t>
      </w:r>
    </w:p>
    <w:p>
      <w:pPr>
        <w:pStyle w:val="Heading2"/>
        <w:spacing w:after="160" w:before="280"/>
      </w:pPr>
      <w:r>
        <w:rPr>
          <w:rFonts w:ascii="Arial" w:cs="Arial" w:eastAsia="Arial" w:hAnsi="Arial"/>
          <w:b/>
          <w:bCs/>
          <w:color w:val="333333"/>
          <w:sz w:val="26"/>
          <w:szCs w:val="26"/>
        </w:rPr>
        <w:t xml:space="preserve">4.3 Source Credibility System</w:t>
      </w:r>
    </w:p>
    <w:p>
      <w:pPr>
        <w:spacing w:after="140" w:line="300"/>
      </w:pPr>
      <w:r>
        <w:rPr>
          <w:rFonts w:ascii="Arial" w:cs="Arial" w:eastAsia="Arial" w:hAnsi="Arial"/>
          <w:color w:val="333333"/>
          <w:sz w:val="22"/>
          <w:szCs w:val="22"/>
        </w:rPr>
        <w:t xml:space="preserve">All 220+ sources across the 55 trends are rated on a 9-tier credibility scale displayed as color-coded badges in the War Room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53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Official regulatory/legislative source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EUR-Lex, ECHA CHEM</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A</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Tier-1 consulting with primary data</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Bain, McKinsey, BCG reports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Investment bank / Big-4 analyst report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Goldman Sachs, Deloitte</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B+</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Specialist industry analyst</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Circana, NIQ, Euromonitor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Trade press / industry media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CosmeticsDesign, RetailDive</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B-</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Company / PR source</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reports, press releases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General press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Reuters, Bloomberg, FT</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bCs/>
                <w:color w:val="333333"/>
                <w:sz w:val="20"/>
                <w:szCs w:val="20"/>
              </w:rPr>
              <w:t xml:space="preserve">D</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Aggregator / blog</w:t>
            </w:r>
          </w:p>
        </w:tc>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Industry blogs, aggregators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Social media / unverified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Weak signal only, never cited alone</w:t>
            </w:r>
          </w:p>
        </w:tc>
      </w:tr>
    </w:tbl>
    <w:p>
      <w:r>
        <w:br w:type="page"/>
      </w:r>
    </w:p>
    <w:p>
      <w:pPr>
        <w:pStyle w:val="Heading1"/>
        <w:spacing w:after="200" w:before="360"/>
      </w:pPr>
      <w:r>
        <w:rPr>
          <w:rFonts w:ascii="Arial" w:cs="Arial" w:eastAsia="Arial" w:hAnsi="Arial"/>
          <w:b/>
          <w:bCs/>
          <w:color w:val="1A5276"/>
          <w:sz w:val="32"/>
          <w:szCs w:val="32"/>
        </w:rPr>
        <w:t xml:space="preserve">5. Product Categories &amp; Dimensions</w:t>
      </w:r>
    </w:p>
    <w:p>
      <w:pPr>
        <w:spacing w:after="140" w:line="300"/>
      </w:pPr>
      <w:r>
        <w:rPr>
          <w:rFonts w:ascii="Arial" w:cs="Arial" w:eastAsia="Arial" w:hAnsi="Arial"/>
          <w:color w:val="333333"/>
          <w:sz w:val="22"/>
          <w:szCs w:val="22"/>
        </w:rPr>
        <w:t xml:space="preserve">PRISM models Henkel Consumer Brands across two business units and 12 product categories:</w:t>
      </w:r>
    </w:p>
    <w:p>
      <w:pPr>
        <w:pStyle w:val="Heading2"/>
        <w:spacing w:after="160" w:before="280"/>
      </w:pPr>
      <w:r>
        <w:rPr>
          <w:rFonts w:ascii="Arial" w:cs="Arial" w:eastAsia="Arial" w:hAnsi="Arial"/>
          <w:b/>
          <w:bCs/>
          <w:color w:val="333333"/>
          <w:sz w:val="26"/>
          <w:szCs w:val="26"/>
        </w:rPr>
        <w:t xml:space="preserve">5.1 Category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Business Unit</w:t>
            </w:r>
          </w:p>
        </w:tc>
        <w:tc>
          <w:tcPr>
            <w:tcW w:type="dxa" w:w="24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 Code</w:t>
            </w:r>
          </w:p>
        </w:tc>
        <w:tc>
          <w:tcPr>
            <w:tcW w:type="dxa" w:w="41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Full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Hair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Color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Hair Colorants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Hair</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Care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Hair Care (Shampoo, Conditioner)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Hair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Styling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Hair Styling Products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Hair</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Body</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Body Care / Shower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FCN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Fabric Care New (Liquid Detergent)</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FCA</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Fabric Care Additives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FFI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Fabric Fresheners &amp; Ironing</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LAD</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Laundry Aids &amp; Detergent Bars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HDW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Hand Dishwashing</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ADW</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Automatic Dishwashing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Household &amp; Surface Cleaners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Laundry &amp; Home Care</w:t>
            </w:r>
          </w:p>
        </w:tc>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IC</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Insect Control</w:t>
            </w:r>
          </w:p>
        </w:tc>
      </w:tr>
    </w:tbl>
    <w:p>
      <w:pPr>
        <w:spacing w:after="80"/>
      </w:pPr>
    </w:p>
    <w:p>
      <w:pPr>
        <w:pStyle w:val="Heading2"/>
        <w:spacing w:after="160" w:before="280"/>
      </w:pPr>
      <w:r>
        <w:rPr>
          <w:rFonts w:ascii="Arial" w:cs="Arial" w:eastAsia="Arial" w:hAnsi="Arial"/>
          <w:b/>
          <w:bCs/>
          <w:color w:val="333333"/>
          <w:sz w:val="26"/>
          <w:szCs w:val="26"/>
        </w:rPr>
        <w:t xml:space="preserve">5.2 The Six Strategic Forces</w:t>
      </w:r>
    </w:p>
    <w:p>
      <w:pPr>
        <w:spacing w:after="140" w:line="300"/>
      </w:pPr>
      <w:r>
        <w:rPr>
          <w:rFonts w:ascii="Arial" w:cs="Arial" w:eastAsia="Arial" w:hAnsi="Arial"/>
          <w:color w:val="333333"/>
          <w:sz w:val="22"/>
          <w:szCs w:val="22"/>
        </w:rPr>
        <w:t xml:space="preserve">Every trend in the database is assigned to exactly one of six forces. Each force represents a distinct category of external pressure on the profit pool:</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Consumer:</w:t>
      </w:r>
      <w:r>
        <w:rPr>
          <w:rFonts w:ascii="Arial" w:cs="Arial" w:eastAsia="Arial" w:hAnsi="Arial"/>
          <w:color w:val="333333"/>
          <w:sz w:val="22"/>
          <w:szCs w:val="22"/>
        </w:rPr>
        <w:t xml:space="preserve"> Demand-side shifts — preferences, demographics, purchasing behavior, lifestyle changes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Customer:</w:t>
      </w:r>
      <w:r>
        <w:rPr>
          <w:rFonts w:ascii="Arial" w:cs="Arial" w:eastAsia="Arial" w:hAnsi="Arial"/>
          <w:color w:val="333333"/>
          <w:sz w:val="22"/>
          <w:szCs w:val="22"/>
        </w:rPr>
        <w:t xml:space="preserve"> Channel and retail dynamics — consolidation, margin pressure, private label, e-commerce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Technology:</w:t>
      </w:r>
      <w:r>
        <w:rPr>
          <w:rFonts w:ascii="Arial" w:cs="Arial" w:eastAsia="Arial" w:hAnsi="Arial"/>
          <w:color w:val="333333"/>
          <w:sz w:val="22"/>
          <w:szCs w:val="22"/>
        </w:rPr>
        <w:t xml:space="preserve"> Innovation and operational — formulation, manufacturing, marketing technology, AI</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Government:</w:t>
      </w:r>
      <w:r>
        <w:rPr>
          <w:rFonts w:ascii="Arial" w:cs="Arial" w:eastAsia="Arial" w:hAnsi="Arial"/>
          <w:color w:val="333333"/>
          <w:sz w:val="22"/>
          <w:szCs w:val="22"/>
        </w:rPr>
        <w:t xml:space="preserve"> Regulatory and policy — chemical restrictions, packaging mandates, trade policy</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Environmental:</w:t>
      </w:r>
      <w:r>
        <w:rPr>
          <w:rFonts w:ascii="Arial" w:cs="Arial" w:eastAsia="Arial" w:hAnsi="Arial"/>
          <w:color w:val="333333"/>
          <w:sz w:val="22"/>
          <w:szCs w:val="22"/>
        </w:rPr>
        <w:t xml:space="preserve"> Sustainability and climate — resource scarcity, circular economy, carbon costs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Competitive:</w:t>
      </w:r>
      <w:r>
        <w:rPr>
          <w:rFonts w:ascii="Arial" w:cs="Arial" w:eastAsia="Arial" w:hAnsi="Arial"/>
          <w:color w:val="333333"/>
          <w:sz w:val="22"/>
          <w:szCs w:val="22"/>
        </w:rPr>
        <w:t xml:space="preserve"> Industry structure — M&amp;A, market entry, competitive positioning, category convergence</w:t>
      </w:r>
    </w:p>
    <w:p>
      <w:pPr>
        <w:pStyle w:val="Heading2"/>
        <w:spacing w:after="160" w:before="280"/>
      </w:pPr>
      <w:r>
        <w:rPr>
          <w:rFonts w:ascii="Arial" w:cs="Arial" w:eastAsia="Arial" w:hAnsi="Arial"/>
          <w:b/>
          <w:bCs/>
          <w:color w:val="333333"/>
          <w:sz w:val="26"/>
          <w:szCs w:val="26"/>
        </w:rPr>
        <w:t xml:space="preserve">5.3 Value Chain Steps</w:t>
      </w:r>
    </w:p>
    <w:p>
      <w:pPr>
        <w:spacing w:after="140" w:line="300"/>
      </w:pPr>
      <w:r>
        <w:rPr>
          <w:rFonts w:ascii="Arial" w:cs="Arial" w:eastAsia="Arial" w:hAnsi="Arial"/>
          <w:color w:val="333333"/>
          <w:sz w:val="22"/>
          <w:szCs w:val="22"/>
        </w:rPr>
        <w:t xml:space="preserve">Each trend is also scored for its impact across eight value chain steps: Raw Materials, Formulation, Manufacturing, Packaging, Supply Chain, Marketing, Commercial, and Consumer. This allows the strategy team to identify not just which categories are affected, but where in the value chain the pressure lands — informing whether the response should be R&amp;D-led, marketing-led, or supply chain-led.</w:t>
      </w:r>
    </w:p>
    <w:p>
      <w:pPr>
        <w:pStyle w:val="Heading2"/>
        <w:spacing w:after="160" w:before="280"/>
      </w:pPr>
      <w:r>
        <w:rPr>
          <w:rFonts w:ascii="Arial" w:cs="Arial" w:eastAsia="Arial" w:hAnsi="Arial"/>
          <w:b/>
          <w:bCs/>
          <w:color w:val="333333"/>
          <w:sz w:val="26"/>
          <w:szCs w:val="26"/>
        </w:rPr>
        <w:t xml:space="preserve">5.4 Regional Differentiation</w:t>
      </w:r>
    </w:p>
    <w:p>
      <w:pPr>
        <w:spacing w:after="140" w:line="300"/>
      </w:pPr>
      <w:r>
        <w:rPr>
          <w:rFonts w:ascii="Arial" w:cs="Arial" w:eastAsia="Arial" w:hAnsi="Arial"/>
          <w:color w:val="333333"/>
          <w:sz w:val="22"/>
          <w:szCs w:val="22"/>
        </w:rPr>
        <w:t xml:space="preserve">All trends carry regional exposure scores across four geographies: Europe, North America, Asia, and High Growth Markets. The simulation weights regional impact based on Henkel’s regional revenue profile, ensuring that a trend affecting only Asia doesn’t disproportionately impact the global assessment.</w:t>
      </w:r>
    </w:p>
    <w:p>
      <w:r>
        <w:br w:type="page"/>
      </w:r>
    </w:p>
    <w:p>
      <w:pPr>
        <w:pStyle w:val="Heading1"/>
        <w:spacing w:after="200" w:before="360"/>
      </w:pPr>
      <w:r>
        <w:rPr>
          <w:rFonts w:ascii="Arial" w:cs="Arial" w:eastAsia="Arial" w:hAnsi="Arial"/>
          <w:b/>
          <w:bCs/>
          <w:color w:val="1A5276"/>
          <w:sz w:val="32"/>
          <w:szCs w:val="32"/>
        </w:rPr>
        <w:t xml:space="preserve">6. Key Model Parameters</w:t>
      </w:r>
    </w:p>
    <w:p>
      <w:pPr>
        <w:spacing w:after="140" w:line="300"/>
      </w:pPr>
      <w:r>
        <w:rPr>
          <w:rFonts w:ascii="Arial" w:cs="Arial" w:eastAsia="Arial" w:hAnsi="Arial"/>
          <w:color w:val="333333"/>
          <w:sz w:val="22"/>
          <w:szCs w:val="22"/>
        </w:rPr>
        <w:t xml:space="preserve">PRISM’s behavior is governed by a set of configurable parameters. Understanding these parameters is essential for interpreting outputs and making informed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Explanation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Attenuation Factor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0.50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Dampening multiplier applied to each force’s contribution before compounding. A value of 0.50 means PRISM assumes only half of the theoretical maximum impact materializes. Can be calibrated via backtesting.</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Iterations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10,000</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Number of Monte Carlo draws. More iterations = more stable percentile estimates. Production runs use 50,000.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Within-Force Correlation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0.30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How correlated trends within the same force are. Higher values mean trends move more in lockstep.</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t-Copula Degrees of Freedom</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Controls tail dependence. Lower values = heavier tails = more “crisis correlation.” Value of 4 is moderately heavy-tailed.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Risk Aversion (λ)</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Optimizer parameter. 0 = pure growth seeking. 2+ = very conservative. 1.0 is balanced.</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Base Year</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2025</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Starting point for all path calculations.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Path Years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2026–2030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 granularity for shift projections.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Force Weights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Equal (16.7%)</w:t>
            </w:r>
          </w:p>
        </w:tc>
        <w:tc>
          <w:tcPr>
            <w:tcW w:type="dxa" w:w="5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Relative importance of each force. Configurable by the strategy team.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Neutral Threshold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0.001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Shifts below this magnitude are treated as zero.</w:t>
            </w:r>
          </w:p>
        </w:tc>
      </w:tr>
    </w:tbl>
    <w:p>
      <w:pPr>
        <w:spacing w:after="80"/>
      </w:pPr>
    </w:p>
    <w:p>
      <w:pPr>
        <w:spacing w:after="140" w:line="300"/>
      </w:pPr>
      <w:r>
        <w:rPr>
          <w:rFonts w:ascii="Arial" w:cs="Arial" w:eastAsia="Arial" w:hAnsi="Arial"/>
          <w:color w:val="333333"/>
          <w:sz w:val="22"/>
          <w:szCs w:val="22"/>
        </w:rPr>
        <w:t xml:space="preserve">All parameters are configurable via the Settings Panel in the War Room dashboard or via the API. Changes are logged in the audit trail with timestamp, user, and rationale.</w:t>
      </w:r>
    </w:p>
    <w:p>
      <w:r>
        <w:br w:type="page"/>
      </w:r>
    </w:p>
    <w:p>
      <w:pPr>
        <w:pStyle w:val="Heading1"/>
        <w:spacing w:after="200" w:before="360"/>
      </w:pPr>
      <w:r>
        <w:rPr>
          <w:rFonts w:ascii="Arial" w:cs="Arial" w:eastAsia="Arial" w:hAnsi="Arial"/>
          <w:b/>
          <w:bCs/>
          <w:color w:val="1A5276"/>
          <w:sz w:val="32"/>
          <w:szCs w:val="32"/>
        </w:rPr>
        <w:t xml:space="preserve">7. Quality Assurance &amp; Validation</w:t>
      </w:r>
    </w:p>
    <w:p>
      <w:pPr>
        <w:pStyle w:val="Heading2"/>
        <w:spacing w:after="160" w:before="280"/>
      </w:pPr>
      <w:r>
        <w:rPr>
          <w:rFonts w:ascii="Arial" w:cs="Arial" w:eastAsia="Arial" w:hAnsi="Arial"/>
          <w:b/>
          <w:bCs/>
          <w:color w:val="333333"/>
          <w:sz w:val="26"/>
          <w:szCs w:val="26"/>
        </w:rPr>
        <w:t xml:space="preserve">7.1 V12 Parity Validation</w:t>
      </w:r>
    </w:p>
    <w:p>
      <w:pPr>
        <w:spacing w:after="140" w:line="300"/>
      </w:pPr>
      <w:r>
        <w:rPr>
          <w:rFonts w:ascii="Arial" w:cs="Arial" w:eastAsia="Arial" w:hAnsi="Arial"/>
          <w:color w:val="333333"/>
          <w:sz w:val="22"/>
          <w:szCs w:val="22"/>
        </w:rPr>
        <w:t xml:space="preserve">Before trusting probabilistic outputs, PRISM includes a </w:t>
      </w:r>
      <w:r>
        <w:rPr>
          <w:rFonts w:ascii="Arial" w:cs="Arial" w:eastAsia="Arial" w:hAnsi="Arial"/>
          <w:b/>
          <w:bCs/>
          <w:color w:val="333333"/>
          <w:sz w:val="22"/>
          <w:szCs w:val="22"/>
        </w:rPr>
        <w:t xml:space="preserve">deterministic mode</w:t>
      </w:r>
      <w:r>
        <w:rPr>
          <w:rFonts w:ascii="Arial" w:cs="Arial" w:eastAsia="Arial" w:hAnsi="Arial"/>
          <w:color w:val="333333"/>
          <w:sz w:val="22"/>
          <w:szCs w:val="22"/>
        </w:rPr>
        <w:t xml:space="preserve"> that exactly replicates the V12 Excel calculation: multiplicative compounding with the same attenuation factor, force weights, and category exposures. This deterministic result must match the V12 Dashboard output within ±0.01 percentage points for all 12 categories. This is the trust anchor — if the deterministic mode matches Excel, users can be confident the probabilistic mode is building on a correct foundation.</w:t>
      </w:r>
    </w:p>
    <w:p>
      <w:pPr>
        <w:pStyle w:val="Heading2"/>
        <w:spacing w:after="160" w:before="280"/>
      </w:pPr>
      <w:r>
        <w:rPr>
          <w:rFonts w:ascii="Arial" w:cs="Arial" w:eastAsia="Arial" w:hAnsi="Arial"/>
          <w:b/>
          <w:bCs/>
          <w:color w:val="333333"/>
          <w:sz w:val="26"/>
          <w:szCs w:val="26"/>
        </w:rPr>
        <w:t xml:space="preserve">7.2 Convergence Diagnostics</w:t>
      </w:r>
    </w:p>
    <w:p>
      <w:pPr>
        <w:spacing w:after="140" w:line="300"/>
      </w:pPr>
      <w:r>
        <w:rPr>
          <w:rFonts w:ascii="Arial" w:cs="Arial" w:eastAsia="Arial" w:hAnsi="Arial"/>
          <w:color w:val="333333"/>
          <w:sz w:val="22"/>
          <w:szCs w:val="22"/>
        </w:rPr>
        <w:t xml:space="preserve">Every Monte Carlo run produces convergence diagnostics for each category:</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R-hat (R̂):</w:t>
      </w:r>
      <w:r>
        <w:rPr>
          <w:rFonts w:ascii="Arial" w:cs="Arial" w:eastAsia="Arial" w:hAnsi="Arial"/>
          <w:color w:val="333333"/>
          <w:sz w:val="22"/>
          <w:szCs w:val="22"/>
        </w:rPr>
        <w:t xml:space="preserve"> The Gelman-Rubin convergence statistic. Must be below 1.05 for results to be considered reliable. PRISM splits the samples into two halves and compares their statistics — if both halves agree, the simulation has converged.</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Effective Sample Size (ESS):</w:t>
      </w:r>
      <w:r>
        <w:rPr>
          <w:rFonts w:ascii="Arial" w:cs="Arial" w:eastAsia="Arial" w:hAnsi="Arial"/>
          <w:color w:val="333333"/>
          <w:sz w:val="22"/>
          <w:szCs w:val="22"/>
        </w:rPr>
        <w:t xml:space="preserve"> Accounts for autocorrelation in the samples. Higher ESS means more independent information. PRISM reports this alongside iteration count.</w:t>
      </w:r>
    </w:p>
    <w:p>
      <w:pPr>
        <w:pStyle w:val="Heading2"/>
        <w:spacing w:after="160" w:before="280"/>
      </w:pPr>
      <w:r>
        <w:rPr>
          <w:rFonts w:ascii="Arial" w:cs="Arial" w:eastAsia="Arial" w:hAnsi="Arial"/>
          <w:b/>
          <w:bCs/>
          <w:color w:val="333333"/>
          <w:sz w:val="26"/>
          <w:szCs w:val="26"/>
        </w:rPr>
        <w:t xml:space="preserve">7.3 Sensitivity Analysis</w:t>
      </w:r>
    </w:p>
    <w:p>
      <w:pPr>
        <w:spacing w:after="140" w:line="300"/>
      </w:pPr>
      <w:r>
        <w:rPr>
          <w:rFonts w:ascii="Arial" w:cs="Arial" w:eastAsia="Arial" w:hAnsi="Arial"/>
          <w:color w:val="333333"/>
          <w:sz w:val="22"/>
          <w:szCs w:val="22"/>
        </w:rPr>
        <w:t xml:space="preserve">PRISM provides four types of sensitivity analysis: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Tornado analysis:</w:t>
      </w:r>
      <w:r>
        <w:rPr>
          <w:rFonts w:ascii="Arial" w:cs="Arial" w:eastAsia="Arial" w:hAnsi="Arial"/>
          <w:color w:val="333333"/>
          <w:sz w:val="22"/>
          <w:szCs w:val="22"/>
        </w:rPr>
        <w:t xml:space="preserve"> Ranks all 55 trends by their leverage on the total category shift. Answers: “Which single trend matters most?”</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Breakeven analysis:</w:t>
      </w:r>
      <w:r>
        <w:rPr>
          <w:rFonts w:ascii="Arial" w:cs="Arial" w:eastAsia="Arial" w:hAnsi="Arial"/>
          <w:color w:val="333333"/>
          <w:sz w:val="22"/>
          <w:szCs w:val="22"/>
        </w:rPr>
        <w:t xml:space="preserve"> Determines what score change would make a currently negative category neutral. Answers: “How wrong would we need to be for this to not matter?”</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Sobol global sensitivity:</w:t>
      </w:r>
      <w:r>
        <w:rPr>
          <w:rFonts w:ascii="Arial" w:cs="Arial" w:eastAsia="Arial" w:hAnsi="Arial"/>
          <w:color w:val="333333"/>
          <w:sz w:val="22"/>
          <w:szCs w:val="22"/>
        </w:rPr>
        <w:t xml:space="preserve"> Variance-based decomposition that identifies which inputs contribute most to output uncertainty, including interaction effects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Reverse stress testing:</w:t>
      </w:r>
      <w:r>
        <w:rPr>
          <w:rFonts w:ascii="Arial" w:cs="Arial" w:eastAsia="Arial" w:hAnsi="Arial"/>
          <w:color w:val="333333"/>
          <w:sz w:val="22"/>
          <w:szCs w:val="22"/>
        </w:rPr>
        <w:t xml:space="preserve"> Given a target shift (e.g., -10%), finds the combination of input changes that would produce it. Answers: “What would have to go wrong for this outcome?”</w:t>
      </w:r>
    </w:p>
    <w:p>
      <w:pPr>
        <w:pStyle w:val="Heading2"/>
        <w:spacing w:after="160" w:before="280"/>
      </w:pPr>
      <w:r>
        <w:rPr>
          <w:rFonts w:ascii="Arial" w:cs="Arial" w:eastAsia="Arial" w:hAnsi="Arial"/>
          <w:b/>
          <w:bCs/>
          <w:color w:val="333333"/>
          <w:sz w:val="26"/>
          <w:szCs w:val="26"/>
        </w:rPr>
        <w:t xml:space="preserve">7.4 Financial Data Firewall</w:t>
      </w:r>
    </w:p>
    <w:p>
      <w:pPr>
        <w:spacing w:after="140" w:line="300"/>
      </w:pPr>
      <w:r>
        <w:rPr>
          <w:rFonts w:ascii="Arial" w:cs="Arial" w:eastAsia="Arial" w:hAnsi="Arial"/>
          <w:color w:val="333333"/>
          <w:sz w:val="22"/>
          <w:szCs w:val="22"/>
        </w:rPr>
        <w:t xml:space="preserve">A dedicated firewall module scans all data entering and leaving PRISM for absolute financial values (€ amounts, revenue figures, margin data). Any content matching financial patterns is blocked and flagged. This ensures PRISM operates exclusively with relative metrics, maintaining the separation between the simulation engine (percentages) and financial application (done externally in Excel or Power BI).</w:t>
      </w:r>
    </w:p>
    <w:p>
      <w:pPr>
        <w:pStyle w:val="Heading2"/>
        <w:spacing w:after="160" w:before="280"/>
      </w:pPr>
      <w:r>
        <w:rPr>
          <w:rFonts w:ascii="Arial" w:cs="Arial" w:eastAsia="Arial" w:hAnsi="Arial"/>
          <w:b/>
          <w:bCs/>
          <w:color w:val="333333"/>
          <w:sz w:val="26"/>
          <w:szCs w:val="26"/>
        </w:rPr>
        <w:t xml:space="preserve">7.5 Audit Trail</w:t>
      </w:r>
    </w:p>
    <w:p>
      <w:pPr>
        <w:spacing w:after="140" w:line="300"/>
      </w:pPr>
      <w:r>
        <w:rPr>
          <w:rFonts w:ascii="Arial" w:cs="Arial" w:eastAsia="Arial" w:hAnsi="Arial"/>
          <w:color w:val="333333"/>
          <w:sz w:val="22"/>
          <w:szCs w:val="22"/>
        </w:rPr>
        <w:t xml:space="preserve">Every action in PRISM is logged: trend score changes, parameter modifications, simulation runs, exports, and AI suggestions. The audit trail includes timestamps, the user who made the change, and the rationale. This creates full reproducibility — any past state of the model can be reconstructed from the audit log.</w:t>
      </w:r>
    </w:p>
    <w:p>
      <w:r>
        <w:br w:type="page"/>
      </w:r>
    </w:p>
    <w:p>
      <w:pPr>
        <w:pStyle w:val="Heading1"/>
        <w:spacing w:after="200" w:before="360"/>
      </w:pPr>
      <w:r>
        <w:rPr>
          <w:rFonts w:ascii="Arial" w:cs="Arial" w:eastAsia="Arial" w:hAnsi="Arial"/>
          <w:b/>
          <w:bCs/>
          <w:color w:val="1A5276"/>
          <w:sz w:val="32"/>
          <w:szCs w:val="32"/>
        </w:rPr>
        <w:t xml:space="preserve">8. AI-Augmented Intelligence</w:t>
      </w:r>
    </w:p>
    <w:p>
      <w:pPr>
        <w:spacing w:after="140" w:line="300"/>
      </w:pPr>
      <w:r>
        <w:rPr>
          <w:rFonts w:ascii="Arial" w:cs="Arial" w:eastAsia="Arial" w:hAnsi="Arial"/>
          <w:color w:val="333333"/>
          <w:sz w:val="22"/>
          <w:szCs w:val="22"/>
        </w:rPr>
        <w:t xml:space="preserve">PRISM includes an optional AI layer that augments — but never replaces — human judgment. The AI components operate on a strict “suggest, don’t decide” principle: every AI output enters a human review queue before affecting the model.</w:t>
      </w:r>
    </w:p>
    <w:p>
      <w:pPr>
        <w:pStyle w:val="Heading2"/>
        <w:spacing w:after="160" w:before="280"/>
      </w:pPr>
      <w:r>
        <w:rPr>
          <w:rFonts w:ascii="Arial" w:cs="Arial" w:eastAsia="Arial" w:hAnsi="Arial"/>
          <w:b/>
          <w:bCs/>
          <w:color w:val="333333"/>
          <w:sz w:val="26"/>
          <w:szCs w:val="26"/>
        </w:rPr>
        <w:t xml:space="preserve">8.1 Trend Scanner</w:t>
      </w:r>
    </w:p>
    <w:p>
      <w:pPr>
        <w:spacing w:after="140" w:line="300"/>
      </w:pPr>
      <w:r>
        <w:rPr>
          <w:rFonts w:ascii="Arial" w:cs="Arial" w:eastAsia="Arial" w:hAnsi="Arial"/>
          <w:color w:val="333333"/>
          <w:sz w:val="22"/>
          <w:szCs w:val="22"/>
        </w:rPr>
        <w:t xml:space="preserve">The scanner monitors 19 free external data sources across six categories to identify emerging trends that may affect the profit pool:</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News intelligence:</w:t>
      </w:r>
      <w:r>
        <w:rPr>
          <w:rFonts w:ascii="Arial" w:cs="Arial" w:eastAsia="Arial" w:hAnsi="Arial"/>
          <w:color w:val="333333"/>
          <w:sz w:val="22"/>
          <w:szCs w:val="22"/>
        </w:rPr>
        <w:t xml:space="preserve"> GDELT (global coverage), GNews (curated), CurrentsAPI (sentiment), 12 FMCG-specific RSS feeds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Regulatory monitoring:</w:t>
      </w:r>
      <w:r>
        <w:rPr>
          <w:rFonts w:ascii="Arial" w:cs="Arial" w:eastAsia="Arial" w:hAnsi="Arial"/>
          <w:color w:val="333333"/>
          <w:sz w:val="22"/>
          <w:szCs w:val="22"/>
        </w:rPr>
        <w:t xml:space="preserve"> ECHA CHEM (EU chemicals), EUR-Lex (EU legislation), EU Safety Gate (product safety)</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Competitive intelligence:</w:t>
      </w:r>
      <w:r>
        <w:rPr>
          <w:rFonts w:ascii="Arial" w:cs="Arial" w:eastAsia="Arial" w:hAnsi="Arial"/>
          <w:color w:val="333333"/>
          <w:sz w:val="22"/>
          <w:szCs w:val="22"/>
        </w:rPr>
        <w:t xml:space="preserve"> SEC EDGAR (US public filings), UK Companies House, EPO Patents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Consumer signals:</w:t>
      </w:r>
      <w:r>
        <w:rPr>
          <w:rFonts w:ascii="Arial" w:cs="Arial" w:eastAsia="Arial" w:hAnsi="Arial"/>
          <w:color w:val="333333"/>
          <w:sz w:val="22"/>
          <w:szCs w:val="22"/>
        </w:rPr>
        <w:t xml:space="preserve"> Google Trends, Reddit, YouTube Data API</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Macroeconomic data:</w:t>
      </w:r>
      <w:r>
        <w:rPr>
          <w:rFonts w:ascii="Arial" w:cs="Arial" w:eastAsia="Arial" w:hAnsi="Arial"/>
          <w:color w:val="333333"/>
          <w:sz w:val="22"/>
          <w:szCs w:val="22"/>
        </w:rPr>
        <w:t xml:space="preserve"> World Bank, IMF, FRED (commodity prices, PPI)</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Academic research:</w:t>
      </w:r>
      <w:r>
        <w:rPr>
          <w:rFonts w:ascii="Arial" w:cs="Arial" w:eastAsia="Arial" w:hAnsi="Arial"/>
          <w:color w:val="333333"/>
          <w:sz w:val="22"/>
          <w:szCs w:val="22"/>
        </w:rPr>
        <w:t xml:space="preserve"> Semantic Scholar, OpenAlex</w:t>
      </w:r>
    </w:p>
    <w:p>
      <w:pPr>
        <w:spacing w:after="140" w:line="300"/>
      </w:pPr>
      <w:r>
        <w:rPr>
          <w:rFonts w:ascii="Arial" w:cs="Arial" w:eastAsia="Arial" w:hAnsi="Arial"/>
          <w:color w:val="333333"/>
          <w:sz w:val="22"/>
          <w:szCs w:val="22"/>
        </w:rPr>
        <w:t xml:space="preserve">All 19 APIs are free tier, resulting in zero running cost for external data. The scanner produces weekly digests: “3 new developments may affect your assessment.”</w:t>
      </w:r>
    </w:p>
    <w:p>
      <w:pPr>
        <w:pStyle w:val="Heading2"/>
        <w:spacing w:after="160" w:before="280"/>
      </w:pPr>
      <w:r>
        <w:rPr>
          <w:rFonts w:ascii="Arial" w:cs="Arial" w:eastAsia="Arial" w:hAnsi="Arial"/>
          <w:b/>
          <w:bCs/>
          <w:color w:val="333333"/>
          <w:sz w:val="26"/>
          <w:szCs w:val="26"/>
        </w:rPr>
        <w:t xml:space="preserve">8.2 Score Calibrator</w:t>
      </w:r>
    </w:p>
    <w:p>
      <w:pPr>
        <w:spacing w:after="140" w:line="300"/>
      </w:pPr>
      <w:r>
        <w:rPr>
          <w:rFonts w:ascii="Arial" w:cs="Arial" w:eastAsia="Arial" w:hAnsi="Arial"/>
          <w:color w:val="333333"/>
          <w:sz w:val="22"/>
          <w:szCs w:val="22"/>
        </w:rPr>
        <w:t xml:space="preserve">The calibrator cross-validates expert scores for internal consistency. It benchmarks trends against Google Trends trajectory data and detects systematic biases: optimism (consistently underrating contraction forces), anchoring (scores barely moving between rounds), and recency (overweighting recent events).</w:t>
      </w:r>
    </w:p>
    <w:p>
      <w:pPr>
        <w:pStyle w:val="Heading2"/>
        <w:spacing w:after="160" w:before="280"/>
      </w:pPr>
      <w:r>
        <w:rPr>
          <w:rFonts w:ascii="Arial" w:cs="Arial" w:eastAsia="Arial" w:hAnsi="Arial"/>
          <w:b/>
          <w:bCs/>
          <w:color w:val="333333"/>
          <w:sz w:val="26"/>
          <w:szCs w:val="26"/>
        </w:rPr>
        <w:t xml:space="preserve">8.3 Scenario Narrator</w:t>
      </w:r>
    </w:p>
    <w:p>
      <w:pPr>
        <w:spacing w:after="140" w:line="300"/>
      </w:pPr>
      <w:r>
        <w:rPr>
          <w:rFonts w:ascii="Arial" w:cs="Arial" w:eastAsia="Arial" w:hAnsi="Arial"/>
          <w:color w:val="333333"/>
          <w:sz w:val="22"/>
          <w:szCs w:val="22"/>
        </w:rPr>
        <w:t xml:space="preserve">The narrator converts the Shift Matrix into executive-grade narratives with causal explanation. Rather than presenting raw numbers, it produces prose like: “Government regulation is driving 40% of the FCN contraction through its propagated effect on Technology (reformulation costs) and Customer (compliance pass-through).”</w:t>
      </w:r>
    </w:p>
    <w:p>
      <w:pPr>
        <w:pStyle w:val="Heading2"/>
        <w:spacing w:after="160" w:before="280"/>
      </w:pPr>
      <w:r>
        <w:rPr>
          <w:rFonts w:ascii="Arial" w:cs="Arial" w:eastAsia="Arial" w:hAnsi="Arial"/>
          <w:b/>
          <w:bCs/>
          <w:color w:val="333333"/>
          <w:sz w:val="26"/>
          <w:szCs w:val="26"/>
        </w:rPr>
        <w:t xml:space="preserve">8.4 Provider-Agnostic Architecture</w:t>
      </w:r>
    </w:p>
    <w:p>
      <w:pPr>
        <w:spacing w:after="140" w:line="300"/>
      </w:pPr>
      <w:r>
        <w:rPr>
          <w:rFonts w:ascii="Arial" w:cs="Arial" w:eastAsia="Arial" w:hAnsi="Arial"/>
          <w:color w:val="333333"/>
          <w:sz w:val="22"/>
          <w:szCs w:val="22"/>
        </w:rPr>
        <w:t xml:space="preserve">The AI layer is designed to work with multiple LLM providers via a unified interface. The MVP uses Claude API for rapid iteration. Production deployment is configured for Azure OpenAI inside Henkel’s Microsoft tenant, requiring zero code changes — only a configuration switch. A local option (Ollama) is available for maximum data privacy. The AI can also be disabled entirely (“no AI” mode) for runs that should rely purely on expert scores.</w:t>
      </w:r>
    </w:p>
    <w:p>
      <w:r>
        <w:br w:type="page"/>
      </w:r>
    </w:p>
    <w:p>
      <w:pPr>
        <w:pStyle w:val="Heading1"/>
        <w:spacing w:after="200" w:before="360"/>
      </w:pPr>
      <w:r>
        <w:rPr>
          <w:rFonts w:ascii="Arial" w:cs="Arial" w:eastAsia="Arial" w:hAnsi="Arial"/>
          <w:b/>
          <w:bCs/>
          <w:color w:val="1A5276"/>
          <w:sz w:val="32"/>
          <w:szCs w:val="32"/>
        </w:rPr>
        <w:t xml:space="preserve">9. Expert Elicitation: The Delphi Protocol</w:t>
      </w:r>
    </w:p>
    <w:p>
      <w:pPr>
        <w:spacing w:after="140" w:line="300"/>
      </w:pPr>
      <w:r>
        <w:rPr>
          <w:rFonts w:ascii="Arial" w:cs="Arial" w:eastAsia="Arial" w:hAnsi="Arial"/>
          <w:color w:val="333333"/>
          <w:sz w:val="22"/>
          <w:szCs w:val="22"/>
        </w:rPr>
        <w:t xml:space="preserve">Trend scoring in PRISM follows a formal </w:t>
      </w:r>
      <w:r>
        <w:rPr>
          <w:rFonts w:ascii="Arial" w:cs="Arial" w:eastAsia="Arial" w:hAnsi="Arial"/>
          <w:b/>
          <w:bCs/>
          <w:color w:val="333333"/>
          <w:sz w:val="22"/>
          <w:szCs w:val="22"/>
        </w:rPr>
        <w:t xml:space="preserve">Delphi protocol</w:t>
      </w:r>
      <w:r>
        <w:rPr>
          <w:rFonts w:ascii="Arial" w:cs="Arial" w:eastAsia="Arial" w:hAnsi="Arial"/>
          <w:color w:val="333333"/>
          <w:sz w:val="22"/>
          <w:szCs w:val="22"/>
        </w:rPr>
        <w:t xml:space="preserve"> — a structured methodology for extracting calibrated expert judgment while minimizing cognitive biases.</w:t>
      </w:r>
    </w:p>
    <w:p>
      <w:pPr>
        <w:pStyle w:val="Heading2"/>
        <w:spacing w:after="160" w:before="280"/>
      </w:pPr>
      <w:r>
        <w:rPr>
          <w:rFonts w:ascii="Arial" w:cs="Arial" w:eastAsia="Arial" w:hAnsi="Arial"/>
          <w:b/>
          <w:bCs/>
          <w:color w:val="333333"/>
          <w:sz w:val="26"/>
          <w:szCs w:val="26"/>
        </w:rPr>
        <w:t xml:space="preserve">9.1 The Three-Round Process</w:t>
      </w:r>
    </w:p>
    <w:p>
      <w:pPr>
        <w:pStyle w:val="ListParagraph"/>
        <w:numPr>
          <w:ilvl w:val="0"/>
          <w:numId w:val="5"/>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Round 1 (Blind):</w:t>
      </w:r>
      <w:r>
        <w:rPr>
          <w:rFonts w:ascii="Arial" w:cs="Arial" w:eastAsia="Arial" w:hAnsi="Arial"/>
          <w:color w:val="333333"/>
          <w:sz w:val="22"/>
          <w:szCs w:val="22"/>
        </w:rPr>
        <w:t xml:space="preserve"> Each expert independently scores all trends on probability (1–5). Scores are submitted without seeing others’ inputs. The system collects both scores and written rationales.</w:t>
      </w:r>
    </w:p>
    <w:p>
      <w:pPr>
        <w:pStyle w:val="ListParagraph"/>
        <w:numPr>
          <w:ilvl w:val="0"/>
          <w:numId w:val="5"/>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Round 2 (Calibrated):</w:t>
      </w:r>
      <w:r>
        <w:rPr>
          <w:rFonts w:ascii="Arial" w:cs="Arial" w:eastAsia="Arial" w:hAnsi="Arial"/>
          <w:color w:val="333333"/>
          <w:sz w:val="22"/>
          <w:szCs w:val="22"/>
        </w:rPr>
        <w:t xml:space="preserve"> Experts see the anonymized distribution of Round 1 scores (not who gave which score). They re-score with this group context, informed by AI calibration suggestions. The system measures how much scores move.</w:t>
      </w:r>
    </w:p>
    <w:p>
      <w:pPr>
        <w:pStyle w:val="ListParagraph"/>
        <w:numPr>
          <w:ilvl w:val="0"/>
          <w:numId w:val="5"/>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Round 3 (Discussion):</w:t>
      </w:r>
      <w:r>
        <w:rPr>
          <w:rFonts w:ascii="Arial" w:cs="Arial" w:eastAsia="Arial" w:hAnsi="Arial"/>
          <w:color w:val="333333"/>
          <w:sz w:val="22"/>
          <w:szCs w:val="22"/>
        </w:rPr>
        <w:t xml:space="preserve"> Outliers are discussed in a structured workshop. The final consensus score is a weighted median, where each expert’s weight reflects their historical calibration accuracy.</w:t>
      </w:r>
    </w:p>
    <w:p>
      <w:pPr>
        <w:pStyle w:val="Heading2"/>
        <w:spacing w:after="160" w:before="280"/>
      </w:pPr>
      <w:r>
        <w:rPr>
          <w:rFonts w:ascii="Arial" w:cs="Arial" w:eastAsia="Arial" w:hAnsi="Arial"/>
          <w:b/>
          <w:bCs/>
          <w:color w:val="333333"/>
          <w:sz w:val="26"/>
          <w:szCs w:val="26"/>
        </w:rPr>
        <w:t xml:space="preserve">9.2 Bias Detection &amp; Correction</w:t>
      </w:r>
    </w:p>
    <w:p>
      <w:pPr>
        <w:spacing w:after="140" w:line="300"/>
      </w:pPr>
      <w:r>
        <w:rPr>
          <w:rFonts w:ascii="Arial" w:cs="Arial" w:eastAsia="Arial" w:hAnsi="Arial"/>
          <w:color w:val="333333"/>
          <w:sz w:val="22"/>
          <w:szCs w:val="22"/>
        </w:rPr>
        <w:t xml:space="preserve">Between rounds, the system runs calibration exercises: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Anchoring detection:</w:t>
      </w:r>
      <w:r>
        <w:rPr>
          <w:rFonts w:ascii="Arial" w:cs="Arial" w:eastAsia="Arial" w:hAnsi="Arial"/>
          <w:color w:val="333333"/>
          <w:sz w:val="22"/>
          <w:szCs w:val="22"/>
        </w:rPr>
        <w:t xml:space="preserve"> If scores barely move between rounds despite new information, the expert may be anchored to their initial estimate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Optimism bias:</w:t>
      </w:r>
      <w:r>
        <w:rPr>
          <w:rFonts w:ascii="Arial" w:cs="Arial" w:eastAsia="Arial" w:hAnsi="Arial"/>
          <w:color w:val="333333"/>
          <w:sz w:val="22"/>
          <w:szCs w:val="22"/>
        </w:rPr>
        <w:t xml:space="preserve"> If an expert systematically underestimates contraction forces and overestimates expansion, a correction factor is applied</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Calibration exercises:</w:t>
      </w:r>
      <w:r>
        <w:rPr>
          <w:rFonts w:ascii="Arial" w:cs="Arial" w:eastAsia="Arial" w:hAnsi="Arial"/>
          <w:color w:val="333333"/>
          <w:sz w:val="22"/>
          <w:szCs w:val="22"/>
        </w:rPr>
        <w:t xml:space="preserve"> Experts score known historical outcomes (“In 2020, how would you have scored e-commerce acceleration?”) to measure each expert’s prediction accuracy</w:t>
      </w:r>
    </w:p>
    <w:p>
      <w:pPr>
        <w:pStyle w:val="Heading2"/>
        <w:spacing w:after="160" w:before="280"/>
      </w:pPr>
      <w:r>
        <w:rPr>
          <w:rFonts w:ascii="Arial" w:cs="Arial" w:eastAsia="Arial" w:hAnsi="Arial"/>
          <w:b/>
          <w:bCs/>
          <w:color w:val="333333"/>
          <w:sz w:val="26"/>
          <w:szCs w:val="26"/>
        </w:rPr>
        <w:t xml:space="preserve">9.3 Inter-Rater Reliability</w:t>
      </w:r>
    </w:p>
    <w:p>
      <w:pPr>
        <w:spacing w:after="140" w:line="300"/>
      </w:pPr>
      <w:r>
        <w:rPr>
          <w:rFonts w:ascii="Arial" w:cs="Arial" w:eastAsia="Arial" w:hAnsi="Arial"/>
          <w:color w:val="333333"/>
          <w:sz w:val="22"/>
          <w:szCs w:val="22"/>
        </w:rPr>
        <w:t xml:space="preserve">PRISM measures agreement across all scorers using Krippendorff’s alpha coefficient. A score above 0.80 indicates excellent agreement, 0.67–0.80 is acceptable, and below 0.67 triggers an additional scoring round. This ensures the consensus is genuine, not just the average of divergent opinions.</w:t>
      </w:r>
    </w:p>
    <w:p>
      <w:r>
        <w:br w:type="page"/>
      </w:r>
    </w:p>
    <w:p>
      <w:pPr>
        <w:pStyle w:val="Heading1"/>
        <w:spacing w:after="200" w:before="360"/>
      </w:pPr>
      <w:r>
        <w:rPr>
          <w:rFonts w:ascii="Arial" w:cs="Arial" w:eastAsia="Arial" w:hAnsi="Arial"/>
          <w:b/>
          <w:bCs/>
          <w:color w:val="1A5276"/>
          <w:sz w:val="32"/>
          <w:szCs w:val="32"/>
        </w:rPr>
        <w:t xml:space="preserve">10. The War Room Dashboard</w:t>
      </w:r>
    </w:p>
    <w:p>
      <w:pPr>
        <w:spacing w:after="140" w:line="300"/>
      </w:pPr>
      <w:r>
        <w:rPr>
          <w:rFonts w:ascii="Arial" w:cs="Arial" w:eastAsia="Arial" w:hAnsi="Arial"/>
          <w:color w:val="333333"/>
          <w:sz w:val="22"/>
          <w:szCs w:val="22"/>
        </w:rPr>
        <w:t xml:space="preserve">PRISM’s user interface follows the “War Room” concept: a single unified view that tells the strategic story at a glance, with contextual drill-down for depth. The design philosophy is inspired by best-in-class strategy tools: Apple-grade aesthetics, progressive disclosure, and every interaction under 200ms.</w:t>
      </w:r>
    </w:p>
    <w:p>
      <w:pPr>
        <w:pStyle w:val="Heading2"/>
        <w:spacing w:after="160" w:before="280"/>
      </w:pPr>
      <w:r>
        <w:rPr>
          <w:rFonts w:ascii="Arial" w:cs="Arial" w:eastAsia="Arial" w:hAnsi="Arial"/>
          <w:b/>
          <w:bCs/>
          <w:color w:val="333333"/>
          <w:sz w:val="26"/>
          <w:szCs w:val="26"/>
        </w:rPr>
        <w:t xml:space="preserve">10.1 The Main View</w:t>
      </w:r>
    </w:p>
    <w:p>
      <w:pPr>
        <w:spacing w:after="140" w:line="300"/>
      </w:pPr>
      <w:r>
        <w:rPr>
          <w:rFonts w:ascii="Arial" w:cs="Arial" w:eastAsia="Arial" w:hAnsi="Arial"/>
          <w:color w:val="333333"/>
          <w:sz w:val="22"/>
          <w:szCs w:val="22"/>
        </w:rPr>
        <w:t xml:space="preserve">The War Room presents three information layers simultaneously:</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Headline KPIs (top):</w:t>
      </w:r>
      <w:r>
        <w:rPr>
          <w:rFonts w:ascii="Arial" w:cs="Arial" w:eastAsia="Arial" w:hAnsi="Arial"/>
          <w:color w:val="333333"/>
          <w:sz w:val="22"/>
          <w:szCs w:val="22"/>
        </w:rPr>
        <w:t xml:space="preserve"> Net pool shift with 80% confidence interval, model accuracy score from backtesting, and path velocity indicator (accelerating or decelerating)</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Force × Category Heatmap (center):</w:t>
      </w:r>
      <w:r>
        <w:rPr>
          <w:rFonts w:ascii="Arial" w:cs="Arial" w:eastAsia="Arial" w:hAnsi="Arial"/>
          <w:color w:val="333333"/>
          <w:sz w:val="22"/>
          <w:szCs w:val="22"/>
        </w:rPr>
        <w:t xml:space="preserve"> A 12×6 matrix color-coded by shift magnitude. Green cells indicate expansion, red indicates contraction, with intensity proportional to magnitude. Animated causal flow lines show DAG propagation between forces.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Path Timeline (bottom):</w:t>
      </w:r>
      <w:r>
        <w:rPr>
          <w:rFonts w:ascii="Arial" w:cs="Arial" w:eastAsia="Arial" w:hAnsi="Arial"/>
          <w:color w:val="333333"/>
          <w:sz w:val="22"/>
          <w:szCs w:val="22"/>
        </w:rPr>
        <w:t xml:space="preserve"> The 2025–2030 continuous path for the selected category, with confidence bands (p10–p90) and velocity indicators. Scenario toggles allow instant comparison.</w:t>
      </w:r>
    </w:p>
    <w:p>
      <w:pPr>
        <w:pStyle w:val="Heading2"/>
        <w:spacing w:after="160" w:before="280"/>
      </w:pPr>
      <w:r>
        <w:rPr>
          <w:rFonts w:ascii="Arial" w:cs="Arial" w:eastAsia="Arial" w:hAnsi="Arial"/>
          <w:b/>
          <w:bCs/>
          <w:color w:val="333333"/>
          <w:sz w:val="26"/>
          <w:szCs w:val="26"/>
        </w:rPr>
        <w:t xml:space="preserve">10.2 Contextual Drill-Down</w:t>
      </w:r>
    </w:p>
    <w:p>
      <w:pPr>
        <w:spacing w:after="140" w:line="300"/>
      </w:pPr>
      <w:r>
        <w:rPr>
          <w:rFonts w:ascii="Arial" w:cs="Arial" w:eastAsia="Arial" w:hAnsi="Arial"/>
          <w:color w:val="333333"/>
          <w:sz w:val="22"/>
          <w:szCs w:val="22"/>
        </w:rPr>
        <w:t xml:space="preserve">Clicking any element in the main view opens a contextual panel that slides in from the right:</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Cell click:</w:t>
      </w:r>
      <w:r>
        <w:rPr>
          <w:rFonts w:ascii="Arial" w:cs="Arial" w:eastAsia="Arial" w:hAnsi="Arial"/>
          <w:color w:val="333333"/>
          <w:sz w:val="22"/>
          <w:szCs w:val="22"/>
        </w:rPr>
        <w:t xml:space="preserve"> Drill into the specific trends driving that force × category intersection, with Bayesian posterior distributions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Force click:</w:t>
      </w:r>
      <w:r>
        <w:rPr>
          <w:rFonts w:ascii="Arial" w:cs="Arial" w:eastAsia="Arial" w:hAnsi="Arial"/>
          <w:color w:val="333333"/>
          <w:sz w:val="22"/>
          <w:szCs w:val="22"/>
        </w:rPr>
        <w:t xml:space="preserve"> Causal propagation waterfall showing how that force’s shock cascades through the DAG</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Category click:</w:t>
      </w:r>
      <w:r>
        <w:rPr>
          <w:rFonts w:ascii="Arial" w:cs="Arial" w:eastAsia="Arial" w:hAnsi="Arial"/>
          <w:color w:val="333333"/>
          <w:sz w:val="22"/>
          <w:szCs w:val="22"/>
        </w:rPr>
        <w:t xml:space="preserve"> Allocation recommendation with current vs. recommended weights and the efficient frontier</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KPI click:</w:t>
      </w:r>
      <w:r>
        <w:rPr>
          <w:rFonts w:ascii="Arial" w:cs="Arial" w:eastAsia="Arial" w:hAnsi="Arial"/>
          <w:color w:val="333333"/>
          <w:sz w:val="22"/>
          <w:szCs w:val="22"/>
        </w:rPr>
        <w:t xml:space="preserve"> Full Monte Carlo distribution (violin plot) with tornado sensitivity analysis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Path click:</w:t>
      </w:r>
      <w:r>
        <w:rPr>
          <w:rFonts w:ascii="Arial" w:cs="Arial" w:eastAsia="Arial" w:hAnsi="Arial"/>
          <w:color w:val="333333"/>
          <w:sz w:val="22"/>
          <w:szCs w:val="22"/>
        </w:rPr>
        <w:t xml:space="preserve"> Velocity analysis with early-warning trigger status</w:t>
      </w:r>
    </w:p>
    <w:p>
      <w:pPr>
        <w:pStyle w:val="Heading2"/>
        <w:spacing w:after="160" w:before="280"/>
      </w:pPr>
      <w:r>
        <w:rPr>
          <w:rFonts w:ascii="Arial" w:cs="Arial" w:eastAsia="Arial" w:hAnsi="Arial"/>
          <w:b/>
          <w:bCs/>
          <w:color w:val="333333"/>
          <w:sz w:val="26"/>
          <w:szCs w:val="26"/>
        </w:rPr>
        <w:t xml:space="preserve">10.3 Two-Dashboard Architecture</w:t>
      </w:r>
    </w:p>
    <w:p>
      <w:pPr>
        <w:spacing w:after="140" w:line="300"/>
      </w:pPr>
      <w:r>
        <w:rPr>
          <w:rFonts w:ascii="Arial" w:cs="Arial" w:eastAsia="Arial" w:hAnsi="Arial"/>
          <w:color w:val="333333"/>
          <w:sz w:val="22"/>
          <w:szCs w:val="22"/>
        </w:rPr>
        <w:t xml:space="preserve">PRISM serves two audiences through two dashboards consuming the same underlying data:</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React War Room (Strategy Team):</w:t>
      </w:r>
      <w:r>
        <w:rPr>
          <w:rFonts w:ascii="Arial" w:cs="Arial" w:eastAsia="Arial" w:hAnsi="Arial"/>
          <w:color w:val="333333"/>
          <w:sz w:val="22"/>
          <w:szCs w:val="22"/>
        </w:rPr>
        <w:t xml:space="preserve"> Interactive, relative percentages, broad access, designed for exploration and “what-if” analysis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Power BI Dashboard (ExCo/Finance):</w:t>
      </w:r>
      <w:r>
        <w:rPr>
          <w:rFonts w:ascii="Arial" w:cs="Arial" w:eastAsia="Arial" w:hAnsi="Arial"/>
          <w:color w:val="333333"/>
          <w:sz w:val="22"/>
          <w:szCs w:val="22"/>
        </w:rPr>
        <w:t xml:space="preserve"> Absolute €M impact, restricted access, designed for governance reporting. The Shift Matrix is exported and applied via DAX formulas: GP1_Projected = GP1_Actual × (1 + shift_median)</w:t>
      </w:r>
    </w:p>
    <w:p>
      <w:pPr>
        <w:spacing w:after="140" w:line="300"/>
      </w:pPr>
      <w:r>
        <w:rPr>
          <w:rFonts w:ascii="Arial" w:cs="Arial" w:eastAsia="Arial" w:hAnsi="Arial"/>
          <w:color w:val="333333"/>
          <w:sz w:val="22"/>
          <w:szCs w:val="22"/>
        </w:rPr>
        <w:t xml:space="preserve">Both dashboards use the same color palette and directional semantics (green = expansion, red = contraction). The data flows one-way: PRISM → Power BI, never in reverse.</w:t>
      </w:r>
    </w:p>
    <w:p>
      <w:r>
        <w:br w:type="page"/>
      </w:r>
    </w:p>
    <w:p>
      <w:pPr>
        <w:pStyle w:val="Heading1"/>
        <w:spacing w:after="200" w:before="360"/>
      </w:pPr>
      <w:r>
        <w:rPr>
          <w:rFonts w:ascii="Arial" w:cs="Arial" w:eastAsia="Arial" w:hAnsi="Arial"/>
          <w:b/>
          <w:bCs/>
          <w:color w:val="1A5276"/>
          <w:sz w:val="32"/>
          <w:szCs w:val="32"/>
        </w:rPr>
        <w:t xml:space="preserve">11. Organizational Embedding</w:t>
      </w:r>
    </w:p>
    <w:p>
      <w:pPr>
        <w:spacing w:after="140" w:line="300"/>
      </w:pPr>
      <w:r>
        <w:rPr>
          <w:rFonts w:ascii="Arial" w:cs="Arial" w:eastAsia="Arial" w:hAnsi="Arial"/>
          <w:color w:val="333333"/>
          <w:sz w:val="22"/>
          <w:szCs w:val="22"/>
        </w:rPr>
        <w:t xml:space="preserve">A tool that doesn’t embed into decision processes becomes shelfware within 18 months. PRISM is designed to integrate into Henkel’s annual planning cycle and decision-making structure.</w:t>
      </w:r>
    </w:p>
    <w:p>
      <w:pPr>
        <w:pStyle w:val="Heading2"/>
        <w:spacing w:after="160" w:before="280"/>
      </w:pPr>
      <w:r>
        <w:rPr>
          <w:rFonts w:ascii="Arial" w:cs="Arial" w:eastAsia="Arial" w:hAnsi="Arial"/>
          <w:b/>
          <w:bCs/>
          <w:color w:val="333333"/>
          <w:sz w:val="26"/>
          <w:szCs w:val="26"/>
        </w:rPr>
        <w:t xml:space="preserve">11.1 Annual Planning Cycle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Quarter</w:t>
            </w:r>
          </w:p>
        </w:tc>
        <w:tc>
          <w:tcPr>
            <w:tcW w:type="dxa" w:w="22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PRISM Activities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Annual Calibration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Backtesting review (compare last year’s predictions vs. actuals), attenuation recalibration, causal DAG weight review, Delphi Round 1 (independent scoring), model parameter update</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Q2</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Strategic Planning</w:t>
            </w:r>
          </w:p>
        </w:tc>
        <w:tc>
          <w:tcPr>
            <w:tcW w:type="dxa" w:w="5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Delphi Round 2 (calibrated scoring with AI), full Monte Carlo run (50,000 iterations), scenario analysis for strategy week, optimizer run, Shift Matrix delivery to category teams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Q3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Mid-Year Review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AI scanner quarterly trend update, quick-refresh simulation (10,000 iterations), trigger check (has any early-warning fired?), path velocity review, strategy adjustment recommendations</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Q4</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Budget Integration</w:t>
            </w:r>
          </w:p>
        </w:tc>
        <w:tc>
          <w:tcPr>
            <w:tcW w:type="dxa" w:w="5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Final Shift Matrix for annual budget, competitive response update (post-earnings season), category allocation recommendations, ExCo presentation of pool outlook, version snapshot and annual archive</w:t>
            </w:r>
          </w:p>
        </w:tc>
      </w:tr>
    </w:tbl>
    <w:p>
      <w:pPr>
        <w:spacing w:after="80"/>
      </w:pPr>
    </w:p>
    <w:p>
      <w:pPr>
        <w:pStyle w:val="Heading2"/>
        <w:spacing w:after="160" w:before="280"/>
      </w:pPr>
      <w:r>
        <w:rPr>
          <w:rFonts w:ascii="Arial" w:cs="Arial" w:eastAsia="Arial" w:hAnsi="Arial"/>
          <w:b/>
          <w:bCs/>
          <w:color w:val="333333"/>
          <w:sz w:val="26"/>
          <w:szCs w:val="26"/>
        </w:rPr>
        <w:t xml:space="preserve">11.2 Decision Rights</w:t>
      </w:r>
    </w:p>
    <w:p>
      <w:pPr>
        <w:spacing w:after="140" w:line="300"/>
      </w:pPr>
      <w:r>
        <w:rPr>
          <w:rFonts w:ascii="Arial" w:cs="Arial" w:eastAsia="Arial" w:hAnsi="Arial"/>
          <w:color w:val="333333"/>
          <w:sz w:val="22"/>
          <w:szCs w:val="22"/>
        </w:rPr>
        <w:t xml:space="preserve">PRISM is an analytical engine, not a decision-maker. Clear governance ensures the right people make the right decisions: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Trend scores:</w:t>
      </w:r>
      <w:r>
        <w:rPr>
          <w:rFonts w:ascii="Arial" w:cs="Arial" w:eastAsia="Arial" w:hAnsi="Arial"/>
          <w:color w:val="333333"/>
          <w:sz w:val="22"/>
          <w:szCs w:val="22"/>
        </w:rPr>
        <w:t xml:space="preserve"> Determined by Delphi consensus. No single person can override the structured process.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Category allocation:</w:t>
      </w:r>
      <w:r>
        <w:rPr>
          <w:rFonts w:ascii="Arial" w:cs="Arial" w:eastAsia="Arial" w:hAnsi="Arial"/>
          <w:color w:val="333333"/>
          <w:sz w:val="22"/>
          <w:szCs w:val="22"/>
        </w:rPr>
        <w:t xml:space="preserve"> The Strategy VP decides, informed by the optimizer’s advisory recommendation.</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Scenario selection:</w:t>
      </w:r>
      <w:r>
        <w:rPr>
          <w:rFonts w:ascii="Arial" w:cs="Arial" w:eastAsia="Arial" w:hAnsi="Arial"/>
          <w:color w:val="333333"/>
          <w:sz w:val="22"/>
          <w:szCs w:val="22"/>
        </w:rPr>
        <w:t xml:space="preserve"> ExCo selects the planning scenario from PRISM’s full scenario set with probabilities.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 suggestion acceptance:</w:t>
      </w:r>
      <w:r>
        <w:rPr>
          <w:rFonts w:ascii="Arial" w:cs="Arial" w:eastAsia="Arial" w:hAnsi="Arial"/>
          <w:color w:val="333333"/>
          <w:sz w:val="22"/>
          <w:szCs w:val="22"/>
        </w:rPr>
        <w:t xml:space="preserve"> Requires joint approval of the Category Lead and Data Analytics team, with documented rationale in the audit trail.</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Model parameters:</w:t>
      </w:r>
      <w:r>
        <w:rPr>
          <w:rFonts w:ascii="Arial" w:cs="Arial" w:eastAsia="Arial" w:hAnsi="Arial"/>
          <w:color w:val="333333"/>
          <w:sz w:val="22"/>
          <w:szCs w:val="22"/>
        </w:rPr>
        <w:t xml:space="preserve"> Empirically derived by the Data/Analytics team during annual review. Not negotiable without backtesting evidence.</w:t>
      </w:r>
    </w:p>
    <w:p>
      <w:r>
        <w:br w:type="page"/>
      </w:r>
    </w:p>
    <w:p>
      <w:pPr>
        <w:pStyle w:val="Heading1"/>
        <w:spacing w:after="200" w:before="360"/>
      </w:pPr>
      <w:r>
        <w:rPr>
          <w:rFonts w:ascii="Arial" w:cs="Arial" w:eastAsia="Arial" w:hAnsi="Arial"/>
          <w:b/>
          <w:bCs/>
          <w:color w:val="1A5276"/>
          <w:sz w:val="32"/>
          <w:szCs w:val="32"/>
        </w:rPr>
        <w:t xml:space="preserve">12. How to Read PRISM Outputs</w:t>
      </w:r>
    </w:p>
    <w:p>
      <w:pPr>
        <w:spacing w:after="140" w:line="300"/>
      </w:pPr>
      <w:r>
        <w:rPr>
          <w:rFonts w:ascii="Arial" w:cs="Arial" w:eastAsia="Arial" w:hAnsi="Arial"/>
          <w:color w:val="333333"/>
          <w:sz w:val="22"/>
          <w:szCs w:val="22"/>
        </w:rPr>
        <w:t xml:space="preserve">This section provides practical guidance for interpreting PRISM’s deliverables.</w:t>
      </w:r>
    </w:p>
    <w:p>
      <w:pPr>
        <w:pStyle w:val="Heading2"/>
        <w:spacing w:after="160" w:before="280"/>
      </w:pPr>
      <w:r>
        <w:rPr>
          <w:rFonts w:ascii="Arial" w:cs="Arial" w:eastAsia="Arial" w:hAnsi="Arial"/>
          <w:b/>
          <w:bCs/>
          <w:color w:val="333333"/>
          <w:sz w:val="26"/>
          <w:szCs w:val="26"/>
        </w:rPr>
        <w:t xml:space="preserve">12.1 Reading the Shift Matrix</w:t>
      </w:r>
    </w:p>
    <w:p>
      <w:pPr>
        <w:spacing w:after="140" w:line="300"/>
      </w:pPr>
      <w:r>
        <w:rPr>
          <w:rFonts w:ascii="Arial" w:cs="Arial" w:eastAsia="Arial" w:hAnsi="Arial"/>
          <w:color w:val="333333"/>
          <w:sz w:val="22"/>
          <w:szCs w:val="22"/>
        </w:rPr>
        <w:t xml:space="preserve">The Shift Matrix shows percentage shifts at five percentile levels for each category and year:</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p10 (optimistic):</w:t>
      </w:r>
      <w:r>
        <w:rPr>
          <w:rFonts w:ascii="Arial" w:cs="Arial" w:eastAsia="Arial" w:hAnsi="Arial"/>
          <w:color w:val="333333"/>
          <w:sz w:val="22"/>
          <w:szCs w:val="22"/>
        </w:rPr>
        <w:t xml:space="preserve"> Only a 10% chance the outcome will be better than this</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p25:</w:t>
      </w:r>
      <w:r>
        <w:rPr>
          <w:rFonts w:ascii="Arial" w:cs="Arial" w:eastAsia="Arial" w:hAnsi="Arial"/>
          <w:color w:val="333333"/>
          <w:sz w:val="22"/>
          <w:szCs w:val="22"/>
        </w:rPr>
        <w:t xml:space="preserve"> The optimistic end of the likely range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p50 / median:</w:t>
      </w:r>
      <w:r>
        <w:rPr>
          <w:rFonts w:ascii="Arial" w:cs="Arial" w:eastAsia="Arial" w:hAnsi="Arial"/>
          <w:color w:val="333333"/>
          <w:sz w:val="22"/>
          <w:szCs w:val="22"/>
        </w:rPr>
        <w:t xml:space="preserve"> The central estimate — the single best number for planning</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p75:</w:t>
      </w:r>
      <w:r>
        <w:rPr>
          <w:rFonts w:ascii="Arial" w:cs="Arial" w:eastAsia="Arial" w:hAnsi="Arial"/>
          <w:color w:val="333333"/>
          <w:sz w:val="22"/>
          <w:szCs w:val="22"/>
        </w:rPr>
        <w:t xml:space="preserve"> The pessimistic end of the likely range</w:t>
      </w:r>
    </w:p>
    <w:p>
      <w:pPr>
        <w:pStyle w:val="ListParagraph"/>
        <w:numPr>
          <w:ilvl w:val="0"/>
          <w:numId w:val="3"/>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p90 (pessimistic):</w:t>
      </w:r>
      <w:r>
        <w:rPr>
          <w:rFonts w:ascii="Arial" w:cs="Arial" w:eastAsia="Arial" w:hAnsi="Arial"/>
          <w:color w:val="333333"/>
          <w:sz w:val="22"/>
          <w:szCs w:val="22"/>
        </w:rPr>
        <w:t xml:space="preserve"> Only a 10% chance the outcome will be worse than this</w:t>
      </w:r>
    </w:p>
    <w:p>
      <w:pPr>
        <w:spacing w:after="140" w:line="300"/>
      </w:pPr>
      <w:r>
        <w:rPr>
          <w:rFonts w:ascii="Arial" w:cs="Arial" w:eastAsia="Arial" w:hAnsi="Arial"/>
          <w:color w:val="333333"/>
          <w:sz w:val="22"/>
          <w:szCs w:val="22"/>
        </w:rPr>
        <w:t xml:space="preserve">The spread between p10 and p90 is the </w:t>
      </w:r>
      <w:r>
        <w:rPr>
          <w:rFonts w:ascii="Arial" w:cs="Arial" w:eastAsia="Arial" w:hAnsi="Arial"/>
          <w:b/>
          <w:bCs/>
          <w:color w:val="333333"/>
          <w:sz w:val="22"/>
          <w:szCs w:val="22"/>
        </w:rPr>
        <w:t xml:space="preserve">80% confidence interval</w:t>
      </w:r>
      <w:r>
        <w:rPr>
          <w:rFonts w:ascii="Arial" w:cs="Arial" w:eastAsia="Arial" w:hAnsi="Arial"/>
          <w:color w:val="333333"/>
          <w:sz w:val="22"/>
          <w:szCs w:val="22"/>
        </w:rPr>
        <w:t xml:space="preserve">. A narrow band (e.g., -1.0% to -1.5%) indicates high certainty. A wide band (e.g., -0.5% to -8.0%) indicates significant uncertainty and warrants closer attention.</w:t>
      </w:r>
    </w:p>
    <w:p>
      <w:pPr>
        <w:pStyle w:val="Heading2"/>
        <w:spacing w:after="160" w:before="280"/>
      </w:pPr>
      <w:r>
        <w:rPr>
          <w:rFonts w:ascii="Arial" w:cs="Arial" w:eastAsia="Arial" w:hAnsi="Arial"/>
          <w:b/>
          <w:bCs/>
          <w:color w:val="333333"/>
          <w:sz w:val="26"/>
          <w:szCs w:val="26"/>
        </w:rPr>
        <w:t xml:space="preserve">12.2 Applying Shifts to Financials</w:t>
      </w:r>
    </w:p>
    <w:p>
      <w:pPr>
        <w:spacing w:after="140" w:line="300"/>
      </w:pPr>
      <w:r>
        <w:rPr>
          <w:rFonts w:ascii="Arial" w:cs="Arial" w:eastAsia="Arial" w:hAnsi="Arial"/>
          <w:color w:val="333333"/>
          <w:sz w:val="22"/>
          <w:szCs w:val="22"/>
        </w:rPr>
        <w:t xml:space="preserve">Users apply PRISM outputs to their own financial models using three simple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EBF5FB" w:val="clear"/>
            <w:tcMar>
              <w:top w:type="dxa" w:w="120"/>
              <w:left w:type="dxa" w:w="200"/>
              <w:bottom w:type="dxa" w:w="120"/>
              <w:right w:type="dxa" w:w="200"/>
            </w:tcMar>
          </w:tcPr>
          <w:p>
            <w:pPr>
              <w:spacing w:after="0" w:line="300"/>
            </w:pPr>
            <w:r>
              <w:rPr>
                <w:rFonts w:ascii="Arial" w:cs="Arial" w:eastAsia="Arial" w:hAnsi="Arial"/>
                <w:i/>
                <w:iCs/>
                <w:color w:val="1A5276"/>
                <w:sz w:val="22"/>
                <w:szCs w:val="22"/>
              </w:rPr>
              <w:t xml:space="preserve">Base case: GP1_projected = GP1_actual × (1 + median)
Bear case: GP1_projected = GP1_actual × (1 + p90)
Bull case: GP1_projected = GP1_actual × (1 + p10)</w:t>
            </w:r>
          </w:p>
        </w:tc>
      </w:tr>
    </w:tbl>
    <w:p>
      <w:pPr>
        <w:spacing w:after="80"/>
      </w:pPr>
    </w:p>
    <w:p>
      <w:pPr>
        <w:spacing w:after="140" w:line="300"/>
      </w:pPr>
      <w:r>
        <w:rPr>
          <w:rFonts w:ascii="Arial" w:cs="Arial" w:eastAsia="Arial" w:hAnsi="Arial"/>
          <w:color w:val="333333"/>
          <w:sz w:val="22"/>
          <w:szCs w:val="22"/>
        </w:rPr>
        <w:t xml:space="preserve">Example: If Hair: Color has GP1 of €100M and PRISM shows a median shift of -3.2%, then GP1_projected = €100M × (1 + (-0.032)) = €96.8M. The bear case (p90 = -6.5%) would be €93.5M.</w:t>
      </w:r>
    </w:p>
    <w:p>
      <w:pPr>
        <w:pStyle w:val="Heading2"/>
        <w:spacing w:after="160" w:before="280"/>
      </w:pPr>
      <w:r>
        <w:rPr>
          <w:rFonts w:ascii="Arial" w:cs="Arial" w:eastAsia="Arial" w:hAnsi="Arial"/>
          <w:b/>
          <w:bCs/>
          <w:color w:val="333333"/>
          <w:sz w:val="26"/>
          <w:szCs w:val="26"/>
        </w:rPr>
        <w:t xml:space="preserve">12.3 Reading the Force Decomposition</w:t>
      </w:r>
    </w:p>
    <w:p>
      <w:pPr>
        <w:spacing w:after="140" w:line="300"/>
      </w:pPr>
      <w:r>
        <w:rPr>
          <w:rFonts w:ascii="Arial" w:cs="Arial" w:eastAsia="Arial" w:hAnsi="Arial"/>
          <w:color w:val="333333"/>
          <w:sz w:val="22"/>
          <w:szCs w:val="22"/>
        </w:rPr>
        <w:t xml:space="preserve">The causal decomposition shows how much of each category’s total shift is driven by each force. This answers the critical question: “Why is this category shifting, and which forces are responsible?” The decomposition distinguishes between direct effects (the force’s own trends) and propagated effects (impact arriving through the causal DAG from other forces).</w:t>
      </w:r>
    </w:p>
    <w:p>
      <w:pPr>
        <w:pStyle w:val="Heading2"/>
        <w:spacing w:after="160" w:before="280"/>
      </w:pPr>
      <w:r>
        <w:rPr>
          <w:rFonts w:ascii="Arial" w:cs="Arial" w:eastAsia="Arial" w:hAnsi="Arial"/>
          <w:b/>
          <w:bCs/>
          <w:color w:val="333333"/>
          <w:sz w:val="26"/>
          <w:szCs w:val="26"/>
        </w:rPr>
        <w:t xml:space="preserve">12.4 Reading Allocation Recommendations</w:t>
      </w:r>
    </w:p>
    <w:p>
      <w:pPr>
        <w:spacing w:after="140" w:line="300"/>
      </w:pPr>
      <w:r>
        <w:rPr>
          <w:rFonts w:ascii="Arial" w:cs="Arial" w:eastAsia="Arial" w:hAnsi="Arial"/>
          <w:color w:val="333333"/>
          <w:sz w:val="22"/>
          <w:szCs w:val="22"/>
        </w:rPr>
        <w:t xml:space="preserve">The optimizer’s output is a set of relative weights summing to 100%. Compare these to the current allocation to identify where PRISM suggests increasing or decreasing investment. A category receiving a weight significantly above the equal-weight benchmark (8.3% for 12 categories) is a recommended “invest more” category; one below is a “reduce” category. The defense ranking orders categories from least to most exposed in contraction scenarios.</w:t>
      </w:r>
    </w:p>
    <w:p>
      <w:r>
        <w:br w:type="page"/>
      </w:r>
    </w:p>
    <w:p>
      <w:pPr>
        <w:pStyle w:val="Heading1"/>
        <w:spacing w:after="200" w:before="360"/>
      </w:pPr>
      <w:r>
        <w:rPr>
          <w:rFonts w:ascii="Arial" w:cs="Arial" w:eastAsia="Arial" w:hAnsi="Arial"/>
          <w:b/>
          <w:bCs/>
          <w:color w:val="1A5276"/>
          <w:sz w:val="32"/>
          <w:szCs w:val="32"/>
        </w:rPr>
        <w:t xml:space="preserve">13. Known Limitations &amp; Assumptions</w:t>
      </w:r>
    </w:p>
    <w:p>
      <w:pPr>
        <w:spacing w:after="140" w:line="300"/>
      </w:pPr>
      <w:r>
        <w:rPr>
          <w:rFonts w:ascii="Arial" w:cs="Arial" w:eastAsia="Arial" w:hAnsi="Arial"/>
          <w:color w:val="333333"/>
          <w:sz w:val="22"/>
          <w:szCs w:val="22"/>
        </w:rPr>
        <w:t xml:space="preserve">Responsible use of PRISM requires understanding its limitations:</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Attenuation factor assumed at 0.50.</w:t>
      </w:r>
      <w:r>
        <w:rPr>
          <w:rFonts w:ascii="Arial" w:cs="Arial" w:eastAsia="Arial" w:hAnsi="Arial"/>
          <w:color w:val="333333"/>
          <w:sz w:val="22"/>
          <w:szCs w:val="22"/>
        </w:rPr>
        <w:t xml:space="preserve"> This parameter dampens the theoretical maximum impact. It has not yet been calibrated via full backtesting against historical data (V1–V11 versions). Once sufficient historical data is available, this value should be empirically derived. Until then, it is clearly labeled “assumed, not calibrated.”</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Causal DAG weights are expert-estimated.</w:t>
      </w:r>
      <w:r>
        <w:rPr>
          <w:rFonts w:ascii="Arial" w:cs="Arial" w:eastAsia="Arial" w:hAnsi="Arial"/>
          <w:color w:val="333333"/>
          <w:sz w:val="22"/>
          <w:szCs w:val="22"/>
        </w:rPr>
        <w:t xml:space="preserve"> The 17 propagation weights are based on economic logic and literature, not fitted to observed data. Sensitivity analysis shows the model is most sensitive to the Government → Technology and Environmental → Government edges.</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Competitive response model is directional, not predictive.</w:t>
      </w:r>
      <w:r>
        <w:rPr>
          <w:rFonts w:ascii="Arial" w:cs="Arial" w:eastAsia="Arial" w:hAnsi="Arial"/>
          <w:color w:val="333333"/>
          <w:sz w:val="22"/>
          <w:szCs w:val="22"/>
        </w:rPr>
        <w:t xml:space="preserve"> The game theory layer uses archetypes based on public information. It captures broad patterns (“P&amp;G will likely premiumize”) but cannot predict specific competitive moves.</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Expert scoring biases persist.</w:t>
      </w:r>
      <w:r>
        <w:rPr>
          <w:rFonts w:ascii="Arial" w:cs="Arial" w:eastAsia="Arial" w:hAnsi="Arial"/>
          <w:color w:val="333333"/>
          <w:sz w:val="22"/>
          <w:szCs w:val="22"/>
        </w:rPr>
        <w:t xml:space="preserve"> Despite the Delphi protocol’s debiasing measures, systematic biases (organizational optimism, anchoring to previous scores) may remain. The calibration exercises quantify but cannot fully eliminate these biases.</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 black swan modeling.</w:t>
      </w:r>
      <w:r>
        <w:rPr>
          <w:rFonts w:ascii="Arial" w:cs="Arial" w:eastAsia="Arial" w:hAnsi="Arial"/>
          <w:color w:val="333333"/>
          <w:sz w:val="22"/>
          <w:szCs w:val="22"/>
        </w:rPr>
        <w:t xml:space="preserve"> PRISM models scenarios within the range of its trend database. Truly unforeseen events (a pandemic, a supply chain crisis of unprecedented type) are outside the model’s scope. The “Perfect Storm” scenario approximates tail risk but within known trend categories.</w:t>
      </w:r>
    </w:p>
    <w:p>
      <w:pPr>
        <w:pStyle w:val="ListParagraph"/>
        <w:numPr>
          <w:ilvl w:val="0"/>
          <w:numId w:val="2"/>
        </w:numPr>
        <w:spacing w:after="80" w:line="3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All outputs are relative.</w:t>
      </w:r>
      <w:r>
        <w:rPr>
          <w:rFonts w:ascii="Arial" w:cs="Arial" w:eastAsia="Arial" w:hAnsi="Arial"/>
          <w:color w:val="333333"/>
          <w:sz w:val="22"/>
          <w:szCs w:val="22"/>
        </w:rPr>
        <w:t xml:space="preserve"> PRISM produces percentage shifts, not absolute financial projections. The accuracy of final €M projections depends on the accuracy of the base financial data the user applies the shifts to.</w:t>
      </w:r>
    </w:p>
    <w:p>
      <w:r>
        <w:br w:type="page"/>
      </w:r>
    </w:p>
    <w:p>
      <w:pPr>
        <w:pStyle w:val="Heading1"/>
        <w:spacing w:after="200" w:before="360"/>
      </w:pPr>
      <w:r>
        <w:rPr>
          <w:rFonts w:ascii="Arial" w:cs="Arial" w:eastAsia="Arial" w:hAnsi="Arial"/>
          <w:b/>
          <w:bCs/>
          <w:color w:val="1A5276"/>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Attenuation Factor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Dampening multiplier (0–1) applied to force contributions to prevent overestimation</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Bayesian Inference</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Statistical approach where beliefs (distributions) are updated as evidence arrives, rather than using fixed assumptions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Beta Distribution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 probability distribution on the interval [0,1], ideal for modeling uncertain probabilities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Causal DAG</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Directed Acyclic Graph modeling how forces influence each other through causal mechanisms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Copula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 mathematical tool for modeling dependencies between random variables, especially in the tails of distributions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Delphi Protocol</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Structured multi-round expert elicitation method designed to extract calibrated group judgment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Diffusion Curve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The temporal pattern by which a trend’s impact materializes (S-curve, linear, etc.)</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Efficient Frontier</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The set of portfolios offering maximum return for each level of 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ESS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Effective Sample Size — the number of “independent” samples after accounting for autocorrelation</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Force</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One of six strategic dimensions (Consumer, Customer, Technology, Government, Environmental, Competitive)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GP1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Gross Profit 1 — the primary profit metric for profit pool analysis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gp1_pct_affected</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The fraction of a category’s GP1 that a trend can realistically touch at full materialization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Monte Carlo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Simulation method using repeated random sampling to understand the range of possible outcomes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R-hat (R̂)</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Gelman-Rubin convergence diagnostic — values below 1.05 indicate the simulation has converged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Shift Matrix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PRISM’s primary output: percentage shifts by category, year, and confidence level</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t-Copula</w:t>
            </w:r>
          </w:p>
        </w:tc>
        <w:tc>
          <w:tcPr>
            <w:tcW w:type="dxa" w:w="6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 copula based on the Student-t distribution, capturing heavier-than-normal tail dependence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Velocity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Year-over-year rate of change in the shift path</w:t>
            </w:r>
          </w:p>
        </w:tc>
      </w:tr>
    </w:tbl>
    <w:p>
      <w:pPr>
        <w:spacing w:after="80"/>
      </w:pPr>
    </w:p>
    <w:p>
      <w:pPr>
        <w:spacing w:after="80"/>
      </w:pPr>
    </w:p>
    <w:p>
      <w:pPr>
        <w:pBdr>
          <w:bottom w:val="single" w:color="CC0000" w:sz="6" w:space="1"/>
        </w:pBdr>
        <w:spacing w:after="200" w:before="200"/>
      </w:pPr>
    </w:p>
    <w:p>
      <w:pPr>
        <w:spacing w:after="80"/>
      </w:pPr>
    </w:p>
    <w:p>
      <w:pPr>
        <w:spacing w:after="100"/>
        <w:jc w:val="center"/>
      </w:pPr>
      <w:r>
        <w:rPr>
          <w:rFonts w:ascii="Arial" w:cs="Arial" w:eastAsia="Arial" w:hAnsi="Arial"/>
          <w:i/>
          <w:iCs/>
          <w:color w:val="666666"/>
          <w:sz w:val="22"/>
          <w:szCs w:val="22"/>
        </w:rPr>
        <w:t xml:space="preserve">End of Document</w:t>
      </w:r>
    </w:p>
    <w:p>
      <w:pPr>
        <w:spacing w:after="100"/>
        <w:jc w:val="center"/>
      </w:pPr>
      <w:r>
        <w:rPr>
          <w:rFonts w:ascii="Arial" w:cs="Arial" w:eastAsia="Arial" w:hAnsi="Arial"/>
          <w:color w:val="666666"/>
          <w:sz w:val="20"/>
          <w:szCs w:val="20"/>
        </w:rPr>
        <w:t xml:space="preserve">PRISM v2.3 — April 2026</w:t>
      </w:r>
    </w:p>
    <w:p>
      <w:pPr>
        <w:jc w:val="center"/>
      </w:pPr>
      <w:r>
        <w:rPr>
          <w:rFonts w:ascii="Arial" w:cs="Arial" w:eastAsia="Arial" w:hAnsi="Arial"/>
          <w:b/>
          <w:bCs/>
          <w:color w:val="CC0000"/>
          <w:sz w:val="20"/>
          <w:szCs w:val="20"/>
        </w:rPr>
        <w:t xml:space="preserve">CONFIDENTIAL — Henkel Consumer Brands,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666666"/>
        <w:sz w:val="16"/>
        <w:szCs w:val="16"/>
      </w:rPr>
      <w:t xml:space="preserve">PRISM — Methodology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2026-04-08T21:19:37.322Z</dcterms:created>
  <dcterms:modified xsi:type="dcterms:W3CDTF">2026-04-08T21:19:37.323Z</dcterms:modified>
</cp:coreProperties>
</file>

<file path=docProps/custom.xml><?xml version="1.0" encoding="utf-8"?>
<Properties xmlns="http://schemas.openxmlformats.org/officeDocument/2006/custom-properties" xmlns:vt="http://schemas.openxmlformats.org/officeDocument/2006/docPropsVTypes"/>
</file>