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PRISM</w:t>
      </w:r>
    </w:p>
    <w:p>
      <w:pPr>
        <w:spacing w:after="100"/>
        <w:jc w:val="center"/>
      </w:pPr>
      <w:r>
        <w:rPr>
          <w:rFonts w:ascii="Arial" w:cs="Arial" w:eastAsia="Arial" w:hAnsi="Arial"/>
          <w:color w:val="028090"/>
          <w:sz w:val="36"/>
          <w:szCs w:val="36"/>
        </w:rPr>
        <w:t xml:space="preserve">Trend Research Process Guide</w:t>
      </w:r>
    </w:p>
    <w:p>
      <w:pPr>
        <w:pBdr>
          <w:top w:val="single" w:color="028090" w:sz="4" w:space="12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 Repeatable Methodology for Identifying, Validating,
and Scoring Strategic Trends for the Profit Pool Simulation Model</w:t>
      </w:r>
    </w:p>
    <w:p>
      <w:pPr>
        <w:spacing w:before="6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Henkel Consumer Brands — Strategy &amp; Analytics</w:t>
      </w:r>
    </w:p>
    <w:p>
      <w:pPr>
        <w:spacing w:before="1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March 2026 — Version 1.0</w:t>
      </w:r>
    </w:p>
    <w:p>
      <w:r>
        <w:br w:type="page"/>
      </w:r>
    </w:p>
    <w:p>
      <w:pPr>
        <w:pStyle w:val="Heading1"/>
      </w:pPr>
      <w:r>
        <w:t xml:space="preserve">Purpose &amp; Scope</w:t>
      </w:r>
    </w:p>
    <w:p>
      <w:pPr>
        <w:spacing w:after="200"/>
      </w:pPr>
      <w:r>
        <w:t xml:space="preserve">This document provides a repeatable, structured methodology for conducting trend research that feeds the PRISM simulation engine. It is designed for the Strategy &amp; Analytics team to execute quarterly trend refresh cycles, ensuring consistent quality, comprehensive coverage, and rigorous source validation across all six strategic forces and twelve HCB categories.</w:t>
      </w:r>
    </w:p>
    <w:p>
      <w:pPr>
        <w:spacing w:after="200"/>
      </w:pPr>
      <w:r>
        <w:t xml:space="preserve">The process produces a </w:t>
      </w:r>
      <w:r>
        <w:rPr>
          <w:b/>
          <w:bCs/>
        </w:rPr>
        <w:t xml:space="preserve">Trend Intelligence Report</w:t>
      </w:r>
      <w:r>
        <w:t xml:space="preserve"> containing 50–60 validated trends, each scored on the PRISM schema (Probability, GP1% Affected, Direction, Category Exposure, Value Chain Exposure, Regional Exposure) with full source documentation and credibility ratings.</w:t>
      </w:r>
    </w:p>
    <w:p>
      <w:pPr>
        <w:pStyle w:val="Heading1"/>
      </w:pPr>
      <w:r>
        <w:t xml:space="preserve">Process Overview: Six Phases</w:t>
      </w:r>
    </w:p>
    <w:p>
      <w:pPr>
        <w:spacing w:after="200"/>
      </w:pPr>
      <w:r>
        <w:t xml:space="preserve">The trend research process follows six sequential phases. Each phase builds on the outputs of the previous one. The full cycle takes approximately 3–4 weeks for a thorough refresh.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00"/>
        <w:gridCol w:w="2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Discovery &amp; Scanning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Multi-source intelligence gathering across 19+ APIs and curated feeds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Validation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9-tier credibility rating, cross-validation with 3–4 independent sources per trend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 Scoring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each trend on Probability, GP1% Affected, Direction, Category/VC/Regional Exposure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missing trends, underrepresented forces, consumer journey white spots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Review (Delphi)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scoring rounds with calibration, debiasing, inter-rater reliability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&amp; Documentation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Finalize trend database, update PRISM model, archive with full audit trail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2–3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Discovery &amp; Scanning</w:t>
      </w:r>
    </w:p>
    <w:p>
      <w:pPr>
        <w:spacing w:after="200"/>
      </w:pPr>
      <w:r>
        <w:t xml:space="preserve">The discovery phase casts a wide net across multiple intelligence sources to identify trends that may affect HCB profit pools. The goal is comprehensiveness: it is better to surface 100 candidate trends and filter down than to miss a critical signal.</w:t>
      </w:r>
    </w:p>
    <w:p>
      <w:pPr>
        <w:pStyle w:val="Heading2"/>
      </w:pPr>
      <w:r>
        <w:t xml:space="preserve">1.1 Source Architecture</w:t>
      </w:r>
    </w:p>
    <w:p>
      <w:pPr>
        <w:spacing w:after="200"/>
      </w:pPr>
      <w:r>
        <w:t xml:space="preserve">PRISM uses a multi-source waterfall architecture organized by intelligence type. All sources are free-tier or fully open, ensuring zero running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News &amp; Trend Intelligence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GDELT, GNews, CurrentsAPI, 12 FMCG RSS feeds (CosmeticsDesign, RetailDive, GroceryDive, HAPPI, GCI, ChemicalWatch, etc.)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 signals, sentiment shifts, emerging topics, industry-specific developments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Regulatory &amp; Government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ECHA CHEM, EUR-Lex, EU Safety Gate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regulations, substance evaluations, compliance timelines, product safety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Competitive Intelligence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 EDGAR, UK Companies House, EPO Patents (IPC: A61K, A61Q, C11D)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Strategic pivots, M&amp;A activity, patent filing velocity, category investments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Consumer Behavior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Trends, Reddit (r/SkincareAddiction, r/HaircareScience, r/CleaningTips), YouTube Data API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intent trajectories, unfiltered product discussions, tutorial/review volume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Macroeconomic &amp; Commodity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World Bank, IMF WEO, FRED (palm oil, crude, PPI detergent), Open-Meteo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cost volatility, GDP/urbanization shifts, climate data for seasonal demand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&amp; Innovation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Semantic Scholar, OpenAlex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Citation velocity in green chemistry, microbiome, biotech, material science</w:t>
            </w:r>
          </w:p>
        </w:tc>
      </w:tr>
    </w:tbl>
    <w:p>
      <w:pPr>
        <w:pStyle w:val="Heading2"/>
        <w:spacing w:before="300"/>
      </w:pPr>
      <w:r>
        <w:t xml:space="preserve">1.2 Force Classification Framework</w:t>
      </w:r>
    </w:p>
    <w:p>
      <w:pPr>
        <w:spacing w:after="200"/>
      </w:pPr>
      <w:r>
        <w:t xml:space="preserve">Every candidate trend must be classified into one of six strategic forces. Each force has specific sub-categories that guide classification: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 &amp; Examples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Trends (e.g., Clean Beauty), Behaviors (e.g., Between-Wash Care), Preferences (e.g., Premiumization), Demographics (e.g., Silver Economy)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Regulation (e.g., PFAS ban), Trade policy (e.g., Tariffs), Standards (e.g., Green Claims Directive), Taxation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innovation (e.g., Waterless formats), Process (e.g., AI manufacturing), Digital (e.g., D2C platforms), Biotech (e.g., Microbiome)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Climate (e.g., Water scarcity), Sustainability (e.g., Refill economy), Packaging (e.g., Plastic reduction), Biodiversity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Retail channels (e.g., Discount growth), E-commerce, B2B dynamics, Category management, Shelf optimization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M&amp;A (e.g., Reckitt divestiture), Private label, New entrants, Category consolidation, Pricing dynamics</w:t>
            </w:r>
          </w:p>
        </w:tc>
      </w:tr>
    </w:tbl>
    <w:p>
      <w:pPr>
        <w:pStyle w:val="Heading2"/>
        <w:spacing w:before="300"/>
      </w:pPr>
      <w:r>
        <w:t xml:space="preserve">1.3 Discovery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API scans for each of the six forces using force-specific search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12 curated RSS feeds for the past 90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regulatory calendars (ECHA, EUR-Lex) for upcoming compliance deadlines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Google Trends data for 20–30 category-relevant search terms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patent filings for innovation signals in relevant IPC classes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competitor quarterly filings and earnings transcripts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Compile candidate list: aim for 80–120 raw signals to filter</w:t>
      </w:r>
    </w:p>
    <w:p>
      <w:r>
        <w:br w:type="page"/>
      </w:r>
    </w:p>
    <w:p>
      <w:pPr>
        <w:pStyle w:val="Heading1"/>
      </w:pPr>
      <w:r>
        <w:t xml:space="preserve">Phase 2: Source Validation</w:t>
      </w:r>
    </w:p>
    <w:p>
      <w:pPr>
        <w:spacing w:after="200"/>
      </w:pPr>
      <w:r>
        <w:t xml:space="preserve">Every trend must be validated with multiple independent sources, rated for credibility, and documented. This phase transforms raw signals into evidence-backed trends.</w:t>
      </w:r>
    </w:p>
    <w:p>
      <w:pPr>
        <w:pStyle w:val="Heading2"/>
      </w:pPr>
      <w:r>
        <w:t xml:space="preserve">2.1 Source Credibility Tier System</w:t>
      </w:r>
    </w:p>
    <w:p>
      <w:pPr>
        <w:spacing w:after="200"/>
      </w:pPr>
      <w:r>
        <w:t xml:space="preserve">All sources are rated on a 9-tier credibility scale. Each trend requires at least one source rated B+ or above. E-tier sources are weak signals only and must never be cited without corroboration from a B-tier+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 regulatory/legislative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EU Official Journal, ECHA published opinions, FDA final rules, national gazette publications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Tier-1 consulting with primary data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McKinsey Global Institute, Bain/BCG/Kearney with proprietary research, Euromonitor Passport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A–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Investment bank / Big-4 analyst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Goldman Sachs, Morgan Stanley, Deloitte, PwC, EY with sector-specific analysis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B+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Specialist industry analyst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Circana/IRI, NielsenIQ, Kantar Worldpanel, Mintel, Technavio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 press / industry media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CosmeticsDesign, RetailDive, GroceryDive, HAPPI, PackagingDive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B–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/ PR source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Henkel IR, P&amp;G investor day, Unilever annual report, company press releases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press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Reuters, Bloomberg, FT, WSJ, Handelsblatt, general business 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Aggregator / blog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aggregator sites, analyst blogs, market research summaries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 / unverified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Reddit threads, TikTok trends, Twitter/X posts, YouTube comments. Weak signal only.</w:t>
            </w:r>
          </w:p>
        </w:tc>
      </w:tr>
    </w:tbl>
    <w:p>
      <w:pPr>
        <w:pStyle w:val="Heading2"/>
        <w:spacing w:before="300"/>
      </w:pPr>
      <w:r>
        <w:t xml:space="preserve">2.2 Validation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trend must cite 3–4 independent sources from at least 2 different tiers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source must be B+ tier or above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E-tier sources must be corroborated by B-tier+ evidence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specific data points, market sizing, or regulatory dates from each source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Flag any trend where sources conflict on magnitude or direction</w:t>
      </w:r>
    </w:p>
    <w:p>
      <w:r>
        <w:br w:type="page"/>
      </w:r>
    </w:p>
    <w:p>
      <w:pPr>
        <w:pStyle w:val="Heading1"/>
      </w:pPr>
      <w:r>
        <w:t xml:space="preserve">Phase 3: PRISM Scoring Schema</w:t>
      </w:r>
    </w:p>
    <w:p>
      <w:pPr>
        <w:spacing w:after="200"/>
      </w:pPr>
      <w:r>
        <w:t xml:space="preserve">Every validated trend is scored on the PRISM schema. This scoring feeds the Bayesian Monte Carlo simulation engine. Consistency and precision are critical. Each dimension is scored independently.</w:t>
      </w:r>
    </w:p>
    <w:p>
      <w:pPr>
        <w:pStyle w:val="Heading2"/>
      </w:pPr>
      <w:r>
        <w:t xml:space="preserve">3.1 Core Scoring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1–5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Likelihood of trend materializing by 2030. 1 = unlikely (&lt;20%), 2 = possible (20–40%), 3 = moderate (40–60%), 4 = likely (60–80%), 5 = near certain (&gt;80%)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GP1% Affected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0.0–1.0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Fraction of a category’s GP1 pool that this trend can touch at full materialization. Example: Private label penetration = 0.25, DPP compliance = 0.02. AI-preset, expert-adjustable.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Expansion / Contraction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the trend grows (+) or shrinks (–) the profit pool for affected categories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Exposure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0–5 per category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Exposure score for each of the 12 HCB categories (Color, Care, Styling, Body, FCN, FCA, FFI, LAD, HDW, ADW, HSC, IC). 0 = no exposure, 5 = maximum exposure.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Chain Exposure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0–5 per step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Exposure score for each of the 8 value chain steps (Raw Materials, Formulation, Manufacturing, Packaging, Logistics, Marketing, Retail Shelf, Consumer Use)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Regional Exposure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0–5 per region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Exposure score for 4 regions (Europe, North America, Emerging Markets, Asia-Pacific)</w:t>
            </w:r>
          </w:p>
        </w:tc>
      </w:tr>
    </w:tbl>
    <w:p>
      <w:pPr>
        <w:pStyle w:val="Heading2"/>
        <w:spacing w:before="300"/>
      </w:pPr>
      <w:r>
        <w:t xml:space="preserve">3.2 Normalized Score Calculation</w:t>
      </w:r>
    </w:p>
    <w:p>
      <w:pPr>
        <w:spacing w:after="200"/>
      </w:pPr>
      <w:r>
        <w:t xml:space="preserve">The final normalized score is computed as: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normalized_score = probability_mean × gp1_pct_affected × direction_sign</w:t>
      </w:r>
      <w:r>
        <w:t xml:space="preserve">. Direction sign is +1 for Expansion and –1 for Contraction. This feeds the Monte Carlo simulation engine where Bayesian posteriors are sampled.</w:t>
      </w:r>
    </w:p>
    <w:p>
      <w:pPr>
        <w:pStyle w:val="Heading2"/>
      </w:pPr>
      <w:r>
        <w:t xml:space="preserve">3.3 Scoring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Probability based on evidence strength, not personal optimism/pessimism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GP1% Affected should be anchored to concrete economic reasoning (what share of the pool does this trend realistically touch?)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exposure should differentiate between categories (avoid rating all categories the same)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 the rationale for any score of 4+ or GP1% Affected &gt; 0.15</w:t>
      </w:r>
    </w:p>
    <w:p>
      <w:r>
        <w:br w:type="page"/>
      </w:r>
    </w:p>
    <w:p>
      <w:pPr>
        <w:pStyle w:val="Heading1"/>
      </w:pPr>
      <w:r>
        <w:t xml:space="preserve">Phase 4: Gap Analysis</w:t>
      </w:r>
    </w:p>
    <w:p>
      <w:pPr>
        <w:spacing w:after="200"/>
      </w:pPr>
      <w:r>
        <w:t xml:space="preserve">After scoring, perform a systematic gap analysis to identify missing trends, underrepresented forces, and blind spots. This is the most strategically critical step: what you don’t see can hurt you more than what you do.</w:t>
      </w:r>
    </w:p>
    <w:p>
      <w:pPr>
        <w:pStyle w:val="Heading2"/>
      </w:pPr>
      <w:r>
        <w:t xml:space="preserve">4.1 Coverage Check by Force</w:t>
      </w:r>
    </w:p>
    <w:p>
      <w:pPr>
        <w:spacing w:after="200"/>
      </w:pPr>
      <w:r>
        <w:t xml:space="preserve">Aim for 7–15 trends per force. If any force has fewer than 7 trends, conduct a targeted supplementary scan. Target distribution: Consumer 12–15, Technology 8–10, Environmental 6–8, Government 6–8, Customer 6–7, Competitive 5–7.</w:t>
      </w:r>
    </w:p>
    <w:p>
      <w:pPr>
        <w:pStyle w:val="Heading2"/>
      </w:pPr>
      <w:r>
        <w:t xml:space="preserve">4.2 Consumer Journey White Spot Analysis</w:t>
      </w:r>
    </w:p>
    <w:p>
      <w:pPr>
        <w:spacing w:after="200"/>
      </w:pPr>
      <w:r>
        <w:t xml:space="preserve">Map trends against the consumer decision journey (Awareness → Consideration → Purchase → Usage → Loyalty) to identify underrepresented stages. Typical gaps occur in post-purchase usage behavior and loyalty/repurchase dynamics.</w:t>
      </w:r>
    </w:p>
    <w:p>
      <w:pPr>
        <w:pStyle w:val="Heading2"/>
      </w:pPr>
      <w:r>
        <w:t xml:space="preserve">4.3 Senior Partner-Level Review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macro disruptions (tariffs, energy shocks, AI) that could reshape entire categories?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adjacent category trends (e.g., textile care influencing fabric softener) that we’re missing?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consumer behavior shifts (between-wash care, refill economy) captured in sufficient granularity?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competitive landscape fully represented (new entrants, M&amp;A, private label dynamics)?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 environmental/sustainability trends capture both risk (regulation) and opportunity (premium positioning)?</w:t>
      </w:r>
    </w:p>
    <w:p>
      <w:pPr>
        <w:pStyle w:val="Heading1"/>
      </w:pPr>
      <w:r>
        <w:t xml:space="preserve">Phase 5: Expert Review (Delphi Protocol)</w:t>
      </w:r>
    </w:p>
    <w:p>
      <w:pPr>
        <w:spacing w:after="200"/>
      </w:pPr>
      <w:r>
        <w:t xml:space="preserve">The Delphi protocol ensures scoring rigor through structured rounds, calibration exercises, and debiasing. This phase converts individual opinions into calibrated consensus.</w:t>
      </w:r>
    </w:p>
    <w:p>
      <w:pPr>
        <w:pStyle w:val="Heading2"/>
      </w:pPr>
      <w:r>
        <w:t xml:space="preserve">5.1 Three-Round Process</w:t>
      </w:r>
    </w:p>
    <w:p>
      <w:pPr>
        <w:spacing w:after="80"/>
      </w:pPr>
      <w:r>
        <w:rPr>
          <w:b/>
          <w:bCs/>
        </w:rPr>
        <w:t xml:space="preserve">Round 1 — Independent Scoring: </w:t>
      </w:r>
      <w:r>
        <w:t xml:space="preserve">Each expert scores Probability independently (blind). Rationale documented per score. No discussion.</w:t>
      </w:r>
    </w:p>
    <w:p>
      <w:pPr>
        <w:spacing w:after="80"/>
      </w:pPr>
      <w:r>
        <w:rPr>
          <w:b/>
          <w:bCs/>
        </w:rPr>
        <w:t xml:space="preserve">Round 2 — Calibrated Re-Scoring: </w:t>
      </w:r>
      <w:r>
        <w:t xml:space="preserve">Share anonymized score distribution. Experts re-score with group context. AI pre-fills suggested GP1% Affected.</w:t>
      </w:r>
    </w:p>
    <w:p>
      <w:pPr>
        <w:spacing w:after="200"/>
      </w:pPr>
      <w:r>
        <w:rPr>
          <w:b/>
          <w:bCs/>
        </w:rPr>
        <w:t xml:space="preserve">Round 3 — Outlier Discussion: </w:t>
      </w:r>
      <w:r>
        <w:t xml:space="preserve">Discuss scores where variance exceeds threshold. Final consensus scores. Inter-rater reliability check (Krippendorff’s α &gt; 0.67).</w:t>
      </w:r>
    </w:p>
    <w:p>
      <w:pPr>
        <w:pStyle w:val="Heading2"/>
      </w:pPr>
      <w:r>
        <w:t xml:space="preserve">5.2 Debiasing Protocols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Anchoring bias: </w:t>
      </w:r>
      <w:r>
        <w:t xml:space="preserve">Compare scores between rounds; flag if scores barely move despite new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Optimism bias: </w:t>
      </w:r>
      <w:r>
        <w:t xml:space="preserve">Track scorer history; apply correction if someone systematically underestimates contraction forces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Calibration exercise: </w:t>
      </w:r>
      <w:r>
        <w:t xml:space="preserve">Present known-outcome historical trends to detect systematic biases before scoring begins</w:t>
      </w:r>
    </w:p>
    <w:p>
      <w:r>
        <w:br w:type="page"/>
      </w:r>
    </w:p>
    <w:p>
      <w:pPr>
        <w:pStyle w:val="Heading1"/>
      </w:pPr>
      <w:r>
        <w:t xml:space="preserve">Phase 6: Integration &amp; Documentation</w:t>
      </w:r>
    </w:p>
    <w:p>
      <w:pPr>
        <w:spacing w:after="200"/>
      </w:pPr>
      <w:r>
        <w:t xml:space="preserve">The final phase loads validated, scored trends into the PRISM database, generates documentation artifacts, and archives the cycle for auditability.</w:t>
      </w:r>
    </w:p>
    <w:p>
      <w:pPr>
        <w:pStyle w:val="Heading2"/>
      </w:pPr>
      <w:r>
        <w:t xml:space="preserve">6.1 Deliverables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Updated PRISM trend database (50–60 trends, fully scored)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 Intelligence Report (full documentation with sources, scores, descriptions)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Audit Log (all 220+ sources with credibility tier ratings)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Gap Analysis Report (coverage metrics, white spots identified, actions taken)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Delphi Round Documentation (scores per round, inter-rater reliability, bias flags)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Change log: what trends were added, modified, or removed versus prior cycle</w:t>
      </w:r>
    </w:p>
    <w:p>
      <w:pPr>
        <w:pStyle w:val="Heading2"/>
      </w:pPr>
      <w:r>
        <w:t xml:space="preserve">6.2 Quality Gates</w:t>
      </w:r>
    </w:p>
    <w:p>
      <w:pPr>
        <w:spacing w:after="200"/>
      </w:pPr>
      <w:r>
        <w:t xml:space="preserve">Before the trend database is approved for simulation, verify the following quality gates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trends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50–60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trends per force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credibility: all trends have B+ 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Cross-validation: 3+ sources per trend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Delphi inter-rater reliability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α &gt; 0.67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Consumer journey coverage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5 stages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exposure differentiation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uniform scores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 Pass</w:t>
            </w:r>
          </w:p>
        </w:tc>
      </w:tr>
    </w:tbl>
    <w:p>
      <w:pPr>
        <w:pStyle w:val="Heading1"/>
        <w:spacing w:before="400"/>
      </w:pPr>
      <w:r>
        <w:t xml:space="preserve">Quarterly Refresh Cadence</w:t>
      </w:r>
    </w:p>
    <w:p>
      <w:pPr>
        <w:spacing w:after="200"/>
      </w:pPr>
      <w:r>
        <w:t xml:space="preserve">The trend research process repeats quarterly, aligned with Henkel’s strategic planning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 (Jan–Mar)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 Calibration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6-phase cycle. Backtesting review. Attenuation recalibration. Delphi Round 1.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 (Apr–Jun)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Strategic Planning Input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Delphi Round 2. Full MC run (50K iterations). Shift Matrix delivery to category teams.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(Jul–Sep)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Mid-Year Review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Quick-refresh scan. Trigger check. Path velocity review. Strategy adjustment recs.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 (Oct–Dec)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Integration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Shift Matrix for budget. Competitive update post-earnings. ExCo presentation.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12 HCB Categories</w:t>
      </w:r>
    </w:p>
    <w:p>
      <w:pPr>
        <w:spacing w:after="200"/>
      </w:pPr>
      <w:r>
        <w:t xml:space="preserve">For reference, the twelve Henkel Consumer Brands categories used in PRISM scoring: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Hair Categories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Laundry &amp; Home Care Categories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Hair: Color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Fabric Cleaning (FCN)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Hair: Care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Fabric Care (FCA)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Hair: Styling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Fresh/Fabric Ironing (FFI)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Hair: Body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Laundry Aids (LAD)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Hand Dishwash (HDW)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Auto Dishwash (ADW)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Hard Surface Cleaning (HSC)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LHC: Insect Control (IC)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CONFIDENTIAL — Henkel Consumer Brands —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4"/>
      </w:pBdr>
      <w:jc w:val="right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PRISM Trend Research Process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2026-03-31T12:34:31.529Z</dcterms:created>
  <dcterms:modified xsi:type="dcterms:W3CDTF">2026-03-31T12:34:31.529Z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