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p>
    <w:p>
      <w:pPr>
        <w:pBdr>
          <w:bottom w:val="single" w:color="C41E3A" w:sz="12" w:space="1"/>
        </w:pBdr>
      </w:pPr>
    </w:p>
    <w:p>
      <w:pPr>
        <w:spacing w:after="0" w:before="400"/>
      </w:pPr>
    </w:p>
    <w:p>
      <w:pPr>
        <w:jc w:val="left"/>
      </w:pPr>
      <w:r>
        <w:rPr>
          <w:rFonts w:ascii="Arial" w:cs="Arial" w:eastAsia="Arial" w:hAnsi="Arial"/>
          <w:b/>
          <w:bCs/>
          <w:color w:val="0F172A"/>
          <w:sz w:val="72"/>
          <w:szCs w:val="72"/>
        </w:rPr>
        <w:t xml:space="preserve">PRISM</w:t>
      </w:r>
    </w:p>
    <w:p>
      <w:pPr>
        <w:spacing w:after="80"/>
      </w:pPr>
      <w:r>
        <w:rPr>
          <w:rFonts w:ascii="Arial" w:cs="Arial" w:eastAsia="Arial" w:hAnsi="Arial"/>
          <w:color w:val="475569"/>
          <w:sz w:val="28"/>
          <w:szCs w:val="28"/>
        </w:rPr>
        <w:t xml:space="preserve">Profit Pool Risk &amp; Intelligence Simulation Model</w:t>
      </w:r>
    </w:p>
    <w:p>
      <w:pPr>
        <w:spacing w:after="0" w:before="200"/>
      </w:pPr>
    </w:p>
    <w:p>
      <w:pPr>
        <w:spacing w:after="60"/>
      </w:pPr>
      <w:r>
        <w:rPr>
          <w:rFonts w:ascii="Arial" w:cs="Arial" w:eastAsia="Arial" w:hAnsi="Arial"/>
          <w:b/>
          <w:bCs/>
          <w:color w:val="0F172A"/>
          <w:sz w:val="36"/>
          <w:szCs w:val="36"/>
        </w:rPr>
        <w:t xml:space="preserve">Methodology Documentation</w:t>
      </w:r>
    </w:p>
    <w:p>
      <w:pPr>
        <w:spacing w:after="40"/>
      </w:pPr>
      <w:r>
        <w:rPr>
          <w:rFonts w:ascii="Arial" w:cs="Arial" w:eastAsia="Arial" w:hAnsi="Arial"/>
          <w:i/>
          <w:iCs/>
          <w:color w:val="94A3B8"/>
          <w:sz w:val="22"/>
          <w:szCs w:val="22"/>
        </w:rPr>
        <w:t xml:space="preserve">A Non-Technical Guide to the Simulation Engine</w:t>
      </w:r>
    </w:p>
    <w:p>
      <w:pPr>
        <w:spacing w:after="0" w:before="600"/>
      </w:pPr>
    </w:p>
    <w:p>
      <w:pPr>
        <w:pBdr>
          <w:top w:val="single" w:color="CBD5E1" w:sz="2" w:space="1"/>
        </w:pBdr>
        <w:spacing w:after="80" w:before="200"/>
      </w:pPr>
      <w:r>
        <w:rPr>
          <w:rFonts w:ascii="Arial" w:cs="Arial" w:eastAsia="Arial" w:hAnsi="Arial"/>
          <w:b/>
          <w:bCs/>
          <w:color w:val="C41E3A"/>
          <w:sz w:val="18"/>
          <w:szCs w:val="18"/>
        </w:rPr>
        <w:t xml:space="preserve">CONFIDENTIAL</w:t>
      </w:r>
    </w:p>
    <w:p>
      <w:pPr>
        <w:spacing w:after="40"/>
      </w:pPr>
      <w:r>
        <w:rPr>
          <w:rFonts w:ascii="Arial" w:cs="Arial" w:eastAsia="Arial" w:hAnsi="Arial"/>
          <w:color w:val="475569"/>
          <w:sz w:val="20"/>
          <w:szCs w:val="20"/>
        </w:rPr>
        <w:t xml:space="preserve">Prepared for Henkel Consumer Brands</w:t>
      </w:r>
    </w:p>
    <w:p>
      <w:pPr>
        <w:spacing w:after="40"/>
      </w:pPr>
      <w:r>
        <w:rPr>
          <w:rFonts w:ascii="Arial" w:cs="Arial" w:eastAsia="Arial" w:hAnsi="Arial"/>
          <w:color w:val="475569"/>
          <w:sz w:val="20"/>
          <w:szCs w:val="20"/>
        </w:rPr>
        <w:t xml:space="preserve">April 2026  |  Version 2.3</w:t>
      </w:r>
    </w:p>
    <w:p>
      <w:r>
        <w:rPr>
          <w:rFonts w:ascii="Arial" w:cs="Arial" w:eastAsia="Arial" w:hAnsi="Arial"/>
          <w:color w:val="94A3B8"/>
          <w:sz w:val="20"/>
          <w:szCs w:val="20"/>
        </w:rPr>
        <w:t xml:space="preserve">Strategy &amp; Analytics Partnership</w:t>
      </w:r>
    </w:p>
    <w:p>
      <w:pPr>
        <w:sectPr>
          <w:pgSz w:w="12240" w:h="15840" w:orient="portrait"/>
          <w:pgMar w:top="1440" w:right="1440" w:bottom="1440" w:left="1440" w:header="708" w:footer="708" w:gutter="0"/>
          <w:pgNumType/>
          <w:docGrid w:linePitch="360"/>
        </w:sectPr>
      </w:pPr>
    </w:p>
    <w:p>
      <w:pPr>
        <w:pStyle w:val="Heading1"/>
      </w:pPr>
      <w:r>
        <w:rPr>
          <w:rFonts w:ascii="Arial" w:cs="Arial" w:eastAsia="Arial" w:hAnsi="Arial"/>
        </w:rPr>
        <w:t xml:space="preserve">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Arial" w:cs="Arial" w:eastAsia="Arial" w:hAnsi="Arial"/>
        </w:rPr>
        <w:t xml:space="preserve">1. Executive Summary</w:t>
      </w:r>
    </w:p>
    <w:p>
      <w:pPr>
        <w:spacing w:after="120" w:line="276"/>
      </w:pPr>
      <w:r>
        <w:rPr>
          <w:rFonts w:ascii="Arial" w:cs="Arial" w:eastAsia="Arial" w:hAnsi="Arial"/>
          <w:b/>
          <w:bCs/>
          <w:color w:val="334155"/>
          <w:sz w:val="21"/>
          <w:szCs w:val="21"/>
        </w:rPr>
        <w:t xml:space="preserve">PRISM (Profit Pool Risk &amp; Intelligence Simulation Model) </w:t>
      </w:r>
      <w:r>
        <w:rPr>
          <w:rFonts w:ascii="Arial" w:cs="Arial" w:eastAsia="Arial" w:hAnsi="Arial"/>
          <w:color w:val="334155"/>
          <w:sz w:val="21"/>
          <w:szCs w:val="21"/>
        </w:rPr>
        <w:t xml:space="preserve">is a probabilistic simulation engine that answers one question: </w:t>
      </w:r>
      <w:r>
        <w:rPr>
          <w:rFonts w:ascii="Arial" w:cs="Arial" w:eastAsia="Arial" w:hAnsi="Arial"/>
          <w:i/>
          <w:iCs/>
          <w:color w:val="334155"/>
          <w:sz w:val="21"/>
          <w:szCs w:val="21"/>
        </w:rPr>
        <w:t xml:space="preserve">How will profit pools shift across Henkel Consumer Brands categories over the next five years, and what should we do about it?</w:t>
      </w:r>
    </w:p>
    <w:p>
      <w:pPr>
        <w:spacing w:after="120" w:line="276"/>
      </w:pPr>
      <w:r>
        <w:rPr>
          <w:rFonts w:ascii="Arial" w:cs="Arial" w:eastAsia="Arial" w:hAnsi="Arial"/>
          <w:color w:val="334155"/>
          <w:sz w:val="21"/>
          <w:szCs w:val="21"/>
        </w:rPr>
        <w:t xml:space="preserve">The model replaces static, single-point-estimate strategic assessments with a living, data-driven system that quantifies uncertainty, models causal relationships between market forces, and produces actionable investment recommendations.</w:t>
      </w:r>
    </w:p>
    <w:p>
      <w:pPr>
        <w:spacing w:after="120" w:line="276"/>
      </w:pPr>
      <w:r>
        <w:rPr>
          <w:rFonts w:ascii="Arial" w:cs="Arial" w:eastAsia="Arial" w:hAnsi="Arial"/>
          <w:color w:val="334155"/>
          <w:sz w:val="21"/>
          <w:szCs w:val="21"/>
        </w:rPr>
        <w:t xml:space="preserve">PRISM does not predict the future with certainty. Instead, it produces probability distributions: ranges of likely outcomes with confidence intervals. This is fundamentally more honest and more useful than a single number, because it forces decision-makers to plan for a range of scenarios rather than anchoring on one forecast.</w:t>
      </w:r>
    </w:p>
    <w:p>
      <w:pPr>
        <w:spacing w:after="120" w:before="240"/>
      </w:pPr>
      <w:r>
        <w:rPr>
          <w:rFonts w:ascii="Arial" w:cs="Arial" w:eastAsia="Arial" w:hAnsi="Arial"/>
          <w:b/>
          <w:bCs/>
          <w:color w:val="0F172A"/>
          <w:sz w:val="24"/>
          <w:szCs w:val="24"/>
        </w:rPr>
        <w:t xml:space="preserve">What PRISM Delivers</w:t>
      </w:r>
    </w:p>
    <w:p>
      <w:pPr>
        <w:spacing w:after="120" w:line="276"/>
      </w:pPr>
      <w:r>
        <w:rPr>
          <w:rFonts w:ascii="Arial" w:cs="Arial" w:eastAsia="Arial" w:hAnsi="Arial"/>
          <w:b/>
          <w:bCs/>
          <w:color w:val="334155"/>
          <w:sz w:val="21"/>
          <w:szCs w:val="21"/>
        </w:rPr>
        <w:t xml:space="preserve">The Shift Matrix </w:t>
      </w:r>
      <w:r>
        <w:rPr>
          <w:rFonts w:ascii="Arial" w:cs="Arial" w:eastAsia="Arial" w:hAnsi="Arial"/>
          <w:color w:val="334155"/>
          <w:sz w:val="21"/>
          <w:szCs w:val="21"/>
        </w:rPr>
        <w:t xml:space="preserve">is PRISM’s primary output: a table of percentage shifts by category, force, and year (2026–2030). It tells you, for example: </w:t>
      </w:r>
      <w:r>
        <w:rPr>
          <w:rFonts w:ascii="Arial" w:cs="Arial" w:eastAsia="Arial" w:hAnsi="Arial"/>
          <w:i/>
          <w:iCs/>
          <w:color w:val="334155"/>
          <w:sz w:val="21"/>
          <w:szCs w:val="21"/>
        </w:rPr>
        <w:t xml:space="preserve">“With 80% confidence, the Hair Color profit pool will contract by 1.5% to 5.5% by 2030, driven primarily by regulatory pressure propagating through reformulation costs.”</w:t>
      </w:r>
    </w:p>
    <w:p>
      <w:pPr>
        <w:spacing w:after="120" w:line="276"/>
      </w:pPr>
      <w:r>
        <w:rPr>
          <w:rFonts w:ascii="Arial" w:cs="Arial" w:eastAsia="Arial" w:hAnsi="Arial"/>
          <w:color w:val="334155"/>
          <w:sz w:val="21"/>
          <w:szCs w:val="21"/>
        </w:rPr>
        <w:t xml:space="preserve">Users apply these percentage shifts to their own financial models. PRISM never sees or processes actual financial figures — it operates entirely in relative terms (percentages), ensuring a clean separation between strategic intelligence and financial data.</w:t>
      </w:r>
    </w:p>
    <w:p>
      <w:pPr>
        <w:spacing w:after="120" w:before="240"/>
      </w:pPr>
      <w:r>
        <w:rPr>
          <w:rFonts w:ascii="Arial" w:cs="Arial" w:eastAsia="Arial" w:hAnsi="Arial"/>
          <w:b/>
          <w:bCs/>
          <w:color w:val="0F172A"/>
          <w:sz w:val="24"/>
          <w:szCs w:val="24"/>
        </w:rPr>
        <w:t xml:space="preserve">Key Design Principles</w:t>
      </w:r>
    </w:p>
    <w:p>
      <w:pPr>
        <w:pStyle w:val="ListParagraph"/>
        <w:numPr>
          <w:ilvl w:val="0"/>
          <w:numId w:val="2"/>
        </w:numPr>
        <w:spacing w:after="80" w:line="276"/>
      </w:pPr>
      <w:r>
        <w:rPr>
          <w:rFonts w:ascii="Arial" w:cs="Arial" w:eastAsia="Arial" w:hAnsi="Arial"/>
          <w:color w:val="334155"/>
          <w:sz w:val="21"/>
          <w:szCs w:val="21"/>
        </w:rPr>
        <w:t xml:space="preserve">AI augments human judgment, never replaces it — every AI suggestion requires human review</w:t>
      </w:r>
    </w:p>
    <w:p>
      <w:pPr>
        <w:pStyle w:val="ListParagraph"/>
        <w:numPr>
          <w:ilvl w:val="0"/>
          <w:numId w:val="2"/>
        </w:numPr>
        <w:spacing w:after="80" w:line="276"/>
      </w:pPr>
      <w:r>
        <w:rPr>
          <w:rFonts w:ascii="Arial" w:cs="Arial" w:eastAsia="Arial" w:hAnsi="Arial"/>
          <w:color w:val="334155"/>
          <w:sz w:val="21"/>
          <w:szCs w:val="21"/>
        </w:rPr>
        <w:t xml:space="preserve">Bayesian over point estimates — the model learns from data rather than assuming fixed distributions</w:t>
      </w:r>
    </w:p>
    <w:p>
      <w:pPr>
        <w:pStyle w:val="ListParagraph"/>
        <w:numPr>
          <w:ilvl w:val="0"/>
          <w:numId w:val="2"/>
        </w:numPr>
        <w:spacing w:after="80" w:line="276"/>
      </w:pPr>
      <w:r>
        <w:rPr>
          <w:rFonts w:ascii="Arial" w:cs="Arial" w:eastAsia="Arial" w:hAnsi="Arial"/>
          <w:color w:val="334155"/>
          <w:sz w:val="21"/>
          <w:szCs w:val="21"/>
        </w:rPr>
        <w:t xml:space="preserve">Causal over correlational — forces propagate through directed causal paths, not independent channels</w:t>
      </w:r>
    </w:p>
    <w:p>
      <w:pPr>
        <w:pStyle w:val="ListParagraph"/>
        <w:numPr>
          <w:ilvl w:val="0"/>
          <w:numId w:val="2"/>
        </w:numPr>
        <w:spacing w:after="80" w:line="276"/>
      </w:pPr>
      <w:r>
        <w:rPr>
          <w:rFonts w:ascii="Arial" w:cs="Arial" w:eastAsia="Arial" w:hAnsi="Arial"/>
          <w:color w:val="334155"/>
          <w:sz w:val="21"/>
          <w:szCs w:val="21"/>
        </w:rPr>
        <w:t xml:space="preserve">Analysis leads to action — every output answers “so what should we do?”</w:t>
      </w:r>
    </w:p>
    <w:p>
      <w:pPr>
        <w:pStyle w:val="ListParagraph"/>
        <w:numPr>
          <w:ilvl w:val="0"/>
          <w:numId w:val="2"/>
        </w:numPr>
        <w:spacing w:after="120" w:line="276"/>
      </w:pPr>
      <w:r>
        <w:rPr>
          <w:rFonts w:ascii="Arial" w:cs="Arial" w:eastAsia="Arial" w:hAnsi="Arial"/>
          <w:color w:val="334155"/>
          <w:sz w:val="21"/>
          <w:szCs w:val="21"/>
        </w:rPr>
        <w:t xml:space="preserve">Zero financial data inside the model — PRISM outputs relative shifts only</w:t>
      </w:r>
    </w:p>
    <w:p>
      <w:r>
        <w:br w:type="page"/>
      </w:r>
    </w:p>
    <w:p>
      <w:pPr>
        <w:pStyle w:val="Heading1"/>
      </w:pPr>
      <w:r>
        <w:rPr>
          <w:rFonts w:ascii="Arial" w:cs="Arial" w:eastAsia="Arial" w:hAnsi="Arial"/>
        </w:rPr>
        <w:t xml:space="preserve">2. The Challenge: Why Static Assessments Fall Short</w:t>
      </w:r>
    </w:p>
    <w:p>
      <w:pPr>
        <w:spacing w:after="120" w:line="276"/>
      </w:pPr>
      <w:r>
        <w:rPr>
          <w:rFonts w:ascii="Arial" w:cs="Arial" w:eastAsia="Arial" w:hAnsi="Arial"/>
          <w:color w:val="334155"/>
          <w:sz w:val="21"/>
          <w:szCs w:val="21"/>
        </w:rPr>
        <w:t xml:space="preserve">Henkel’s existing strategic force assessment (the “V12” Excel model) evaluates 55 market trends across 6 strategic forces and 12 product categories. While this framework is sound, the Excel implementation has three fundamental limitations:</w:t>
      </w:r>
    </w:p>
    <w:p>
      <w:pPr>
        <w:pStyle w:val="ListParagraph"/>
        <w:numPr>
          <w:ilvl w:val="0"/>
          <w:numId w:val="3"/>
        </w:numPr>
        <w:spacing w:after="80" w:line="276"/>
      </w:pPr>
      <w:r>
        <w:rPr>
          <w:rFonts w:ascii="Arial" w:cs="Arial" w:eastAsia="Arial" w:hAnsi="Arial"/>
          <w:b/>
          <w:bCs/>
          <w:color w:val="334155"/>
          <w:sz w:val="21"/>
          <w:szCs w:val="21"/>
        </w:rPr>
        <w:t xml:space="preserve">Single-point estimates. </w:t>
      </w:r>
      <w:r>
        <w:rPr>
          <w:rFonts w:ascii="Arial" w:cs="Arial" w:eastAsia="Arial" w:hAnsi="Arial"/>
          <w:color w:val="334155"/>
          <w:sz w:val="21"/>
          <w:szCs w:val="21"/>
        </w:rPr>
        <w:t xml:space="preserve">Each trend receives one score. There is no way to express “we think this is likely a 4, but it could be a 3 or 5.” Uncertainty is invisible.</w:t>
      </w:r>
    </w:p>
    <w:p>
      <w:pPr>
        <w:pStyle w:val="ListParagraph"/>
        <w:numPr>
          <w:ilvl w:val="0"/>
          <w:numId w:val="3"/>
        </w:numPr>
        <w:spacing w:after="80" w:line="276"/>
      </w:pPr>
      <w:r>
        <w:rPr>
          <w:rFonts w:ascii="Arial" w:cs="Arial" w:eastAsia="Arial" w:hAnsi="Arial"/>
          <w:b/>
          <w:bCs/>
          <w:color w:val="334155"/>
          <w:sz w:val="21"/>
          <w:szCs w:val="21"/>
        </w:rPr>
        <w:t xml:space="preserve">Independent forces. </w:t>
      </w:r>
      <w:r>
        <w:rPr>
          <w:rFonts w:ascii="Arial" w:cs="Arial" w:eastAsia="Arial" w:hAnsi="Arial"/>
          <w:color w:val="334155"/>
          <w:sz w:val="21"/>
          <w:szCs w:val="21"/>
        </w:rPr>
        <w:t xml:space="preserve">The model treats each force as an isolated channel. In reality, EU regulation (Government) drives reformulation costs (Technology), which changes shelf prices (Customer), which shifts consumer behavior (Consumer). These causal chains are invisible in a flat model.</w:t>
      </w:r>
    </w:p>
    <w:p>
      <w:pPr>
        <w:pStyle w:val="ListParagraph"/>
        <w:numPr>
          <w:ilvl w:val="0"/>
          <w:numId w:val="3"/>
        </w:numPr>
        <w:spacing w:after="120" w:line="276"/>
      </w:pPr>
      <w:r>
        <w:rPr>
          <w:rFonts w:ascii="Arial" w:cs="Arial" w:eastAsia="Arial" w:hAnsi="Arial"/>
          <w:b/>
          <w:bCs/>
          <w:color w:val="334155"/>
          <w:sz w:val="21"/>
          <w:szCs w:val="21"/>
        </w:rPr>
        <w:t xml:space="preserve">Two snapshots, no trajectory. </w:t>
      </w:r>
      <w:r>
        <w:rPr>
          <w:rFonts w:ascii="Arial" w:cs="Arial" w:eastAsia="Arial" w:hAnsi="Arial"/>
          <w:color w:val="334155"/>
          <w:sz w:val="21"/>
          <w:szCs w:val="21"/>
        </w:rPr>
        <w:t xml:space="preserve">V12 produces a mid-term (2028) and long-term (2030) estimate. It cannot answer: “How fast is this shift happening?” or “At what point should we trigger a strategic response?”</w:t>
      </w:r>
    </w:p>
    <w:p>
      <w:pPr>
        <w:spacing w:after="120" w:line="276"/>
      </w:pPr>
      <w:r>
        <w:rPr>
          <w:rFonts w:ascii="Arial" w:cs="Arial" w:eastAsia="Arial" w:hAnsi="Arial"/>
          <w:color w:val="334155"/>
          <w:sz w:val="21"/>
          <w:szCs w:val="21"/>
        </w:rPr>
        <w:t xml:space="preserve">PRISM preserves the strategic framework of V12 while addressing these limitations through probabilistic modeling, causal propagation, and continuous path tracking.</w:t>
      </w:r>
    </w:p>
    <w:p>
      <w:r>
        <w:br w:type="page"/>
      </w:r>
    </w:p>
    <w:p>
      <w:pPr>
        <w:pStyle w:val="Heading1"/>
      </w:pPr>
      <w:r>
        <w:rPr>
          <w:rFonts w:ascii="Arial" w:cs="Arial" w:eastAsia="Arial" w:hAnsi="Arial"/>
        </w:rPr>
        <w:t xml:space="preserve">3. How PRISM Works: The Logic Flow</w:t>
      </w:r>
    </w:p>
    <w:p>
      <w:pPr>
        <w:spacing w:after="120" w:line="276"/>
      </w:pPr>
      <w:r>
        <w:rPr>
          <w:rFonts w:ascii="Arial" w:cs="Arial" w:eastAsia="Arial" w:hAnsi="Arial"/>
          <w:color w:val="334155"/>
          <w:sz w:val="21"/>
          <w:szCs w:val="21"/>
        </w:rPr>
        <w:t xml:space="preserve">PRISM transforms trend assessments into probabilistic profit pool shifts through a six-stage pipeline. Each stage builds on the previous one, and the entire flow is transparent and auditable.</w:t>
      </w:r>
    </w:p>
    <w:p>
      <w:pPr>
        <w:spacing w:after="0" w:before="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00"/>
        <w:gridCol w:w="1800"/>
        <w:gridCol w:w="500"/>
        <w:gridCol w:w="1800"/>
        <w:gridCol w:w="500"/>
        <w:gridCol w:w="1860"/>
      </w:tblGrid>
      <w:tr>
        <w:tc>
          <w:tcPr>
            <w:tcW w:type="dxa" w:w="1800"/>
            <w:tcBorders>
              <w:top w:val="single" w:color="1E3A5F" w:sz="1"/>
              <w:left w:val="single" w:color="1E3A5F" w:sz="1"/>
              <w:bottom w:val="single" w:color="1E3A5F" w:sz="1"/>
              <w:right w:val="single" w:color="1E3A5F" w:sz="1"/>
            </w:tcBorders>
            <w:shd w:fill="1E3A5F" w:val="clear"/>
            <w:tcMar>
              <w:top w:type="dxa" w:w="100"/>
              <w:left w:type="dxa" w:w="80"/>
              <w:bottom w:type="dxa" w:w="100"/>
              <w:right w:type="dxa" w:w="80"/>
            </w:tcMar>
            <w:vAlign w:val="center"/>
          </w:tcPr>
          <w:p>
            <w:pPr>
              <w:jc w:val="center"/>
            </w:pPr>
            <w:r>
              <w:rPr>
                <w:rFonts w:ascii="Arial" w:cs="Arial" w:eastAsia="Arial" w:hAnsi="Arial"/>
                <w:b/>
                <w:bCs/>
                <w:color w:val="FFFFFF"/>
                <w:sz w:val="18"/>
                <w:szCs w:val="18"/>
              </w:rPr>
              <w:t xml:space="preserve">INPUT
V12 Excel
55 Trends</w:t>
            </w:r>
          </w:p>
        </w:tc>
        <w:tc>
          <w:tcPr>
            <w:tcW w:type="dxa" w:w="500"/>
            <w:tcBorders>
              <w:top w:val="none" w:sz="0"/>
              <w:left w:val="none" w:sz="0"/>
              <w:bottom w:val="none" w:sz="0"/>
              <w:right w:val="none" w:sz="0"/>
            </w:tcBorders>
            <w:tcMar>
              <w:top w:type="dxa" w:w="0"/>
              <w:left w:type="dxa" w:w="0"/>
              <w:bottom w:type="dxa" w:w="0"/>
              <w:right w:type="dxa" w:w="0"/>
            </w:tcMar>
            <w:vAlign w:val="center"/>
          </w:tcPr>
          <w:p>
            <w:pPr>
              <w:jc w:val="center"/>
            </w:pPr>
            <w:r>
              <w:rPr>
                <w:rFonts w:ascii="Arial" w:cs="Arial" w:eastAsia="Arial" w:hAnsi="Arial"/>
                <w:b/>
                <w:bCs/>
                <w:color w:val="94A3B8"/>
                <w:sz w:val="28"/>
                <w:szCs w:val="28"/>
              </w:rPr>
              <w:t xml:space="preserve">→</w:t>
            </w:r>
          </w:p>
        </w:tc>
        <w:tc>
          <w:tcPr>
            <w:tcW w:type="dxa" w:w="1800"/>
            <w:tcBorders>
              <w:top w:val="single" w:color="3B82F6" w:sz="1"/>
              <w:left w:val="single" w:color="3B82F6" w:sz="1"/>
              <w:bottom w:val="single" w:color="3B82F6" w:sz="1"/>
              <w:right w:val="single" w:color="3B82F6" w:sz="1"/>
            </w:tcBorders>
            <w:shd w:fill="3B82F6" w:val="clear"/>
            <w:tcMar>
              <w:top w:type="dxa" w:w="100"/>
              <w:left w:type="dxa" w:w="80"/>
              <w:bottom w:type="dxa" w:w="100"/>
              <w:right w:type="dxa" w:w="80"/>
            </w:tcMar>
            <w:vAlign w:val="center"/>
          </w:tcPr>
          <w:p>
            <w:pPr>
              <w:jc w:val="center"/>
            </w:pPr>
            <w:r>
              <w:rPr>
                <w:rFonts w:ascii="Arial" w:cs="Arial" w:eastAsia="Arial" w:hAnsi="Arial"/>
                <w:b/>
                <w:bCs/>
                <w:color w:val="FFFFFF"/>
                <w:sz w:val="18"/>
                <w:szCs w:val="18"/>
              </w:rPr>
              <w:t xml:space="preserve">SCORING
Probability ×
Economic Scope</w:t>
            </w:r>
          </w:p>
        </w:tc>
        <w:tc>
          <w:tcPr>
            <w:tcW w:type="dxa" w:w="500"/>
            <w:tcBorders>
              <w:top w:val="none" w:sz="0"/>
              <w:left w:val="none" w:sz="0"/>
              <w:bottom w:val="none" w:sz="0"/>
              <w:right w:val="none" w:sz="0"/>
            </w:tcBorders>
            <w:tcMar>
              <w:top w:type="dxa" w:w="0"/>
              <w:left w:type="dxa" w:w="0"/>
              <w:bottom w:type="dxa" w:w="0"/>
              <w:right w:type="dxa" w:w="0"/>
            </w:tcMar>
            <w:vAlign w:val="center"/>
          </w:tcPr>
          <w:p>
            <w:pPr>
              <w:jc w:val="center"/>
            </w:pPr>
            <w:r>
              <w:rPr>
                <w:rFonts w:ascii="Arial" w:cs="Arial" w:eastAsia="Arial" w:hAnsi="Arial"/>
                <w:b/>
                <w:bCs/>
                <w:color w:val="94A3B8"/>
                <w:sz w:val="28"/>
                <w:szCs w:val="28"/>
              </w:rPr>
              <w:t xml:space="preserve">→</w:t>
            </w:r>
          </w:p>
        </w:tc>
        <w:tc>
          <w:tcPr>
            <w:tcW w:type="dxa" w:w="1800"/>
            <w:tcBorders>
              <w:top w:val="single" w:color="8B5CF6" w:sz="1"/>
              <w:left w:val="single" w:color="8B5CF6" w:sz="1"/>
              <w:bottom w:val="single" w:color="8B5CF6" w:sz="1"/>
              <w:right w:val="single" w:color="8B5CF6" w:sz="1"/>
            </w:tcBorders>
            <w:shd w:fill="8B5CF6" w:val="clear"/>
            <w:tcMar>
              <w:top w:type="dxa" w:w="100"/>
              <w:left w:type="dxa" w:w="80"/>
              <w:bottom w:type="dxa" w:w="100"/>
              <w:right w:type="dxa" w:w="80"/>
            </w:tcMar>
            <w:vAlign w:val="center"/>
          </w:tcPr>
          <w:p>
            <w:pPr>
              <w:jc w:val="center"/>
            </w:pPr>
            <w:r>
              <w:rPr>
                <w:rFonts w:ascii="Arial" w:cs="Arial" w:eastAsia="Arial" w:hAnsi="Arial"/>
                <w:b/>
                <w:bCs/>
                <w:color w:val="FFFFFF"/>
                <w:sz w:val="18"/>
                <w:szCs w:val="18"/>
              </w:rPr>
              <w:t xml:space="preserve">SIMULATION
Bayesian
Monte Carlo</w:t>
            </w:r>
          </w:p>
        </w:tc>
        <w:tc>
          <w:tcPr>
            <w:tcW w:type="dxa" w:w="500"/>
            <w:tcBorders>
              <w:top w:val="none" w:sz="0"/>
              <w:left w:val="none" w:sz="0"/>
              <w:bottom w:val="none" w:sz="0"/>
              <w:right w:val="none" w:sz="0"/>
            </w:tcBorders>
            <w:tcMar>
              <w:top w:type="dxa" w:w="0"/>
              <w:left w:type="dxa" w:w="0"/>
              <w:bottom w:type="dxa" w:w="0"/>
              <w:right w:type="dxa" w:w="0"/>
            </w:tcMar>
            <w:vAlign w:val="center"/>
          </w:tcPr>
          <w:p>
            <w:pPr>
              <w:jc w:val="center"/>
            </w:pPr>
            <w:r>
              <w:rPr>
                <w:rFonts w:ascii="Arial" w:cs="Arial" w:eastAsia="Arial" w:hAnsi="Arial"/>
                <w:b/>
                <w:bCs/>
                <w:color w:val="94A3B8"/>
                <w:sz w:val="28"/>
                <w:szCs w:val="28"/>
              </w:rPr>
              <w:t xml:space="preserve">→</w:t>
            </w:r>
          </w:p>
        </w:tc>
        <w:tc>
          <w:tcPr>
            <w:tcW w:type="dxa" w:w="1860"/>
            <w:tcBorders>
              <w:top w:val="single" w:color="7C3AED" w:sz="1"/>
              <w:left w:val="single" w:color="7C3AED" w:sz="1"/>
              <w:bottom w:val="single" w:color="7C3AED" w:sz="1"/>
              <w:right w:val="single" w:color="7C3AED" w:sz="1"/>
            </w:tcBorders>
            <w:shd w:fill="7C3AED" w:val="clear"/>
            <w:tcMar>
              <w:top w:type="dxa" w:w="100"/>
              <w:left w:type="dxa" w:w="80"/>
              <w:bottom w:type="dxa" w:w="100"/>
              <w:right w:type="dxa" w:w="80"/>
            </w:tcMar>
            <w:vAlign w:val="center"/>
          </w:tcPr>
          <w:p>
            <w:pPr>
              <w:jc w:val="center"/>
            </w:pPr>
            <w:r>
              <w:rPr>
                <w:rFonts w:ascii="Arial" w:cs="Arial" w:eastAsia="Arial" w:hAnsi="Arial"/>
                <w:b/>
                <w:bCs/>
                <w:color w:val="FFFFFF"/>
                <w:sz w:val="18"/>
                <w:szCs w:val="18"/>
              </w:rPr>
              <w:t xml:space="preserve">CAUSAL DAG
Force
Propagation</w:t>
            </w:r>
          </w:p>
        </w:tc>
      </w:tr>
    </w:tbl>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500"/>
        <w:gridCol w:w="2620"/>
        <w:gridCol w:w="500"/>
        <w:gridCol w:w="2620"/>
      </w:tblGrid>
      <w:tr>
        <w:tc>
          <w:tcPr>
            <w:tcW w:type="dxa" w:w="3120"/>
            <w:tcBorders>
              <w:top w:val="single" w:color="FFFFFF" w:sz="1"/>
              <w:left w:val="single" w:color="FFFFFF" w:sz="1"/>
              <w:bottom w:val="single" w:color="FFFFFF" w:sz="1"/>
              <w:right w:val="single" w:color="FFFFFF" w:sz="1"/>
            </w:tcBorders>
            <w:shd w:fill="FFFFFF" w:val="clear"/>
            <w:tcMar>
              <w:top w:type="dxa" w:w="100"/>
              <w:left w:type="dxa" w:w="80"/>
              <w:bottom w:type="dxa" w:w="100"/>
              <w:right w:type="dxa" w:w="80"/>
            </w:tcMar>
            <w:vAlign w:val="center"/>
          </w:tcPr>
          <w:p>
            <w:pPr>
              <w:jc w:val="center"/>
            </w:pPr>
            <w:r>
              <w:rPr>
                <w:rFonts w:ascii="Arial" w:cs="Arial" w:eastAsia="Arial" w:hAnsi="Arial"/>
                <w:b/>
                <w:bCs/>
                <w:color w:val="FFFFFF"/>
                <w:sz w:val="18"/>
                <w:szCs w:val="18"/>
              </w:rPr>
              <w:t xml:space="preserve"/>
            </w:r>
          </w:p>
        </w:tc>
        <w:tc>
          <w:tcPr>
            <w:tcW w:type="dxa" w:w="500"/>
            <w:tcBorders>
              <w:top w:val="none" w:sz="0"/>
              <w:left w:val="none" w:sz="0"/>
              <w:bottom w:val="none" w:sz="0"/>
              <w:right w:val="none" w:sz="0"/>
            </w:tcBorders>
            <w:tcMar>
              <w:top w:type="dxa" w:w="0"/>
              <w:left w:type="dxa" w:w="0"/>
              <w:bottom w:type="dxa" w:w="0"/>
              <w:right w:type="dxa" w:w="0"/>
            </w:tcMar>
            <w:vAlign w:val="center"/>
          </w:tcPr>
          <w:p>
            <w:pPr>
              <w:jc w:val="center"/>
            </w:pPr>
            <w:r>
              <w:rPr>
                <w:rFonts w:ascii="Arial" w:cs="Arial" w:eastAsia="Arial" w:hAnsi="Arial"/>
                <w:b/>
                <w:bCs/>
                <w:color w:val="94A3B8"/>
                <w:sz w:val="28"/>
                <w:szCs w:val="28"/>
              </w:rPr>
              <w:t xml:space="preserve">→</w:t>
            </w:r>
          </w:p>
        </w:tc>
        <w:tc>
          <w:tcPr>
            <w:tcW w:type="dxa" w:w="2620"/>
            <w:tcBorders>
              <w:top w:val="single" w:color="0D9488" w:sz="1"/>
              <w:left w:val="single" w:color="0D9488" w:sz="1"/>
              <w:bottom w:val="single" w:color="0D9488" w:sz="1"/>
              <w:right w:val="single" w:color="0D9488" w:sz="1"/>
            </w:tcBorders>
            <w:shd w:fill="0D9488" w:val="clear"/>
            <w:tcMar>
              <w:top w:type="dxa" w:w="100"/>
              <w:left w:type="dxa" w:w="80"/>
              <w:bottom w:type="dxa" w:w="100"/>
              <w:right w:type="dxa" w:w="80"/>
            </w:tcMar>
            <w:vAlign w:val="center"/>
          </w:tcPr>
          <w:p>
            <w:pPr>
              <w:jc w:val="center"/>
            </w:pPr>
            <w:r>
              <w:rPr>
                <w:rFonts w:ascii="Arial" w:cs="Arial" w:eastAsia="Arial" w:hAnsi="Arial"/>
                <w:b/>
                <w:bCs/>
                <w:color w:val="FFFFFF"/>
                <w:sz w:val="18"/>
                <w:szCs w:val="18"/>
              </w:rPr>
              <w:t xml:space="preserve">OPTIMIZER
Resource
Allocation</w:t>
            </w:r>
          </w:p>
        </w:tc>
        <w:tc>
          <w:tcPr>
            <w:tcW w:type="dxa" w:w="500"/>
            <w:tcBorders>
              <w:top w:val="none" w:sz="0"/>
              <w:left w:val="none" w:sz="0"/>
              <w:bottom w:val="none" w:sz="0"/>
              <w:right w:val="none" w:sz="0"/>
            </w:tcBorders>
            <w:tcMar>
              <w:top w:type="dxa" w:w="0"/>
              <w:left w:type="dxa" w:w="0"/>
              <w:bottom w:type="dxa" w:w="0"/>
              <w:right w:type="dxa" w:w="0"/>
            </w:tcMar>
            <w:vAlign w:val="center"/>
          </w:tcPr>
          <w:p>
            <w:pPr>
              <w:jc w:val="center"/>
            </w:pPr>
            <w:r>
              <w:rPr>
                <w:rFonts w:ascii="Arial" w:cs="Arial" w:eastAsia="Arial" w:hAnsi="Arial"/>
                <w:b/>
                <w:bCs/>
                <w:color w:val="94A3B8"/>
                <w:sz w:val="28"/>
                <w:szCs w:val="28"/>
              </w:rPr>
              <w:t xml:space="preserve">→</w:t>
            </w:r>
          </w:p>
        </w:tc>
        <w:tc>
          <w:tcPr>
            <w:tcW w:type="dxa" w:w="2620"/>
            <w:tcBorders>
              <w:top w:val="single" w:color="22C55E" w:sz="1"/>
              <w:left w:val="single" w:color="22C55E" w:sz="1"/>
              <w:bottom w:val="single" w:color="22C55E" w:sz="1"/>
              <w:right w:val="single" w:color="22C55E" w:sz="1"/>
            </w:tcBorders>
            <w:shd w:fill="22C55E" w:val="clear"/>
            <w:tcMar>
              <w:top w:type="dxa" w:w="100"/>
              <w:left w:type="dxa" w:w="80"/>
              <w:bottom w:type="dxa" w:w="100"/>
              <w:right w:type="dxa" w:w="80"/>
            </w:tcMar>
            <w:vAlign w:val="center"/>
          </w:tcPr>
          <w:p>
            <w:pPr>
              <w:jc w:val="center"/>
            </w:pPr>
            <w:r>
              <w:rPr>
                <w:rFonts w:ascii="Arial" w:cs="Arial" w:eastAsia="Arial" w:hAnsi="Arial"/>
                <w:b/>
                <w:bCs/>
                <w:color w:val="FFFFFF"/>
                <w:sz w:val="18"/>
                <w:szCs w:val="18"/>
              </w:rPr>
              <w:t xml:space="preserve">OUTPUT
Shift Matrix
% by Cat × Year</w:t>
            </w:r>
          </w:p>
        </w:tc>
      </w:tr>
    </w:tbl>
    <w:p>
      <w:pPr>
        <w:spacing w:after="0" w:before="300"/>
      </w:pPr>
    </w:p>
    <w:p>
      <w:pPr>
        <w:pStyle w:val="Heading2"/>
      </w:pPr>
      <w:r>
        <w:rPr>
          <w:rFonts w:ascii="Arial" w:cs="Arial" w:eastAsia="Arial" w:hAnsi="Arial"/>
        </w:rPr>
        <w:t xml:space="preserve">3.1 Stage 1: Input — The Trend Database</w:t>
      </w:r>
    </w:p>
    <w:p>
      <w:pPr>
        <w:spacing w:after="120" w:line="276"/>
      </w:pPr>
      <w:r>
        <w:rPr>
          <w:rFonts w:ascii="Arial" w:cs="Arial" w:eastAsia="Arial" w:hAnsi="Arial"/>
          <w:color w:val="334155"/>
          <w:sz w:val="21"/>
          <w:szCs w:val="21"/>
        </w:rPr>
        <w:t xml:space="preserve">PRISM ingests the V12 Excel workbook, parsing 55 market trends organized across 6 strategic forces: Consumer, Customer, Technology, Government, Environmental, and Competitive. Each trend carries expert-scored attributes including probability of materialization, direction of impact (expansion or contraction), category exposure scores, and source credibility ratings.</w:t>
      </w:r>
    </w:p>
    <w:p>
      <w:pPr>
        <w:spacing w:after="120" w:line="276"/>
      </w:pPr>
      <w:r>
        <w:rPr>
          <w:rFonts w:ascii="Arial" w:cs="Arial" w:eastAsia="Arial" w:hAnsi="Arial"/>
          <w:color w:val="334155"/>
          <w:sz w:val="21"/>
          <w:szCs w:val="21"/>
        </w:rPr>
        <w:t xml:space="preserve">The system validates all inputs against defined ranges and flags any data quality issues before proceeding. This ensures that the simulation starts from a clean, verified foundation.</w:t>
      </w:r>
    </w:p>
    <w:p>
      <w:pPr>
        <w:pStyle w:val="Heading2"/>
      </w:pPr>
      <w:r>
        <w:rPr>
          <w:rFonts w:ascii="Arial" w:cs="Arial" w:eastAsia="Arial" w:hAnsi="Arial"/>
        </w:rPr>
        <w:t xml:space="preserve">3.2 Stage 2: Scoring — Probability × Economic Scope</w:t>
      </w:r>
    </w:p>
    <w:p>
      <w:pPr>
        <w:spacing w:after="120" w:line="276"/>
      </w:pPr>
      <w:r>
        <w:rPr>
          <w:rFonts w:ascii="Arial" w:cs="Arial" w:eastAsia="Arial" w:hAnsi="Arial"/>
          <w:color w:val="334155"/>
          <w:sz w:val="21"/>
          <w:szCs w:val="21"/>
        </w:rPr>
        <w:t xml:space="preserve">Each trend is scored on two dimensions that together determine its weight in the simulation: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c>
          <w:tcPr>
            <w:tcW w:type="dxa" w:w="2200"/>
            <w:tcBorders>
              <w:top w:val="single" w:color="CBD5E1" w:sz="1"/>
              <w:left w:val="single" w:color="CBD5E1" w:sz="1"/>
              <w:bottom w:val="single" w:color="CBD5E1" w:sz="1"/>
              <w:right w:val="single" w:color="CBD5E1" w:sz="1"/>
            </w:tcBorders>
            <w:shd w:fill="0F172A" w:val="clear"/>
            <w:tcMar>
              <w:top w:type="dxa" w:w="80"/>
              <w:left w:type="dxa" w:w="120"/>
              <w:bottom w:type="dxa" w:w="80"/>
              <w:right w:type="dxa" w:w="120"/>
            </w:tcMar>
            <w:vAlign w:val="center"/>
          </w:tcPr>
          <w:p>
            <w:pPr>
              <w:jc w:val="left"/>
            </w:pPr>
            <w:r>
              <w:rPr>
                <w:rFonts w:ascii="Arial" w:cs="Arial" w:eastAsia="Arial" w:hAnsi="Arial"/>
                <w:b/>
                <w:bCs/>
                <w:color w:val="FFFFFF"/>
                <w:sz w:val="19"/>
                <w:szCs w:val="19"/>
              </w:rPr>
              <w:t xml:space="preserve">Dimension</w:t>
            </w:r>
          </w:p>
        </w:tc>
        <w:tc>
          <w:tcPr>
            <w:tcW w:type="dxa" w:w="3580"/>
            <w:tcBorders>
              <w:top w:val="single" w:color="CBD5E1" w:sz="1"/>
              <w:left w:val="single" w:color="CBD5E1" w:sz="1"/>
              <w:bottom w:val="single" w:color="CBD5E1" w:sz="1"/>
              <w:right w:val="single" w:color="CBD5E1" w:sz="1"/>
            </w:tcBorders>
            <w:shd w:fill="0F172A" w:val="clear"/>
            <w:tcMar>
              <w:top w:type="dxa" w:w="80"/>
              <w:left w:type="dxa" w:w="120"/>
              <w:bottom w:type="dxa" w:w="80"/>
              <w:right w:type="dxa" w:w="120"/>
            </w:tcMar>
            <w:vAlign w:val="center"/>
          </w:tcPr>
          <w:p>
            <w:pPr>
              <w:jc w:val="left"/>
            </w:pPr>
            <w:r>
              <w:rPr>
                <w:rFonts w:ascii="Arial" w:cs="Arial" w:eastAsia="Arial" w:hAnsi="Arial"/>
                <w:b/>
                <w:bCs/>
                <w:color w:val="FFFFFF"/>
                <w:sz w:val="19"/>
                <w:szCs w:val="19"/>
              </w:rPr>
              <w:t xml:space="preserve">What It Measures</w:t>
            </w:r>
          </w:p>
        </w:tc>
        <w:tc>
          <w:tcPr>
            <w:tcW w:type="dxa" w:w="3580"/>
            <w:tcBorders>
              <w:top w:val="single" w:color="CBD5E1" w:sz="1"/>
              <w:left w:val="single" w:color="CBD5E1" w:sz="1"/>
              <w:bottom w:val="single" w:color="CBD5E1" w:sz="1"/>
              <w:right w:val="single" w:color="CBD5E1" w:sz="1"/>
            </w:tcBorders>
            <w:shd w:fill="0F172A" w:val="clear"/>
            <w:tcMar>
              <w:top w:type="dxa" w:w="80"/>
              <w:left w:type="dxa" w:w="120"/>
              <w:bottom w:type="dxa" w:w="80"/>
              <w:right w:type="dxa" w:w="120"/>
            </w:tcMar>
            <w:vAlign w:val="center"/>
          </w:tcPr>
          <w:p>
            <w:pPr>
              <w:jc w:val="left"/>
            </w:pPr>
            <w:r>
              <w:rPr>
                <w:rFonts w:ascii="Arial" w:cs="Arial" w:eastAsia="Arial" w:hAnsi="Arial"/>
                <w:b/>
                <w:bCs/>
                <w:color w:val="FFFFFF"/>
                <w:sz w:val="19"/>
                <w:szCs w:val="19"/>
              </w:rPr>
              <w:t xml:space="preserve">Scale</w:t>
            </w:r>
          </w:p>
        </w:tc>
      </w:tr>
      <w:tr>
        <w:tc>
          <w:tcPr>
            <w:tcW w:type="dxa" w:w="2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left"/>
            </w:pPr>
            <w:r>
              <w:rPr>
                <w:rFonts w:ascii="Arial" w:cs="Arial" w:eastAsia="Arial" w:hAnsi="Arial"/>
                <w:b/>
                <w:bCs/>
                <w:i w:val="false"/>
                <w:iCs w:val="false"/>
                <w:color w:val="334155"/>
                <w:sz w:val="19"/>
                <w:szCs w:val="19"/>
              </w:rPr>
              <w:t xml:space="preserve">Probability</w:t>
            </w:r>
          </w:p>
        </w:tc>
        <w:tc>
          <w:tcPr>
            <w:tcW w:type="dxa" w:w="358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334155"/>
                <w:sz w:val="19"/>
                <w:szCs w:val="19"/>
              </w:rPr>
              <w:t xml:space="preserve">Likelihood that the trend will materialize as described within the time horizon</w:t>
            </w:r>
          </w:p>
        </w:tc>
        <w:tc>
          <w:tcPr>
            <w:tcW w:type="dxa" w:w="358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334155"/>
                <w:sz w:val="19"/>
                <w:szCs w:val="19"/>
              </w:rPr>
              <w:t xml:space="preserve">1 (unlikely) to 5 (near-certain)</w:t>
            </w:r>
          </w:p>
        </w:tc>
      </w:tr>
      <w:tr>
        <w:tc>
          <w:tcPr>
            <w:tcW w:type="dxa" w:w="2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left"/>
            </w:pPr>
            <w:r>
              <w:rPr>
                <w:rFonts w:ascii="Arial" w:cs="Arial" w:eastAsia="Arial" w:hAnsi="Arial"/>
                <w:b/>
                <w:bCs/>
                <w:i w:val="false"/>
                <w:iCs w:val="false"/>
                <w:color w:val="334155"/>
                <w:sz w:val="19"/>
                <w:szCs w:val="19"/>
              </w:rPr>
              <w:t xml:space="preserve">GP1% Affected</w:t>
            </w:r>
          </w:p>
        </w:tc>
        <w:tc>
          <w:tcPr>
            <w:tcW w:type="dxa" w:w="358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334155"/>
                <w:sz w:val="19"/>
                <w:szCs w:val="19"/>
              </w:rPr>
              <w:t xml:space="preserve">Maximum fraction of a category’s profit pool that this trend can realistically touch at full materialization</w:t>
            </w:r>
          </w:p>
        </w:tc>
        <w:tc>
          <w:tcPr>
            <w:tcW w:type="dxa" w:w="358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334155"/>
                <w:sz w:val="19"/>
                <w:szCs w:val="19"/>
              </w:rPr>
              <w:t xml:space="preserve">0% to 100% (typically 2–25%)</w:t>
            </w:r>
          </w:p>
        </w:tc>
      </w:tr>
    </w:tbl>
    <w:p>
      <w:pPr>
        <w:spacing w:after="0" w:before="120"/>
      </w:pPr>
    </w:p>
    <w:p>
      <w:pPr>
        <w:spacing w:after="120" w:line="276"/>
      </w:pPr>
      <w:r>
        <w:rPr>
          <w:rFonts w:ascii="Arial" w:cs="Arial" w:eastAsia="Arial" w:hAnsi="Arial"/>
          <w:b/>
          <w:bCs/>
          <w:color w:val="334155"/>
          <w:sz w:val="21"/>
          <w:szCs w:val="21"/>
        </w:rPr>
        <w:t xml:space="preserve">The normalized score</w:t>
      </w:r>
      <w:r>
        <w:rPr>
          <w:rFonts w:ascii="Arial" w:cs="Arial" w:eastAsia="Arial" w:hAnsi="Arial"/>
          <w:color w:val="334155"/>
          <w:sz w:val="21"/>
          <w:szCs w:val="21"/>
        </w:rPr>
        <w:t xml:space="preserve"> combines both: </w:t>
      </w:r>
      <w:r>
        <w:rPr>
          <w:rFonts w:ascii="Arial" w:cs="Arial" w:eastAsia="Arial" w:hAnsi="Arial"/>
          <w:i/>
          <w:iCs/>
          <w:color w:val="334155"/>
          <w:sz w:val="21"/>
          <w:szCs w:val="21"/>
        </w:rPr>
        <w:t xml:space="preserve">Score = Probability × GP1% Affected × Direction</w:t>
      </w:r>
      <w:r>
        <w:rPr>
          <w:rFonts w:ascii="Arial" w:cs="Arial" w:eastAsia="Arial" w:hAnsi="Arial"/>
          <w:color w:val="334155"/>
          <w:sz w:val="21"/>
          <w:szCs w:val="21"/>
        </w:rPr>
        <w:t xml:space="preserve">. A trend that is highly likely but affects only 3% of the pool will have a smaller influence than a moderately likely trend that could affect 25% of the pool. This prevents overweighting of probable-but-marginal trends.</w:t>
      </w:r>
    </w:p>
    <w:p>
      <w:pPr>
        <w:spacing w:after="120" w:before="240"/>
      </w:pPr>
      <w:r>
        <w:rPr>
          <w:rFonts w:ascii="Arial" w:cs="Arial" w:eastAsia="Arial" w:hAnsi="Arial"/>
          <w:b/>
          <w:bCs/>
          <w:color w:val="0F172A"/>
          <w:sz w:val="24"/>
          <w:szCs w:val="24"/>
        </w:rPr>
        <w:t xml:space="preserve">Concrete Example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200"/>
        <w:gridCol w:w="1560"/>
        <w:gridCol w:w="1200"/>
        <w:gridCol w:w="2400"/>
      </w:tblGrid>
      <w:tr>
        <w:tc>
          <w:tcPr>
            <w:tcW w:type="dxa" w:w="3000"/>
            <w:tcBorders>
              <w:top w:val="single" w:color="CBD5E1" w:sz="1"/>
              <w:left w:val="single" w:color="CBD5E1" w:sz="1"/>
              <w:bottom w:val="single" w:color="CBD5E1" w:sz="1"/>
              <w:right w:val="single" w:color="CBD5E1" w:sz="1"/>
            </w:tcBorders>
            <w:shd w:fill="0F172A" w:val="clear"/>
            <w:tcMar>
              <w:top w:type="dxa" w:w="80"/>
              <w:left w:type="dxa" w:w="120"/>
              <w:bottom w:type="dxa" w:w="80"/>
              <w:right w:type="dxa" w:w="120"/>
            </w:tcMar>
            <w:vAlign w:val="center"/>
          </w:tcPr>
          <w:p>
            <w:pPr>
              <w:jc w:val="left"/>
            </w:pPr>
            <w:r>
              <w:rPr>
                <w:rFonts w:ascii="Arial" w:cs="Arial" w:eastAsia="Arial" w:hAnsi="Arial"/>
                <w:b/>
                <w:bCs/>
                <w:color w:val="FFFFFF"/>
                <w:sz w:val="19"/>
                <w:szCs w:val="19"/>
              </w:rPr>
              <w:t xml:space="preserve">Trend</w:t>
            </w:r>
          </w:p>
        </w:tc>
        <w:tc>
          <w:tcPr>
            <w:tcW w:type="dxa" w:w="1200"/>
            <w:tcBorders>
              <w:top w:val="single" w:color="CBD5E1" w:sz="1"/>
              <w:left w:val="single" w:color="CBD5E1" w:sz="1"/>
              <w:bottom w:val="single" w:color="CBD5E1" w:sz="1"/>
              <w:right w:val="single" w:color="CBD5E1" w:sz="1"/>
            </w:tcBorders>
            <w:shd w:fill="0F172A" w:val="clear"/>
            <w:tcMar>
              <w:top w:type="dxa" w:w="80"/>
              <w:left w:type="dxa" w:w="120"/>
              <w:bottom w:type="dxa" w:w="80"/>
              <w:right w:type="dxa" w:w="120"/>
            </w:tcMar>
            <w:vAlign w:val="center"/>
          </w:tcPr>
          <w:p>
            <w:pPr>
              <w:jc w:val="left"/>
            </w:pPr>
            <w:r>
              <w:rPr>
                <w:rFonts w:ascii="Arial" w:cs="Arial" w:eastAsia="Arial" w:hAnsi="Arial"/>
                <w:b/>
                <w:bCs/>
                <w:color w:val="FFFFFF"/>
                <w:sz w:val="19"/>
                <w:szCs w:val="19"/>
              </w:rPr>
              <w:t xml:space="preserve">Prob.</w:t>
            </w:r>
          </w:p>
        </w:tc>
        <w:tc>
          <w:tcPr>
            <w:tcW w:type="dxa" w:w="1560"/>
            <w:tcBorders>
              <w:top w:val="single" w:color="CBD5E1" w:sz="1"/>
              <w:left w:val="single" w:color="CBD5E1" w:sz="1"/>
              <w:bottom w:val="single" w:color="CBD5E1" w:sz="1"/>
              <w:right w:val="single" w:color="CBD5E1" w:sz="1"/>
            </w:tcBorders>
            <w:shd w:fill="0F172A" w:val="clear"/>
            <w:tcMar>
              <w:top w:type="dxa" w:w="80"/>
              <w:left w:type="dxa" w:w="120"/>
              <w:bottom w:type="dxa" w:w="80"/>
              <w:right w:type="dxa" w:w="120"/>
            </w:tcMar>
            <w:vAlign w:val="center"/>
          </w:tcPr>
          <w:p>
            <w:pPr>
              <w:jc w:val="left"/>
            </w:pPr>
            <w:r>
              <w:rPr>
                <w:rFonts w:ascii="Arial" w:cs="Arial" w:eastAsia="Arial" w:hAnsi="Arial"/>
                <w:b/>
                <w:bCs/>
                <w:color w:val="FFFFFF"/>
                <w:sz w:val="19"/>
                <w:szCs w:val="19"/>
              </w:rPr>
              <w:t xml:space="preserve">GP1%</w:t>
            </w:r>
          </w:p>
        </w:tc>
        <w:tc>
          <w:tcPr>
            <w:tcW w:type="dxa" w:w="1200"/>
            <w:tcBorders>
              <w:top w:val="single" w:color="CBD5E1" w:sz="1"/>
              <w:left w:val="single" w:color="CBD5E1" w:sz="1"/>
              <w:bottom w:val="single" w:color="CBD5E1" w:sz="1"/>
              <w:right w:val="single" w:color="CBD5E1" w:sz="1"/>
            </w:tcBorders>
            <w:shd w:fill="0F172A" w:val="clear"/>
            <w:tcMar>
              <w:top w:type="dxa" w:w="80"/>
              <w:left w:type="dxa" w:w="120"/>
              <w:bottom w:type="dxa" w:w="80"/>
              <w:right w:type="dxa" w:w="120"/>
            </w:tcMar>
            <w:vAlign w:val="center"/>
          </w:tcPr>
          <w:p>
            <w:pPr>
              <w:jc w:val="left"/>
            </w:pPr>
            <w:r>
              <w:rPr>
                <w:rFonts w:ascii="Arial" w:cs="Arial" w:eastAsia="Arial" w:hAnsi="Arial"/>
                <w:b/>
                <w:bCs/>
                <w:color w:val="FFFFFF"/>
                <w:sz w:val="19"/>
                <w:szCs w:val="19"/>
              </w:rPr>
              <w:t xml:space="preserve">Dir.</w:t>
            </w:r>
          </w:p>
        </w:tc>
        <w:tc>
          <w:tcPr>
            <w:tcW w:type="dxa" w:w="2400"/>
            <w:tcBorders>
              <w:top w:val="single" w:color="CBD5E1" w:sz="1"/>
              <w:left w:val="single" w:color="CBD5E1" w:sz="1"/>
              <w:bottom w:val="single" w:color="CBD5E1" w:sz="1"/>
              <w:right w:val="single" w:color="CBD5E1" w:sz="1"/>
            </w:tcBorders>
            <w:shd w:fill="0F172A" w:val="clear"/>
            <w:tcMar>
              <w:top w:type="dxa" w:w="80"/>
              <w:left w:type="dxa" w:w="120"/>
              <w:bottom w:type="dxa" w:w="80"/>
              <w:right w:type="dxa" w:w="120"/>
            </w:tcMar>
            <w:vAlign w:val="center"/>
          </w:tcPr>
          <w:p>
            <w:pPr>
              <w:jc w:val="left"/>
            </w:pPr>
            <w:r>
              <w:rPr>
                <w:rFonts w:ascii="Arial" w:cs="Arial" w:eastAsia="Arial" w:hAnsi="Arial"/>
                <w:b/>
                <w:bCs/>
                <w:color w:val="FFFFFF"/>
                <w:sz w:val="19"/>
                <w:szCs w:val="19"/>
              </w:rPr>
              <w:t xml:space="preserve">Normalized Score</w:t>
            </w:r>
          </w:p>
        </w:tc>
      </w:tr>
      <w:tr>
        <w:tc>
          <w:tcPr>
            <w:tcW w:type="dxa" w:w="30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334155"/>
                <w:sz w:val="19"/>
                <w:szCs w:val="19"/>
              </w:rPr>
              <w:t xml:space="preserve">Private Label Penetration</w:t>
            </w:r>
          </w:p>
        </w:tc>
        <w:tc>
          <w:tcPr>
            <w:tcW w:type="dxa" w:w="1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i w:val="false"/>
                <w:iCs w:val="false"/>
                <w:color w:val="334155"/>
                <w:sz w:val="19"/>
                <w:szCs w:val="19"/>
              </w:rPr>
              <w:t xml:space="preserve">4</w:t>
            </w:r>
          </w:p>
        </w:tc>
        <w:tc>
          <w:tcPr>
            <w:tcW w:type="dxa" w:w="15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i w:val="false"/>
                <w:iCs w:val="false"/>
                <w:color w:val="334155"/>
                <w:sz w:val="19"/>
                <w:szCs w:val="19"/>
              </w:rPr>
              <w:t xml:space="preserve">25%</w:t>
            </w:r>
          </w:p>
        </w:tc>
        <w:tc>
          <w:tcPr>
            <w:tcW w:type="dxa" w:w="1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i w:val="false"/>
                <w:iCs w:val="false"/>
                <w:color w:val="EF4444"/>
                <w:sz w:val="19"/>
                <w:szCs w:val="19"/>
              </w:rPr>
              <w:t xml:space="preserve">↓</w:t>
            </w:r>
          </w:p>
        </w:tc>
        <w:tc>
          <w:tcPr>
            <w:tcW w:type="dxa" w:w="24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left"/>
            </w:pPr>
            <w:r>
              <w:rPr>
                <w:rFonts w:ascii="Arial" w:cs="Arial" w:eastAsia="Arial" w:hAnsi="Arial"/>
                <w:b/>
                <w:bCs/>
                <w:i w:val="false"/>
                <w:iCs w:val="false"/>
                <w:color w:val="334155"/>
                <w:sz w:val="19"/>
                <w:szCs w:val="19"/>
              </w:rPr>
              <w:t xml:space="preserve">4 × 0.25 × (-1) = -1.00</w:t>
            </w:r>
          </w:p>
        </w:tc>
      </w:tr>
      <w:tr>
        <w:tc>
          <w:tcPr>
            <w:tcW w:type="dxa" w:w="30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334155"/>
                <w:sz w:val="19"/>
                <w:szCs w:val="19"/>
              </w:rPr>
              <w:t xml:space="preserve">Silver Economy / Aging</w:t>
            </w:r>
          </w:p>
        </w:tc>
        <w:tc>
          <w:tcPr>
            <w:tcW w:type="dxa" w:w="1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i w:val="false"/>
                <w:iCs w:val="false"/>
                <w:color w:val="334155"/>
                <w:sz w:val="19"/>
                <w:szCs w:val="19"/>
              </w:rPr>
              <w:t xml:space="preserve">5</w:t>
            </w:r>
          </w:p>
        </w:tc>
        <w:tc>
          <w:tcPr>
            <w:tcW w:type="dxa" w:w="15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i w:val="false"/>
                <w:iCs w:val="false"/>
                <w:color w:val="334155"/>
                <w:sz w:val="19"/>
                <w:szCs w:val="19"/>
              </w:rPr>
              <w:t xml:space="preserve">22%</w:t>
            </w:r>
          </w:p>
        </w:tc>
        <w:tc>
          <w:tcPr>
            <w:tcW w:type="dxa" w:w="1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i w:val="false"/>
                <w:iCs w:val="false"/>
                <w:color w:val="22C55E"/>
                <w:sz w:val="19"/>
                <w:szCs w:val="19"/>
              </w:rPr>
              <w:t xml:space="preserve">↑</w:t>
            </w:r>
          </w:p>
        </w:tc>
        <w:tc>
          <w:tcPr>
            <w:tcW w:type="dxa" w:w="24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left"/>
            </w:pPr>
            <w:r>
              <w:rPr>
                <w:rFonts w:ascii="Arial" w:cs="Arial" w:eastAsia="Arial" w:hAnsi="Arial"/>
                <w:b/>
                <w:bCs/>
                <w:i w:val="false"/>
                <w:iCs w:val="false"/>
                <w:color w:val="334155"/>
                <w:sz w:val="19"/>
                <w:szCs w:val="19"/>
              </w:rPr>
              <w:t xml:space="preserve">5 × 0.22 × (+1) = +1.10</w:t>
            </w:r>
          </w:p>
        </w:tc>
      </w:tr>
      <w:tr>
        <w:tc>
          <w:tcPr>
            <w:tcW w:type="dxa" w:w="30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334155"/>
                <w:sz w:val="19"/>
                <w:szCs w:val="19"/>
              </w:rPr>
              <w:t xml:space="preserve">DPP Compliance</w:t>
            </w:r>
          </w:p>
        </w:tc>
        <w:tc>
          <w:tcPr>
            <w:tcW w:type="dxa" w:w="1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i w:val="false"/>
                <w:iCs w:val="false"/>
                <w:color w:val="334155"/>
                <w:sz w:val="19"/>
                <w:szCs w:val="19"/>
              </w:rPr>
              <w:t xml:space="preserve">5</w:t>
            </w:r>
          </w:p>
        </w:tc>
        <w:tc>
          <w:tcPr>
            <w:tcW w:type="dxa" w:w="15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i w:val="false"/>
                <w:iCs w:val="false"/>
                <w:color w:val="334155"/>
                <w:sz w:val="19"/>
                <w:szCs w:val="19"/>
              </w:rPr>
              <w:t xml:space="preserve">2%</w:t>
            </w:r>
          </w:p>
        </w:tc>
        <w:tc>
          <w:tcPr>
            <w:tcW w:type="dxa" w:w="1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i w:val="false"/>
                <w:iCs w:val="false"/>
                <w:color w:val="EF4444"/>
                <w:sz w:val="19"/>
                <w:szCs w:val="19"/>
              </w:rPr>
              <w:t xml:space="preserve">↓</w:t>
            </w:r>
          </w:p>
        </w:tc>
        <w:tc>
          <w:tcPr>
            <w:tcW w:type="dxa" w:w="24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left"/>
            </w:pPr>
            <w:r>
              <w:rPr>
                <w:rFonts w:ascii="Arial" w:cs="Arial" w:eastAsia="Arial" w:hAnsi="Arial"/>
                <w:b/>
                <w:bCs/>
                <w:i w:val="false"/>
                <w:iCs w:val="false"/>
                <w:color w:val="334155"/>
                <w:sz w:val="19"/>
                <w:szCs w:val="19"/>
              </w:rPr>
              <w:t xml:space="preserve">5 × 0.02 × (-1) = -0.10</w:t>
            </w:r>
          </w:p>
        </w:tc>
      </w:tr>
    </w:tbl>
    <w:p>
      <w:pPr>
        <w:spacing w:after="0" w:before="80"/>
      </w:pPr>
    </w:p>
    <w:p>
      <w:pPr>
        <w:spacing w:after="120" w:line="276"/>
      </w:pPr>
      <w:r>
        <w:rPr>
          <w:rFonts w:ascii="Arial" w:cs="Arial" w:eastAsia="Arial" w:hAnsi="Arial"/>
          <w:i/>
          <w:iCs/>
          <w:color w:val="64748B"/>
          <w:sz w:val="21"/>
          <w:szCs w:val="21"/>
        </w:rPr>
        <w:t xml:space="preserve">The Silver Economy trend has the highest positive score despite fewer categories being affected, because its probability and economic scope are both high. DPP Compliance, while near-certain, touches only 2% of the pool.</w:t>
      </w:r>
    </w:p>
    <w:p>
      <w:r>
        <w:br w:type="page"/>
      </w:r>
    </w:p>
    <w:p>
      <w:pPr>
        <w:pStyle w:val="Heading2"/>
      </w:pPr>
      <w:r>
        <w:rPr>
          <w:rFonts w:ascii="Arial" w:cs="Arial" w:eastAsia="Arial" w:hAnsi="Arial"/>
        </w:rPr>
        <w:t xml:space="preserve">3.3 Stage 3: Simulation — Bayesian Monte Carlo</w:t>
      </w:r>
    </w:p>
    <w:p>
      <w:pPr>
        <w:spacing w:after="120" w:line="276"/>
      </w:pPr>
      <w:r>
        <w:rPr>
          <w:rFonts w:ascii="Arial" w:cs="Arial" w:eastAsia="Arial" w:hAnsi="Arial"/>
          <w:color w:val="334155"/>
          <w:sz w:val="21"/>
          <w:szCs w:val="21"/>
        </w:rPr>
        <w:t xml:space="preserve">This is the statistical core of PRISM. Instead of using fixed scores, the simulation treats each score as a probability distribution and runs thousands of simulated scenarios to understand the full range of possible outcomes.</w:t>
      </w:r>
    </w:p>
    <w:p>
      <w:pPr>
        <w:spacing w:after="120" w:before="240"/>
      </w:pPr>
      <w:r>
        <w:rPr>
          <w:rFonts w:ascii="Arial" w:cs="Arial" w:eastAsia="Arial" w:hAnsi="Arial"/>
          <w:b/>
          <w:bCs/>
          <w:color w:val="0F172A"/>
          <w:sz w:val="24"/>
          <w:szCs w:val="24"/>
        </w:rPr>
        <w:t xml:space="preserve">The Intuition</w:t>
      </w:r>
    </w:p>
    <w:p>
      <w:pPr>
        <w:spacing w:after="120" w:line="276"/>
      </w:pPr>
      <w:r>
        <w:rPr>
          <w:rFonts w:ascii="Arial" w:cs="Arial" w:eastAsia="Arial" w:hAnsi="Arial"/>
          <w:color w:val="334155"/>
          <w:sz w:val="21"/>
          <w:szCs w:val="21"/>
        </w:rPr>
        <w:t xml:space="preserve">Imagine rolling thousands of dice simultaneously — each die representing one trend, weighted by its score. Some dice are heavier on one side (high-probability trends), others are more balanced (uncertain trends). By rolling all dice 10,000 times and recording the combined outcome each time, we get a distribution that shows not just the most likely result, but the full spectrum: best case, worst case, and everything in between.</w:t>
      </w:r>
    </w:p>
    <w:p>
      <w:pPr>
        <w:spacing w:after="120" w:before="240"/>
      </w:pPr>
      <w:r>
        <w:rPr>
          <w:rFonts w:ascii="Arial" w:cs="Arial" w:eastAsia="Arial" w:hAnsi="Arial"/>
          <w:b/>
          <w:bCs/>
          <w:color w:val="0F172A"/>
          <w:sz w:val="24"/>
          <w:szCs w:val="24"/>
        </w:rPr>
        <w:t xml:space="preserve">Why Bayesian?</w:t>
      </w:r>
    </w:p>
    <w:p>
      <w:pPr>
        <w:spacing w:after="120" w:line="276"/>
      </w:pPr>
      <w:r>
        <w:rPr>
          <w:rFonts w:ascii="Arial" w:cs="Arial" w:eastAsia="Arial" w:hAnsi="Arial"/>
          <w:color w:val="334155"/>
          <w:sz w:val="21"/>
          <w:szCs w:val="21"/>
        </w:rPr>
        <w:t xml:space="preserve">Traditional simulations assume you know the shape of uncertainty upfront (e.g., “scores follow a triangular distribution”). Bayesian models are more honest: they start with a prior belief and update it as evidence arrives. If historical backtesting shows that Government trends tend to under-deliver relative to scores, the model learns this and adjusts its distributions accordingly.</w:t>
      </w:r>
    </w:p>
    <w:p>
      <w:pPr>
        <w:spacing w:after="120" w:before="240"/>
      </w:pPr>
      <w:r>
        <w:rPr>
          <w:rFonts w:ascii="Arial" w:cs="Arial" w:eastAsia="Arial" w:hAnsi="Arial"/>
          <w:b/>
          <w:bCs/>
          <w:color w:val="0F172A"/>
          <w:sz w:val="24"/>
          <w:szCs w:val="24"/>
        </w:rPr>
        <w:t xml:space="preserve">Why Copulas?</w:t>
      </w:r>
    </w:p>
    <w:p>
      <w:pPr>
        <w:spacing w:after="120" w:line="276"/>
      </w:pPr>
      <w:r>
        <w:rPr>
          <w:rFonts w:ascii="Arial" w:cs="Arial" w:eastAsia="Arial" w:hAnsi="Arial"/>
          <w:color w:val="334155"/>
          <w:sz w:val="21"/>
          <w:szCs w:val="21"/>
        </w:rPr>
        <w:t xml:space="preserve">In normal times, trends within the same force are moderately correlated (if one Consumer trend materializes, others become slightly more likely). In crisis times, correlations spike — everything goes wrong together. Simple correlation coefficients miss this “crisis correlation” effect. PRISM uses a statistical structure called a t-copula that captures the empirical fact that tail risks are more correlated than normal-day risks.</w:t>
      </w:r>
    </w:p>
    <w:p>
      <w:pPr>
        <w:spacing w:after="120" w:before="240"/>
      </w:pPr>
      <w:r>
        <w:rPr>
          <w:rFonts w:ascii="Arial" w:cs="Arial" w:eastAsia="Arial" w:hAnsi="Arial"/>
          <w:b/>
          <w:bCs/>
          <w:color w:val="0F172A"/>
          <w:sz w:val="24"/>
          <w:szCs w:val="24"/>
        </w:rPr>
        <w:t xml:space="preserve">Key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360"/>
      </w:tblGrid>
      <w:tr>
        <w:tc>
          <w:tcPr>
            <w:tcW w:type="dxa" w:w="3000"/>
            <w:tcBorders>
              <w:top w:val="single" w:color="CBD5E1" w:sz="1"/>
              <w:left w:val="single" w:color="CBD5E1" w:sz="1"/>
              <w:bottom w:val="single" w:color="CBD5E1" w:sz="1"/>
              <w:right w:val="single" w:color="CBD5E1" w:sz="1"/>
            </w:tcBorders>
            <w:shd w:fill="0F172A" w:val="clear"/>
            <w:tcMar>
              <w:top w:type="dxa" w:w="80"/>
              <w:left w:type="dxa" w:w="120"/>
              <w:bottom w:type="dxa" w:w="80"/>
              <w:right w:type="dxa" w:w="120"/>
            </w:tcMar>
            <w:vAlign w:val="center"/>
          </w:tcPr>
          <w:p>
            <w:pPr>
              <w:jc w:val="left"/>
            </w:pPr>
            <w:r>
              <w:rPr>
                <w:rFonts w:ascii="Arial" w:cs="Arial" w:eastAsia="Arial" w:hAnsi="Arial"/>
                <w:b/>
                <w:bCs/>
                <w:color w:val="FFFFFF"/>
                <w:sz w:val="19"/>
                <w:szCs w:val="19"/>
              </w:rPr>
              <w:t xml:space="preserve">Parameter</w:t>
            </w:r>
          </w:p>
        </w:tc>
        <w:tc>
          <w:tcPr>
            <w:tcW w:type="dxa" w:w="3000"/>
            <w:tcBorders>
              <w:top w:val="single" w:color="CBD5E1" w:sz="1"/>
              <w:left w:val="single" w:color="CBD5E1" w:sz="1"/>
              <w:bottom w:val="single" w:color="CBD5E1" w:sz="1"/>
              <w:right w:val="single" w:color="CBD5E1" w:sz="1"/>
            </w:tcBorders>
            <w:shd w:fill="0F172A" w:val="clear"/>
            <w:tcMar>
              <w:top w:type="dxa" w:w="80"/>
              <w:left w:type="dxa" w:w="120"/>
              <w:bottom w:type="dxa" w:w="80"/>
              <w:right w:type="dxa" w:w="120"/>
            </w:tcMar>
            <w:vAlign w:val="center"/>
          </w:tcPr>
          <w:p>
            <w:pPr>
              <w:jc w:val="left"/>
            </w:pPr>
            <w:r>
              <w:rPr>
                <w:rFonts w:ascii="Arial" w:cs="Arial" w:eastAsia="Arial" w:hAnsi="Arial"/>
                <w:b/>
                <w:bCs/>
                <w:color w:val="FFFFFF"/>
                <w:sz w:val="19"/>
                <w:szCs w:val="19"/>
              </w:rPr>
              <w:t xml:space="preserve">Default Value</w:t>
            </w:r>
          </w:p>
        </w:tc>
        <w:tc>
          <w:tcPr>
            <w:tcW w:type="dxa" w:w="3360"/>
            <w:tcBorders>
              <w:top w:val="single" w:color="CBD5E1" w:sz="1"/>
              <w:left w:val="single" w:color="CBD5E1" w:sz="1"/>
              <w:bottom w:val="single" w:color="CBD5E1" w:sz="1"/>
              <w:right w:val="single" w:color="CBD5E1" w:sz="1"/>
            </w:tcBorders>
            <w:shd w:fill="0F172A" w:val="clear"/>
            <w:tcMar>
              <w:top w:type="dxa" w:w="80"/>
              <w:left w:type="dxa" w:w="120"/>
              <w:bottom w:type="dxa" w:w="80"/>
              <w:right w:type="dxa" w:w="120"/>
            </w:tcMar>
            <w:vAlign w:val="center"/>
          </w:tcPr>
          <w:p>
            <w:pPr>
              <w:jc w:val="left"/>
            </w:pPr>
            <w:r>
              <w:rPr>
                <w:rFonts w:ascii="Arial" w:cs="Arial" w:eastAsia="Arial" w:hAnsi="Arial"/>
                <w:b/>
                <w:bCs/>
                <w:color w:val="FFFFFF"/>
                <w:sz w:val="19"/>
                <w:szCs w:val="19"/>
              </w:rPr>
              <w:t xml:space="preserve">What It Controls</w:t>
            </w:r>
          </w:p>
        </w:tc>
      </w:tr>
      <w:tr>
        <w:tc>
          <w:tcPr>
            <w:tcW w:type="dxa" w:w="30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left"/>
            </w:pPr>
            <w:r>
              <w:rPr>
                <w:rFonts w:ascii="Arial" w:cs="Arial" w:eastAsia="Arial" w:hAnsi="Arial"/>
                <w:b/>
                <w:bCs/>
                <w:i w:val="false"/>
                <w:iCs w:val="false"/>
                <w:color w:val="334155"/>
                <w:sz w:val="19"/>
                <w:szCs w:val="19"/>
              </w:rPr>
              <w:t xml:space="preserve">Iterations</w:t>
            </w:r>
          </w:p>
        </w:tc>
        <w:tc>
          <w:tcPr>
            <w:tcW w:type="dxa" w:w="30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334155"/>
                <w:sz w:val="19"/>
                <w:szCs w:val="19"/>
              </w:rPr>
              <w:t xml:space="preserve">10,000 (up to 50,000)</w:t>
            </w:r>
          </w:p>
        </w:tc>
        <w:tc>
          <w:tcPr>
            <w:tcW w:type="dxa" w:w="33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334155"/>
                <w:sz w:val="19"/>
                <w:szCs w:val="19"/>
              </w:rPr>
              <w:t xml:space="preserve">Number of simulated scenarios</w:t>
            </w:r>
          </w:p>
        </w:tc>
      </w:tr>
      <w:tr>
        <w:tc>
          <w:tcPr>
            <w:tcW w:type="dxa" w:w="30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left"/>
            </w:pPr>
            <w:r>
              <w:rPr>
                <w:rFonts w:ascii="Arial" w:cs="Arial" w:eastAsia="Arial" w:hAnsi="Arial"/>
                <w:b/>
                <w:bCs/>
                <w:i w:val="false"/>
                <w:iCs w:val="false"/>
                <w:color w:val="334155"/>
                <w:sz w:val="19"/>
                <w:szCs w:val="19"/>
              </w:rPr>
              <w:t xml:space="preserve">Attenuation Factor</w:t>
            </w:r>
          </w:p>
        </w:tc>
        <w:tc>
          <w:tcPr>
            <w:tcW w:type="dxa" w:w="30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334155"/>
                <w:sz w:val="19"/>
                <w:szCs w:val="19"/>
              </w:rPr>
              <w:t xml:space="preserve">0.5 (calibratable)</w:t>
            </w:r>
          </w:p>
        </w:tc>
        <w:tc>
          <w:tcPr>
            <w:tcW w:type="dxa" w:w="33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334155"/>
                <w:sz w:val="19"/>
                <w:szCs w:val="19"/>
              </w:rPr>
              <w:t xml:space="preserve">Dampens raw scores to realistic shift magnitudes</w:t>
            </w:r>
          </w:p>
        </w:tc>
      </w:tr>
      <w:tr>
        <w:tc>
          <w:tcPr>
            <w:tcW w:type="dxa" w:w="30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left"/>
            </w:pPr>
            <w:r>
              <w:rPr>
                <w:rFonts w:ascii="Arial" w:cs="Arial" w:eastAsia="Arial" w:hAnsi="Arial"/>
                <w:b/>
                <w:bCs/>
                <w:i w:val="false"/>
                <w:iCs w:val="false"/>
                <w:color w:val="334155"/>
                <w:sz w:val="19"/>
                <w:szCs w:val="19"/>
              </w:rPr>
              <w:t xml:space="preserve">Within-Force Correlation</w:t>
            </w:r>
          </w:p>
        </w:tc>
        <w:tc>
          <w:tcPr>
            <w:tcW w:type="dxa" w:w="30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334155"/>
                <w:sz w:val="19"/>
                <w:szCs w:val="19"/>
              </w:rPr>
              <w:t xml:space="preserve">0.3</w:t>
            </w:r>
          </w:p>
        </w:tc>
        <w:tc>
          <w:tcPr>
            <w:tcW w:type="dxa" w:w="33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334155"/>
                <w:sz w:val="19"/>
                <w:szCs w:val="19"/>
              </w:rPr>
              <w:t xml:space="preserve">How much trends within a force move together</w:t>
            </w:r>
          </w:p>
        </w:tc>
      </w:tr>
      <w:tr>
        <w:tc>
          <w:tcPr>
            <w:tcW w:type="dxa" w:w="30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left"/>
            </w:pPr>
            <w:r>
              <w:rPr>
                <w:rFonts w:ascii="Arial" w:cs="Arial" w:eastAsia="Arial" w:hAnsi="Arial"/>
                <w:b/>
                <w:bCs/>
                <w:i w:val="false"/>
                <w:iCs w:val="false"/>
                <w:color w:val="334155"/>
                <w:sz w:val="19"/>
                <w:szCs w:val="19"/>
              </w:rPr>
              <w:t xml:space="preserve">Tail Dependence (t-copula df)</w:t>
            </w:r>
          </w:p>
        </w:tc>
        <w:tc>
          <w:tcPr>
            <w:tcW w:type="dxa" w:w="30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334155"/>
                <w:sz w:val="19"/>
                <w:szCs w:val="19"/>
              </w:rPr>
              <w:t xml:space="preserve">4 (heavy tails)</w:t>
            </w:r>
          </w:p>
        </w:tc>
        <w:tc>
          <w:tcPr>
            <w:tcW w:type="dxa" w:w="33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334155"/>
                <w:sz w:val="19"/>
                <w:szCs w:val="19"/>
              </w:rPr>
              <w:t xml:space="preserve">How much correlation increases in crisis scenarios</w:t>
            </w:r>
          </w:p>
        </w:tc>
      </w:tr>
    </w:tbl>
    <w:p>
      <w:r>
        <w:br w:type="page"/>
      </w:r>
    </w:p>
    <w:p>
      <w:pPr>
        <w:pStyle w:val="Heading2"/>
      </w:pPr>
      <w:r>
        <w:rPr>
          <w:rFonts w:ascii="Arial" w:cs="Arial" w:eastAsia="Arial" w:hAnsi="Arial"/>
        </w:rPr>
        <w:t xml:space="preserve">3.4 Stage 4: Causal Propagation — The Force DAG</w:t>
      </w:r>
    </w:p>
    <w:p>
      <w:pPr>
        <w:spacing w:after="120" w:line="276"/>
      </w:pPr>
      <w:r>
        <w:rPr>
          <w:rFonts w:ascii="Arial" w:cs="Arial" w:eastAsia="Arial" w:hAnsi="Arial"/>
          <w:color w:val="334155"/>
          <w:sz w:val="21"/>
          <w:szCs w:val="21"/>
        </w:rPr>
        <w:t xml:space="preserve">This is what distinguishes PRISM from a standard Monte Carlo model. The six strategic forces are not independent channels — they influence each other through directed causal paths.</w:t>
      </w:r>
    </w:p>
    <w:p>
      <w:pPr>
        <w:spacing w:after="120" w:before="240"/>
      </w:pPr>
      <w:r>
        <w:rPr>
          <w:rFonts w:ascii="Arial" w:cs="Arial" w:eastAsia="Arial" w:hAnsi="Arial"/>
          <w:b/>
          <w:bCs/>
          <w:color w:val="0F172A"/>
          <w:sz w:val="24"/>
          <w:szCs w:val="24"/>
        </w:rPr>
        <w:t xml:space="preserve">The Causal Chain</w:t>
      </w:r>
    </w:p>
    <w:p>
      <w:pPr>
        <w:spacing w:after="120" w:line="276"/>
      </w:pPr>
      <w:r>
        <w:rPr>
          <w:rFonts w:ascii="Arial" w:cs="Arial" w:eastAsia="Arial" w:hAnsi="Arial"/>
          <w:color w:val="334155"/>
          <w:sz w:val="21"/>
          <w:szCs w:val="21"/>
        </w:rPr>
        <w:t xml:space="preserve">Consider a concrete example: the EU introduces stricter PFAS regulation (Government force). This event does not stay isolated:</w:t>
      </w:r>
    </w:p>
    <w:p>
      <w:pPr>
        <w:pStyle w:val="ListParagraph"/>
        <w:numPr>
          <w:ilvl w:val="0"/>
          <w:numId w:val="3"/>
        </w:numPr>
        <w:spacing w:after="60" w:line="276"/>
      </w:pPr>
      <w:r>
        <w:rPr>
          <w:rFonts w:ascii="Arial" w:cs="Arial" w:eastAsia="Arial" w:hAnsi="Arial"/>
          <w:b/>
          <w:bCs/>
          <w:color w:val="334155"/>
          <w:sz w:val="21"/>
          <w:szCs w:val="21"/>
        </w:rPr>
        <w:t xml:space="preserve">Government → Technology: </w:t>
      </w:r>
      <w:r>
        <w:rPr>
          <w:rFonts w:ascii="Arial" w:cs="Arial" w:eastAsia="Arial" w:hAnsi="Arial"/>
          <w:color w:val="334155"/>
          <w:sz w:val="21"/>
          <w:szCs w:val="21"/>
        </w:rPr>
        <w:t xml:space="preserve">Regulation triggers reformulation R&amp;D spending (weight: 0.6, lag: 1 year)</w:t>
      </w:r>
    </w:p>
    <w:p>
      <w:pPr>
        <w:pStyle w:val="ListParagraph"/>
        <w:numPr>
          <w:ilvl w:val="0"/>
          <w:numId w:val="3"/>
        </w:numPr>
        <w:spacing w:after="60" w:line="276"/>
      </w:pPr>
      <w:r>
        <w:rPr>
          <w:rFonts w:ascii="Arial" w:cs="Arial" w:eastAsia="Arial" w:hAnsi="Arial"/>
          <w:b/>
          <w:bCs/>
          <w:color w:val="334155"/>
          <w:sz w:val="21"/>
          <w:szCs w:val="21"/>
        </w:rPr>
        <w:t xml:space="preserve">Government → Customer: </w:t>
      </w:r>
      <w:r>
        <w:rPr>
          <w:rFonts w:ascii="Arial" w:cs="Arial" w:eastAsia="Arial" w:hAnsi="Arial"/>
          <w:color w:val="334155"/>
          <w:sz w:val="21"/>
          <w:szCs w:val="21"/>
        </w:rPr>
        <w:t xml:space="preserve">Compliance costs pass through to shelf prices (weight: 0.4, lag: 1 year)</w:t>
      </w:r>
    </w:p>
    <w:p>
      <w:pPr>
        <w:pStyle w:val="ListParagraph"/>
        <w:numPr>
          <w:ilvl w:val="0"/>
          <w:numId w:val="3"/>
        </w:numPr>
        <w:spacing w:after="60" w:line="276"/>
      </w:pPr>
      <w:r>
        <w:rPr>
          <w:rFonts w:ascii="Arial" w:cs="Arial" w:eastAsia="Arial" w:hAnsi="Arial"/>
          <w:b/>
          <w:bCs/>
          <w:color w:val="334155"/>
          <w:sz w:val="21"/>
          <w:szCs w:val="21"/>
        </w:rPr>
        <w:t xml:space="preserve">Technology → Consumer: </w:t>
      </w:r>
      <w:r>
        <w:rPr>
          <w:rFonts w:ascii="Arial" w:cs="Arial" w:eastAsia="Arial" w:hAnsi="Arial"/>
          <w:color w:val="334155"/>
          <w:sz w:val="21"/>
          <w:szCs w:val="21"/>
        </w:rPr>
        <w:t xml:space="preserve">New formulations enable new consumer behaviors (weight: 0.4, lag: 1 year)</w:t>
      </w:r>
    </w:p>
    <w:p>
      <w:pPr>
        <w:pStyle w:val="ListParagraph"/>
        <w:numPr>
          <w:ilvl w:val="0"/>
          <w:numId w:val="3"/>
        </w:numPr>
        <w:spacing w:after="120" w:line="276"/>
      </w:pPr>
      <w:r>
        <w:rPr>
          <w:rFonts w:ascii="Arial" w:cs="Arial" w:eastAsia="Arial" w:hAnsi="Arial"/>
          <w:b/>
          <w:bCs/>
          <w:color w:val="334155"/>
          <w:sz w:val="21"/>
          <w:szCs w:val="21"/>
        </w:rPr>
        <w:t xml:space="preserve">Customer → Competitive: </w:t>
      </w:r>
      <w:r>
        <w:rPr>
          <w:rFonts w:ascii="Arial" w:cs="Arial" w:eastAsia="Arial" w:hAnsi="Arial"/>
          <w:color w:val="334155"/>
          <w:sz w:val="21"/>
          <w:szCs w:val="21"/>
        </w:rPr>
        <w:t xml:space="preserve">Channel power shifts competitive dynamics (weight: 0.5, lag: 0)</w:t>
      </w:r>
    </w:p>
    <w:p>
      <w:pPr>
        <w:spacing w:after="120" w:line="276"/>
      </w:pPr>
      <w:r>
        <w:rPr>
          <w:rFonts w:ascii="Arial" w:cs="Arial" w:eastAsia="Arial" w:hAnsi="Arial"/>
          <w:color w:val="334155"/>
          <w:sz w:val="21"/>
          <w:szCs w:val="21"/>
        </w:rPr>
        <w:t xml:space="preserve">PRISM models 17 such directed causal edges between the 6 forces. Each edge has a propagation weight (how strongly the shock transmits) and a lag (how many years until the effect is felt). This means a regulatory shock in 2026 produces a fundamentally different pattern than a technology shock — each has its own “propagation signature.”</w:t>
      </w:r>
    </w:p>
    <w:p>
      <w:pPr>
        <w:spacing w:after="0" w:before="120"/>
      </w:pPr>
    </w:p>
    <w:p>
      <w:pPr>
        <w:spacing w:after="120"/>
      </w:pPr>
      <w:r>
        <w:rPr>
          <w:rFonts w:ascii="Arial" w:cs="Arial" w:eastAsia="Arial" w:hAnsi="Arial"/>
          <w:b/>
          <w:bCs/>
          <w:color w:val="0F172A"/>
          <w:sz w:val="22"/>
          <w:szCs w:val="22"/>
        </w:rPr>
        <w:t xml:space="preserve">Causal Force Network (Directed Acyclic Graph)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3B82F6" w:sz="1"/>
              <w:left w:val="single" w:color="3B82F6" w:sz="1"/>
              <w:bottom w:val="single" w:color="3B82F6" w:sz="1"/>
              <w:right w:val="single" w:color="3B82F6" w:sz="1"/>
            </w:tcBorders>
            <w:shd w:fill="3B82F6" w:val="clear"/>
            <w:tcMar>
              <w:top w:type="dxa" w:w="100"/>
              <w:left w:type="dxa" w:w="80"/>
              <w:bottom w:type="dxa" w:w="100"/>
              <w:right w:type="dxa" w:w="80"/>
            </w:tcMar>
            <w:vAlign w:val="center"/>
          </w:tcPr>
          <w:p>
            <w:pPr>
              <w:jc w:val="center"/>
            </w:pPr>
            <w:r>
              <w:rPr>
                <w:rFonts w:ascii="Arial" w:cs="Arial" w:eastAsia="Arial" w:hAnsi="Arial"/>
                <w:b/>
                <w:bCs/>
                <w:color w:val="FFFFFF"/>
                <w:sz w:val="18"/>
                <w:szCs w:val="18"/>
              </w:rPr>
              <w:t xml:space="preserve">CONSUMER</w:t>
            </w:r>
          </w:p>
        </w:tc>
        <w:tc>
          <w:tcPr>
            <w:tcW w:type="dxa" w:w="1560"/>
            <w:tcBorders>
              <w:top w:val="single" w:color="8B5CF6" w:sz="1"/>
              <w:left w:val="single" w:color="8B5CF6" w:sz="1"/>
              <w:bottom w:val="single" w:color="8B5CF6" w:sz="1"/>
              <w:right w:val="single" w:color="8B5CF6" w:sz="1"/>
            </w:tcBorders>
            <w:shd w:fill="8B5CF6" w:val="clear"/>
            <w:tcMar>
              <w:top w:type="dxa" w:w="100"/>
              <w:left w:type="dxa" w:w="80"/>
              <w:bottom w:type="dxa" w:w="100"/>
              <w:right w:type="dxa" w:w="80"/>
            </w:tcMar>
            <w:vAlign w:val="center"/>
          </w:tcPr>
          <w:p>
            <w:pPr>
              <w:jc w:val="center"/>
            </w:pPr>
            <w:r>
              <w:rPr>
                <w:rFonts w:ascii="Arial" w:cs="Arial" w:eastAsia="Arial" w:hAnsi="Arial"/>
                <w:b/>
                <w:bCs/>
                <w:color w:val="FFFFFF"/>
                <w:sz w:val="18"/>
                <w:szCs w:val="18"/>
              </w:rPr>
              <w:t xml:space="preserve">CUSTOMER</w:t>
            </w:r>
          </w:p>
        </w:tc>
        <w:tc>
          <w:tcPr>
            <w:tcW w:type="dxa" w:w="1560"/>
            <w:tcBorders>
              <w:top w:val="single" w:color="0891B2" w:sz="1"/>
              <w:left w:val="single" w:color="0891B2" w:sz="1"/>
              <w:bottom w:val="single" w:color="0891B2" w:sz="1"/>
              <w:right w:val="single" w:color="0891B2" w:sz="1"/>
            </w:tcBorders>
            <w:shd w:fill="0891B2" w:val="clear"/>
            <w:tcMar>
              <w:top w:type="dxa" w:w="100"/>
              <w:left w:type="dxa" w:w="80"/>
              <w:bottom w:type="dxa" w:w="100"/>
              <w:right w:type="dxa" w:w="80"/>
            </w:tcMar>
            <w:vAlign w:val="center"/>
          </w:tcPr>
          <w:p>
            <w:pPr>
              <w:jc w:val="center"/>
            </w:pPr>
            <w:r>
              <w:rPr>
                <w:rFonts w:ascii="Arial" w:cs="Arial" w:eastAsia="Arial" w:hAnsi="Arial"/>
                <w:b/>
                <w:bCs/>
                <w:color w:val="FFFFFF"/>
                <w:sz w:val="18"/>
                <w:szCs w:val="18"/>
              </w:rPr>
              <w:t xml:space="preserve">TECHNOLOGY</w:t>
            </w:r>
          </w:p>
        </w:tc>
        <w:tc>
          <w:tcPr>
            <w:tcW w:type="dxa" w:w="1560"/>
            <w:tcBorders>
              <w:top w:val="single" w:color="D97706" w:sz="1"/>
              <w:left w:val="single" w:color="D97706" w:sz="1"/>
              <w:bottom w:val="single" w:color="D97706" w:sz="1"/>
              <w:right w:val="single" w:color="D97706" w:sz="1"/>
            </w:tcBorders>
            <w:shd w:fill="D97706" w:val="clear"/>
            <w:tcMar>
              <w:top w:type="dxa" w:w="100"/>
              <w:left w:type="dxa" w:w="80"/>
              <w:bottom w:type="dxa" w:w="100"/>
              <w:right w:type="dxa" w:w="80"/>
            </w:tcMar>
            <w:vAlign w:val="center"/>
          </w:tcPr>
          <w:p>
            <w:pPr>
              <w:jc w:val="center"/>
            </w:pPr>
            <w:r>
              <w:rPr>
                <w:rFonts w:ascii="Arial" w:cs="Arial" w:eastAsia="Arial" w:hAnsi="Arial"/>
                <w:b/>
                <w:bCs/>
                <w:color w:val="FFFFFF"/>
                <w:sz w:val="18"/>
                <w:szCs w:val="18"/>
              </w:rPr>
              <w:t xml:space="preserve">GOVERNMENT</w:t>
            </w:r>
          </w:p>
        </w:tc>
        <w:tc>
          <w:tcPr>
            <w:tcW w:type="dxa" w:w="1560"/>
            <w:tcBorders>
              <w:top w:val="single" w:color="16A34A" w:sz="1"/>
              <w:left w:val="single" w:color="16A34A" w:sz="1"/>
              <w:bottom w:val="single" w:color="16A34A" w:sz="1"/>
              <w:right w:val="single" w:color="16A34A" w:sz="1"/>
            </w:tcBorders>
            <w:shd w:fill="16A34A" w:val="clear"/>
            <w:tcMar>
              <w:top w:type="dxa" w:w="100"/>
              <w:left w:type="dxa" w:w="80"/>
              <w:bottom w:type="dxa" w:w="100"/>
              <w:right w:type="dxa" w:w="80"/>
            </w:tcMar>
            <w:vAlign w:val="center"/>
          </w:tcPr>
          <w:p>
            <w:pPr>
              <w:jc w:val="center"/>
            </w:pPr>
            <w:r>
              <w:rPr>
                <w:rFonts w:ascii="Arial" w:cs="Arial" w:eastAsia="Arial" w:hAnsi="Arial"/>
                <w:b/>
                <w:bCs/>
                <w:color w:val="FFFFFF"/>
                <w:sz w:val="18"/>
                <w:szCs w:val="18"/>
              </w:rPr>
              <w:t xml:space="preserve">ENVIRON.</w:t>
            </w:r>
          </w:p>
        </w:tc>
        <w:tc>
          <w:tcPr>
            <w:tcW w:type="dxa" w:w="1560"/>
            <w:tcBorders>
              <w:top w:val="single" w:color="EF4444" w:sz="1"/>
              <w:left w:val="single" w:color="EF4444" w:sz="1"/>
              <w:bottom w:val="single" w:color="EF4444" w:sz="1"/>
              <w:right w:val="single" w:color="EF4444" w:sz="1"/>
            </w:tcBorders>
            <w:shd w:fill="EF4444" w:val="clear"/>
            <w:tcMar>
              <w:top w:type="dxa" w:w="100"/>
              <w:left w:type="dxa" w:w="80"/>
              <w:bottom w:type="dxa" w:w="100"/>
              <w:right w:type="dxa" w:w="80"/>
            </w:tcMar>
            <w:vAlign w:val="center"/>
          </w:tcPr>
          <w:p>
            <w:pPr>
              <w:jc w:val="center"/>
            </w:pPr>
            <w:r>
              <w:rPr>
                <w:rFonts w:ascii="Arial" w:cs="Arial" w:eastAsia="Arial" w:hAnsi="Arial"/>
                <w:b/>
                <w:bCs/>
                <w:color w:val="FFFFFF"/>
                <w:sz w:val="18"/>
                <w:szCs w:val="18"/>
              </w:rPr>
              <w:t xml:space="preserve">COMPETITIVE</w:t>
            </w:r>
          </w:p>
        </w:tc>
      </w:tr>
    </w:tbl>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200"/>
        <w:gridCol w:w="2800"/>
        <w:gridCol w:w="1200"/>
        <w:gridCol w:w="1360"/>
      </w:tblGrid>
      <w:tr>
        <w:tc>
          <w:tcPr>
            <w:tcW w:type="dxa" w:w="2800"/>
            <w:tcBorders>
              <w:top w:val="single" w:color="CBD5E1" w:sz="1"/>
              <w:left w:val="single" w:color="CBD5E1" w:sz="1"/>
              <w:bottom w:val="single" w:color="CBD5E1" w:sz="1"/>
              <w:right w:val="single" w:color="CBD5E1" w:sz="1"/>
            </w:tcBorders>
            <w:shd w:fill="0F172A" w:val="clear"/>
            <w:tcMar>
              <w:top w:type="dxa" w:w="80"/>
              <w:left w:type="dxa" w:w="120"/>
              <w:bottom w:type="dxa" w:w="80"/>
              <w:right w:type="dxa" w:w="120"/>
            </w:tcMar>
            <w:vAlign w:val="center"/>
          </w:tcPr>
          <w:p>
            <w:pPr>
              <w:jc w:val="left"/>
            </w:pPr>
            <w:r>
              <w:rPr>
                <w:rFonts w:ascii="Arial" w:cs="Arial" w:eastAsia="Arial" w:hAnsi="Arial"/>
                <w:b/>
                <w:bCs/>
                <w:color w:val="FFFFFF"/>
                <w:sz w:val="19"/>
                <w:szCs w:val="19"/>
              </w:rPr>
              <w:t xml:space="preserve">Causal Path</w:t>
            </w:r>
          </w:p>
        </w:tc>
        <w:tc>
          <w:tcPr>
            <w:tcW w:type="dxa" w:w="1200"/>
            <w:tcBorders>
              <w:top w:val="single" w:color="CBD5E1" w:sz="1"/>
              <w:left w:val="single" w:color="CBD5E1" w:sz="1"/>
              <w:bottom w:val="single" w:color="CBD5E1" w:sz="1"/>
              <w:right w:val="single" w:color="CBD5E1" w:sz="1"/>
            </w:tcBorders>
            <w:shd w:fill="0F172A" w:val="clear"/>
            <w:tcMar>
              <w:top w:type="dxa" w:w="80"/>
              <w:left w:type="dxa" w:w="120"/>
              <w:bottom w:type="dxa" w:w="80"/>
              <w:right w:type="dxa" w:w="120"/>
            </w:tcMar>
            <w:vAlign w:val="center"/>
          </w:tcPr>
          <w:p>
            <w:pPr>
              <w:jc w:val="left"/>
            </w:pPr>
            <w:r>
              <w:rPr>
                <w:rFonts w:ascii="Arial" w:cs="Arial" w:eastAsia="Arial" w:hAnsi="Arial"/>
                <w:b/>
                <w:bCs/>
                <w:color w:val="FFFFFF"/>
                <w:sz w:val="19"/>
                <w:szCs w:val="19"/>
              </w:rPr>
              <w:t xml:space="preserve">Weight</w:t>
            </w:r>
          </w:p>
        </w:tc>
        <w:tc>
          <w:tcPr>
            <w:tcW w:type="dxa" w:w="2800"/>
            <w:tcBorders>
              <w:top w:val="single" w:color="CBD5E1" w:sz="1"/>
              <w:left w:val="single" w:color="CBD5E1" w:sz="1"/>
              <w:bottom w:val="single" w:color="CBD5E1" w:sz="1"/>
              <w:right w:val="single" w:color="CBD5E1" w:sz="1"/>
            </w:tcBorders>
            <w:shd w:fill="0F172A" w:val="clear"/>
            <w:tcMar>
              <w:top w:type="dxa" w:w="80"/>
              <w:left w:type="dxa" w:w="120"/>
              <w:bottom w:type="dxa" w:w="80"/>
              <w:right w:type="dxa" w:w="120"/>
            </w:tcMar>
            <w:vAlign w:val="center"/>
          </w:tcPr>
          <w:p>
            <w:pPr>
              <w:jc w:val="left"/>
            </w:pPr>
            <w:r>
              <w:rPr>
                <w:rFonts w:ascii="Arial" w:cs="Arial" w:eastAsia="Arial" w:hAnsi="Arial"/>
                <w:b/>
                <w:bCs/>
                <w:color w:val="FFFFFF"/>
                <w:sz w:val="19"/>
                <w:szCs w:val="19"/>
              </w:rPr>
              <w:t xml:space="preserve">Mechanism</w:t>
            </w:r>
          </w:p>
        </w:tc>
        <w:tc>
          <w:tcPr>
            <w:tcW w:type="dxa" w:w="1200"/>
            <w:tcBorders>
              <w:top w:val="single" w:color="CBD5E1" w:sz="1"/>
              <w:left w:val="single" w:color="CBD5E1" w:sz="1"/>
              <w:bottom w:val="single" w:color="CBD5E1" w:sz="1"/>
              <w:right w:val="single" w:color="CBD5E1" w:sz="1"/>
            </w:tcBorders>
            <w:shd w:fill="0F172A" w:val="clear"/>
            <w:tcMar>
              <w:top w:type="dxa" w:w="80"/>
              <w:left w:type="dxa" w:w="120"/>
              <w:bottom w:type="dxa" w:w="80"/>
              <w:right w:type="dxa" w:w="120"/>
            </w:tcMar>
            <w:vAlign w:val="center"/>
          </w:tcPr>
          <w:p>
            <w:pPr>
              <w:jc w:val="left"/>
            </w:pPr>
            <w:r>
              <w:rPr>
                <w:rFonts w:ascii="Arial" w:cs="Arial" w:eastAsia="Arial" w:hAnsi="Arial"/>
                <w:b/>
                <w:bCs/>
                <w:color w:val="FFFFFF"/>
                <w:sz w:val="19"/>
                <w:szCs w:val="19"/>
              </w:rPr>
              <w:t xml:space="preserve">Lag</w:t>
            </w:r>
          </w:p>
        </w:tc>
        <w:tc>
          <w:tcPr>
            <w:tcW w:type="dxa" w:w="1360"/>
            <w:tcBorders>
              <w:top w:val="single" w:color="CBD5E1" w:sz="1"/>
              <w:left w:val="single" w:color="CBD5E1" w:sz="1"/>
              <w:bottom w:val="single" w:color="CBD5E1" w:sz="1"/>
              <w:right w:val="single" w:color="CBD5E1" w:sz="1"/>
            </w:tcBorders>
            <w:shd w:fill="0F172A" w:val="clear"/>
            <w:tcMar>
              <w:top w:type="dxa" w:w="80"/>
              <w:left w:type="dxa" w:w="120"/>
              <w:bottom w:type="dxa" w:w="80"/>
              <w:right w:type="dxa" w:w="120"/>
            </w:tcMar>
            <w:vAlign w:val="center"/>
          </w:tcPr>
          <w:p>
            <w:pPr>
              <w:jc w:val="left"/>
            </w:pPr>
            <w:r>
              <w:rPr>
                <w:rFonts w:ascii="Arial" w:cs="Arial" w:eastAsia="Arial" w:hAnsi="Arial"/>
                <w:b/>
                <w:bCs/>
                <w:color w:val="FFFFFF"/>
                <w:sz w:val="19"/>
                <w:szCs w:val="19"/>
              </w:rPr>
              <w:t xml:space="preserve">Evidence</w:t>
            </w:r>
          </w:p>
        </w:tc>
      </w:tr>
      <w:tr>
        <w:tc>
          <w:tcPr>
            <w:tcW w:type="dxa" w:w="28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left"/>
            </w:pPr>
            <w:r>
              <w:rPr>
                <w:rFonts w:ascii="Arial" w:cs="Arial" w:eastAsia="Arial" w:hAnsi="Arial"/>
                <w:b/>
                <w:bCs/>
                <w:i w:val="false"/>
                <w:iCs w:val="false"/>
                <w:color w:val="334155"/>
                <w:sz w:val="19"/>
                <w:szCs w:val="19"/>
              </w:rPr>
              <w:t xml:space="preserve">Government → Technology</w:t>
            </w:r>
          </w:p>
        </w:tc>
        <w:tc>
          <w:tcPr>
            <w:tcW w:type="dxa" w:w="1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i w:val="false"/>
                <w:iCs w:val="false"/>
                <w:color w:val="334155"/>
                <w:sz w:val="19"/>
                <w:szCs w:val="19"/>
              </w:rPr>
              <w:t xml:space="preserve">0.60</w:t>
            </w:r>
          </w:p>
        </w:tc>
        <w:tc>
          <w:tcPr>
            <w:tcW w:type="dxa" w:w="28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334155"/>
                <w:sz w:val="19"/>
                <w:szCs w:val="19"/>
              </w:rPr>
              <w:t xml:space="preserve">Regulation triggers reformulation R&amp;D</w:t>
            </w:r>
          </w:p>
        </w:tc>
        <w:tc>
          <w:tcPr>
            <w:tcW w:type="dxa" w:w="1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i w:val="false"/>
                <w:iCs w:val="false"/>
                <w:color w:val="334155"/>
                <w:sz w:val="19"/>
                <w:szCs w:val="19"/>
              </w:rPr>
              <w:t xml:space="preserve">1 yr</w:t>
            </w:r>
          </w:p>
        </w:tc>
        <w:tc>
          <w:tcPr>
            <w:tcW w:type="dxa" w:w="13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i w:val="false"/>
                <w:iCs w:val="false"/>
                <w:color w:val="334155"/>
                <w:sz w:val="19"/>
                <w:szCs w:val="19"/>
              </w:rPr>
              <w:t xml:space="preserve">Strong</w:t>
            </w:r>
          </w:p>
        </w:tc>
      </w:tr>
      <w:tr>
        <w:tc>
          <w:tcPr>
            <w:tcW w:type="dxa" w:w="28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left"/>
            </w:pPr>
            <w:r>
              <w:rPr>
                <w:rFonts w:ascii="Arial" w:cs="Arial" w:eastAsia="Arial" w:hAnsi="Arial"/>
                <w:b/>
                <w:bCs/>
                <w:i w:val="false"/>
                <w:iCs w:val="false"/>
                <w:color w:val="334155"/>
                <w:sz w:val="19"/>
                <w:szCs w:val="19"/>
              </w:rPr>
              <w:t xml:space="preserve">Consumer → Customer</w:t>
            </w:r>
          </w:p>
        </w:tc>
        <w:tc>
          <w:tcPr>
            <w:tcW w:type="dxa" w:w="1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i w:val="false"/>
                <w:iCs w:val="false"/>
                <w:color w:val="334155"/>
                <w:sz w:val="19"/>
                <w:szCs w:val="19"/>
              </w:rPr>
              <w:t xml:space="preserve">0.50</w:t>
            </w:r>
          </w:p>
        </w:tc>
        <w:tc>
          <w:tcPr>
            <w:tcW w:type="dxa" w:w="28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334155"/>
                <w:sz w:val="19"/>
                <w:szCs w:val="19"/>
              </w:rPr>
              <w:t xml:space="preserve">Demand shifts force channel adaptation</w:t>
            </w:r>
          </w:p>
        </w:tc>
        <w:tc>
          <w:tcPr>
            <w:tcW w:type="dxa" w:w="1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i w:val="false"/>
                <w:iCs w:val="false"/>
                <w:color w:val="334155"/>
                <w:sz w:val="19"/>
                <w:szCs w:val="19"/>
              </w:rPr>
              <w:t xml:space="preserve">0</w:t>
            </w:r>
          </w:p>
        </w:tc>
        <w:tc>
          <w:tcPr>
            <w:tcW w:type="dxa" w:w="13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i w:val="false"/>
                <w:iCs w:val="false"/>
                <w:color w:val="334155"/>
                <w:sz w:val="19"/>
                <w:szCs w:val="19"/>
              </w:rPr>
              <w:t xml:space="preserve">Strong</w:t>
            </w:r>
          </w:p>
        </w:tc>
      </w:tr>
      <w:tr>
        <w:tc>
          <w:tcPr>
            <w:tcW w:type="dxa" w:w="28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left"/>
            </w:pPr>
            <w:r>
              <w:rPr>
                <w:rFonts w:ascii="Arial" w:cs="Arial" w:eastAsia="Arial" w:hAnsi="Arial"/>
                <w:b/>
                <w:bCs/>
                <w:i w:val="false"/>
                <w:iCs w:val="false"/>
                <w:color w:val="334155"/>
                <w:sz w:val="19"/>
                <w:szCs w:val="19"/>
              </w:rPr>
              <w:t xml:space="preserve">Technology → Competitive</w:t>
            </w:r>
          </w:p>
        </w:tc>
        <w:tc>
          <w:tcPr>
            <w:tcW w:type="dxa" w:w="1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i w:val="false"/>
                <w:iCs w:val="false"/>
                <w:color w:val="334155"/>
                <w:sz w:val="19"/>
                <w:szCs w:val="19"/>
              </w:rPr>
              <w:t xml:space="preserve">0.50</w:t>
            </w:r>
          </w:p>
        </w:tc>
        <w:tc>
          <w:tcPr>
            <w:tcW w:type="dxa" w:w="28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334155"/>
                <w:sz w:val="19"/>
                <w:szCs w:val="19"/>
              </w:rPr>
              <w:t xml:space="preserve">Tech adoption creates competitive gaps</w:t>
            </w:r>
          </w:p>
        </w:tc>
        <w:tc>
          <w:tcPr>
            <w:tcW w:type="dxa" w:w="1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i w:val="false"/>
                <w:iCs w:val="false"/>
                <w:color w:val="334155"/>
                <w:sz w:val="19"/>
                <w:szCs w:val="19"/>
              </w:rPr>
              <w:t xml:space="preserve">1 yr</w:t>
            </w:r>
          </w:p>
        </w:tc>
        <w:tc>
          <w:tcPr>
            <w:tcW w:type="dxa" w:w="13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i w:val="false"/>
                <w:iCs w:val="false"/>
                <w:color w:val="334155"/>
                <w:sz w:val="19"/>
                <w:szCs w:val="19"/>
              </w:rPr>
              <w:t xml:space="preserve">Strong</w:t>
            </w:r>
          </w:p>
        </w:tc>
      </w:tr>
      <w:tr>
        <w:tc>
          <w:tcPr>
            <w:tcW w:type="dxa" w:w="28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left"/>
            </w:pPr>
            <w:r>
              <w:rPr>
                <w:rFonts w:ascii="Arial" w:cs="Arial" w:eastAsia="Arial" w:hAnsi="Arial"/>
                <w:b/>
                <w:bCs/>
                <w:i w:val="false"/>
                <w:iCs w:val="false"/>
                <w:color w:val="334155"/>
                <w:sz w:val="19"/>
                <w:szCs w:val="19"/>
              </w:rPr>
              <w:t xml:space="preserve">Environmental → Government</w:t>
            </w:r>
          </w:p>
        </w:tc>
        <w:tc>
          <w:tcPr>
            <w:tcW w:type="dxa" w:w="1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i w:val="false"/>
                <w:iCs w:val="false"/>
                <w:color w:val="334155"/>
                <w:sz w:val="19"/>
                <w:szCs w:val="19"/>
              </w:rPr>
              <w:t xml:space="preserve">0.60</w:t>
            </w:r>
          </w:p>
        </w:tc>
        <w:tc>
          <w:tcPr>
            <w:tcW w:type="dxa" w:w="28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334155"/>
                <w:sz w:val="19"/>
                <w:szCs w:val="19"/>
              </w:rPr>
              <w:t xml:space="preserve">Climate crises accelerate regulation</w:t>
            </w:r>
          </w:p>
        </w:tc>
        <w:tc>
          <w:tcPr>
            <w:tcW w:type="dxa" w:w="1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i w:val="false"/>
                <w:iCs w:val="false"/>
                <w:color w:val="334155"/>
                <w:sz w:val="19"/>
                <w:szCs w:val="19"/>
              </w:rPr>
              <w:t xml:space="preserve">1 yr</w:t>
            </w:r>
          </w:p>
        </w:tc>
        <w:tc>
          <w:tcPr>
            <w:tcW w:type="dxa" w:w="13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i w:val="false"/>
                <w:iCs w:val="false"/>
                <w:color w:val="334155"/>
                <w:sz w:val="19"/>
                <w:szCs w:val="19"/>
              </w:rPr>
              <w:t xml:space="preserve">Strong</w:t>
            </w:r>
          </w:p>
        </w:tc>
      </w:tr>
      <w:tr>
        <w:tc>
          <w:tcPr>
            <w:tcW w:type="dxa" w:w="28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left"/>
            </w:pPr>
            <w:r>
              <w:rPr>
                <w:rFonts w:ascii="Arial" w:cs="Arial" w:eastAsia="Arial" w:hAnsi="Arial"/>
                <w:b/>
                <w:bCs/>
                <w:i w:val="false"/>
                <w:iCs w:val="false"/>
                <w:color w:val="334155"/>
                <w:sz w:val="19"/>
                <w:szCs w:val="19"/>
              </w:rPr>
              <w:t xml:space="preserve">Customer → Competitive</w:t>
            </w:r>
          </w:p>
        </w:tc>
        <w:tc>
          <w:tcPr>
            <w:tcW w:type="dxa" w:w="1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i w:val="false"/>
                <w:iCs w:val="false"/>
                <w:color w:val="334155"/>
                <w:sz w:val="19"/>
                <w:szCs w:val="19"/>
              </w:rPr>
              <w:t xml:space="preserve">0.50</w:t>
            </w:r>
          </w:p>
        </w:tc>
        <w:tc>
          <w:tcPr>
            <w:tcW w:type="dxa" w:w="28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334155"/>
                <w:sz w:val="19"/>
                <w:szCs w:val="19"/>
              </w:rPr>
              <w:t xml:space="preserve">Channel power shifts competitive dynamics</w:t>
            </w:r>
          </w:p>
        </w:tc>
        <w:tc>
          <w:tcPr>
            <w:tcW w:type="dxa" w:w="1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i w:val="false"/>
                <w:iCs w:val="false"/>
                <w:color w:val="334155"/>
                <w:sz w:val="19"/>
                <w:szCs w:val="19"/>
              </w:rPr>
              <w:t xml:space="preserve">0</w:t>
            </w:r>
          </w:p>
        </w:tc>
        <w:tc>
          <w:tcPr>
            <w:tcW w:type="dxa" w:w="13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i w:val="false"/>
                <w:iCs w:val="false"/>
                <w:color w:val="334155"/>
                <w:sz w:val="19"/>
                <w:szCs w:val="19"/>
              </w:rPr>
              <w:t xml:space="preserve">Moderate</w:t>
            </w:r>
          </w:p>
        </w:tc>
      </w:tr>
      <w:tr>
        <w:tc>
          <w:tcPr>
            <w:tcW w:type="dxa" w:w="28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left"/>
            </w:pPr>
            <w:r>
              <w:rPr>
                <w:rFonts w:ascii="Arial" w:cs="Arial" w:eastAsia="Arial" w:hAnsi="Arial"/>
                <w:b/>
                <w:bCs/>
                <w:i w:val="false"/>
                <w:iCs w:val="false"/>
                <w:color w:val="334155"/>
                <w:sz w:val="19"/>
                <w:szCs w:val="19"/>
              </w:rPr>
              <w:t xml:space="preserve">Consumer → Competitive</w:t>
            </w:r>
          </w:p>
        </w:tc>
        <w:tc>
          <w:tcPr>
            <w:tcW w:type="dxa" w:w="1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i w:val="false"/>
                <w:iCs w:val="false"/>
                <w:color w:val="334155"/>
                <w:sz w:val="19"/>
                <w:szCs w:val="19"/>
              </w:rPr>
              <w:t xml:space="preserve">0.40</w:t>
            </w:r>
          </w:p>
        </w:tc>
        <w:tc>
          <w:tcPr>
            <w:tcW w:type="dxa" w:w="28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334155"/>
                <w:sz w:val="19"/>
                <w:szCs w:val="19"/>
              </w:rPr>
              <w:t xml:space="preserve">Preferences drive competitive positioning</w:t>
            </w:r>
          </w:p>
        </w:tc>
        <w:tc>
          <w:tcPr>
            <w:tcW w:type="dxa" w:w="1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i w:val="false"/>
                <w:iCs w:val="false"/>
                <w:color w:val="334155"/>
                <w:sz w:val="19"/>
                <w:szCs w:val="19"/>
              </w:rPr>
              <w:t xml:space="preserve">1 yr</w:t>
            </w:r>
          </w:p>
        </w:tc>
        <w:tc>
          <w:tcPr>
            <w:tcW w:type="dxa" w:w="13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i w:val="false"/>
                <w:iCs w:val="false"/>
                <w:color w:val="334155"/>
                <w:sz w:val="19"/>
                <w:szCs w:val="19"/>
              </w:rPr>
              <w:t xml:space="preserve">Moderate</w:t>
            </w:r>
          </w:p>
        </w:tc>
      </w:tr>
    </w:tbl>
    <w:p>
      <w:pPr>
        <w:spacing w:after="0" w:before="80"/>
      </w:pPr>
    </w:p>
    <w:p>
      <w:pPr>
        <w:spacing w:after="120" w:line="276"/>
      </w:pPr>
      <w:r>
        <w:rPr>
          <w:rFonts w:ascii="Arial" w:cs="Arial" w:eastAsia="Arial" w:hAnsi="Arial"/>
          <w:i/>
          <w:iCs/>
          <w:color w:val="64748B"/>
          <w:sz w:val="21"/>
          <w:szCs w:val="21"/>
        </w:rPr>
        <w:t xml:space="preserve">Table shows the 6 strongest causal edges of 17 total. Full DAG specification available in the technical appendix.</w:t>
      </w:r>
    </w:p>
    <w:p>
      <w:r>
        <w:br w:type="page"/>
      </w:r>
    </w:p>
    <w:p>
      <w:pPr>
        <w:pStyle w:val="Heading2"/>
      </w:pPr>
      <w:r>
        <w:rPr>
          <w:rFonts w:ascii="Arial" w:cs="Arial" w:eastAsia="Arial" w:hAnsi="Arial"/>
        </w:rPr>
        <w:t xml:space="preserve">3.5 Stage 5: Continuous Path Modeling</w:t>
      </w:r>
    </w:p>
    <w:p>
      <w:pPr>
        <w:spacing w:after="120" w:line="276"/>
      </w:pPr>
      <w:r>
        <w:rPr>
          <w:rFonts w:ascii="Arial" w:cs="Arial" w:eastAsia="Arial" w:hAnsi="Arial"/>
          <w:color w:val="334155"/>
          <w:sz w:val="21"/>
          <w:szCs w:val="21"/>
        </w:rPr>
        <w:t xml:space="preserve">Rather than producing two snapshots (mid-term, long-term), PRISM generates continuous annual paths from 2026 to 2030. Each path follows an S-curve materialization schedule: trends start slowly, accelerate, and eventually reach full effect.</w:t>
      </w:r>
    </w:p>
    <w:p>
      <w:pPr>
        <w:spacing w:after="120" w:line="276"/>
      </w:pPr>
      <w:r>
        <w:rPr>
          <w:rFonts w:ascii="Arial" w:cs="Arial" w:eastAsia="Arial" w:hAnsi="Arial"/>
          <w:color w:val="334155"/>
          <w:sz w:val="21"/>
          <w:szCs w:val="21"/>
        </w:rPr>
        <w:t xml:space="preserve">Different force types follow different curves:</w:t>
      </w:r>
    </w:p>
    <w:p>
      <w:pPr>
        <w:pStyle w:val="ListParagraph"/>
        <w:numPr>
          <w:ilvl w:val="0"/>
          <w:numId w:val="2"/>
        </w:numPr>
        <w:spacing w:after="80" w:line="276"/>
      </w:pPr>
      <w:r>
        <w:rPr>
          <w:rFonts w:ascii="Arial" w:cs="Arial" w:eastAsia="Arial" w:hAnsi="Arial"/>
          <w:b/>
          <w:bCs/>
          <w:color w:val="334155"/>
          <w:sz w:val="21"/>
          <w:szCs w:val="21"/>
        </w:rPr>
        <w:t xml:space="preserve">Government/Regulatory trends </w:t>
      </w:r>
      <w:r>
        <w:rPr>
          <w:rFonts w:ascii="Arial" w:cs="Arial" w:eastAsia="Arial" w:hAnsi="Arial"/>
          <w:color w:val="334155"/>
          <w:sz w:val="21"/>
          <w:szCs w:val="21"/>
        </w:rPr>
        <w:t xml:space="preserve">front-load: they hit as a step function when legislation takes effect</w:t>
      </w:r>
    </w:p>
    <w:p>
      <w:pPr>
        <w:pStyle w:val="ListParagraph"/>
        <w:numPr>
          <w:ilvl w:val="0"/>
          <w:numId w:val="2"/>
        </w:numPr>
        <w:spacing w:after="80" w:line="276"/>
      </w:pPr>
      <w:r>
        <w:rPr>
          <w:rFonts w:ascii="Arial" w:cs="Arial" w:eastAsia="Arial" w:hAnsi="Arial"/>
          <w:b/>
          <w:bCs/>
          <w:color w:val="334155"/>
          <w:sz w:val="21"/>
          <w:szCs w:val="21"/>
        </w:rPr>
        <w:t xml:space="preserve">Technology trends </w:t>
      </w:r>
      <w:r>
        <w:rPr>
          <w:rFonts w:ascii="Arial" w:cs="Arial" w:eastAsia="Arial" w:hAnsi="Arial"/>
          <w:color w:val="334155"/>
          <w:sz w:val="21"/>
          <w:szCs w:val="21"/>
        </w:rPr>
        <w:t xml:space="preserve">back-load: they follow a classic S-curve adoption pattern</w:t>
      </w:r>
    </w:p>
    <w:p>
      <w:pPr>
        <w:pStyle w:val="ListParagraph"/>
        <w:numPr>
          <w:ilvl w:val="0"/>
          <w:numId w:val="2"/>
        </w:numPr>
        <w:spacing w:after="120" w:line="276"/>
      </w:pPr>
      <w:r>
        <w:rPr>
          <w:rFonts w:ascii="Arial" w:cs="Arial" w:eastAsia="Arial" w:hAnsi="Arial"/>
          <w:b/>
          <w:bCs/>
          <w:color w:val="334155"/>
          <w:sz w:val="21"/>
          <w:szCs w:val="21"/>
        </w:rPr>
        <w:t xml:space="preserve">Consumer trends </w:t>
      </w:r>
      <w:r>
        <w:rPr>
          <w:rFonts w:ascii="Arial" w:cs="Arial" w:eastAsia="Arial" w:hAnsi="Arial"/>
          <w:color w:val="334155"/>
          <w:sz w:val="21"/>
          <w:szCs w:val="21"/>
        </w:rPr>
        <w:t xml:space="preserve">follow a gradual linear ramp</w:t>
      </w:r>
    </w:p>
    <w:p>
      <w:pPr>
        <w:spacing w:after="120" w:before="240"/>
      </w:pPr>
      <w:r>
        <w:rPr>
          <w:rFonts w:ascii="Arial" w:cs="Arial" w:eastAsia="Arial" w:hAnsi="Arial"/>
          <w:b/>
          <w:bCs/>
          <w:color w:val="0F172A"/>
          <w:sz w:val="24"/>
          <w:szCs w:val="24"/>
        </w:rPr>
        <w:t xml:space="preserve">Default Materialization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tcBorders>
              <w:top w:val="single" w:color="CBD5E1" w:sz="1"/>
              <w:left w:val="single" w:color="CBD5E1" w:sz="1"/>
              <w:bottom w:val="single" w:color="CBD5E1" w:sz="1"/>
              <w:right w:val="single" w:color="CBD5E1" w:sz="1"/>
            </w:tcBorders>
            <w:shd w:fill="0F172A" w:val="clear"/>
            <w:tcMar>
              <w:top w:type="dxa" w:w="80"/>
              <w:left w:type="dxa" w:w="120"/>
              <w:bottom w:type="dxa" w:w="80"/>
              <w:right w:type="dxa" w:w="120"/>
            </w:tcMar>
            <w:vAlign w:val="center"/>
          </w:tcPr>
          <w:p>
            <w:pPr>
              <w:jc w:val="left"/>
            </w:pPr>
            <w:r>
              <w:rPr>
                <w:rFonts w:ascii="Arial" w:cs="Arial" w:eastAsia="Arial" w:hAnsi="Arial"/>
                <w:b/>
                <w:bCs/>
                <w:color w:val="FFFFFF"/>
                <w:sz w:val="19"/>
                <w:szCs w:val="19"/>
              </w:rPr>
              <w:t xml:space="preserve">2026</w:t>
            </w:r>
          </w:p>
        </w:tc>
        <w:tc>
          <w:tcPr>
            <w:tcW w:type="dxa" w:w="1872"/>
            <w:tcBorders>
              <w:top w:val="single" w:color="CBD5E1" w:sz="1"/>
              <w:left w:val="single" w:color="CBD5E1" w:sz="1"/>
              <w:bottom w:val="single" w:color="CBD5E1" w:sz="1"/>
              <w:right w:val="single" w:color="CBD5E1" w:sz="1"/>
            </w:tcBorders>
            <w:shd w:fill="0F172A" w:val="clear"/>
            <w:tcMar>
              <w:top w:type="dxa" w:w="80"/>
              <w:left w:type="dxa" w:w="120"/>
              <w:bottom w:type="dxa" w:w="80"/>
              <w:right w:type="dxa" w:w="120"/>
            </w:tcMar>
            <w:vAlign w:val="center"/>
          </w:tcPr>
          <w:p>
            <w:pPr>
              <w:jc w:val="left"/>
            </w:pPr>
            <w:r>
              <w:rPr>
                <w:rFonts w:ascii="Arial" w:cs="Arial" w:eastAsia="Arial" w:hAnsi="Arial"/>
                <w:b/>
                <w:bCs/>
                <w:color w:val="FFFFFF"/>
                <w:sz w:val="19"/>
                <w:szCs w:val="19"/>
              </w:rPr>
              <w:t xml:space="preserve">2027</w:t>
            </w:r>
          </w:p>
        </w:tc>
        <w:tc>
          <w:tcPr>
            <w:tcW w:type="dxa" w:w="1872"/>
            <w:tcBorders>
              <w:top w:val="single" w:color="CBD5E1" w:sz="1"/>
              <w:left w:val="single" w:color="CBD5E1" w:sz="1"/>
              <w:bottom w:val="single" w:color="CBD5E1" w:sz="1"/>
              <w:right w:val="single" w:color="CBD5E1" w:sz="1"/>
            </w:tcBorders>
            <w:shd w:fill="0F172A" w:val="clear"/>
            <w:tcMar>
              <w:top w:type="dxa" w:w="80"/>
              <w:left w:type="dxa" w:w="120"/>
              <w:bottom w:type="dxa" w:w="80"/>
              <w:right w:type="dxa" w:w="120"/>
            </w:tcMar>
            <w:vAlign w:val="center"/>
          </w:tcPr>
          <w:p>
            <w:pPr>
              <w:jc w:val="left"/>
            </w:pPr>
            <w:r>
              <w:rPr>
                <w:rFonts w:ascii="Arial" w:cs="Arial" w:eastAsia="Arial" w:hAnsi="Arial"/>
                <w:b/>
                <w:bCs/>
                <w:color w:val="FFFFFF"/>
                <w:sz w:val="19"/>
                <w:szCs w:val="19"/>
              </w:rPr>
              <w:t xml:space="preserve">2028</w:t>
            </w:r>
          </w:p>
        </w:tc>
        <w:tc>
          <w:tcPr>
            <w:tcW w:type="dxa" w:w="1872"/>
            <w:tcBorders>
              <w:top w:val="single" w:color="CBD5E1" w:sz="1"/>
              <w:left w:val="single" w:color="CBD5E1" w:sz="1"/>
              <w:bottom w:val="single" w:color="CBD5E1" w:sz="1"/>
              <w:right w:val="single" w:color="CBD5E1" w:sz="1"/>
            </w:tcBorders>
            <w:shd w:fill="0F172A" w:val="clear"/>
            <w:tcMar>
              <w:top w:type="dxa" w:w="80"/>
              <w:left w:type="dxa" w:w="120"/>
              <w:bottom w:type="dxa" w:w="80"/>
              <w:right w:type="dxa" w:w="120"/>
            </w:tcMar>
            <w:vAlign w:val="center"/>
          </w:tcPr>
          <w:p>
            <w:pPr>
              <w:jc w:val="left"/>
            </w:pPr>
            <w:r>
              <w:rPr>
                <w:rFonts w:ascii="Arial" w:cs="Arial" w:eastAsia="Arial" w:hAnsi="Arial"/>
                <w:b/>
                <w:bCs/>
                <w:color w:val="FFFFFF"/>
                <w:sz w:val="19"/>
                <w:szCs w:val="19"/>
              </w:rPr>
              <w:t xml:space="preserve">2029</w:t>
            </w:r>
          </w:p>
        </w:tc>
        <w:tc>
          <w:tcPr>
            <w:tcW w:type="dxa" w:w="1872"/>
            <w:tcBorders>
              <w:top w:val="single" w:color="CBD5E1" w:sz="1"/>
              <w:left w:val="single" w:color="CBD5E1" w:sz="1"/>
              <w:bottom w:val="single" w:color="CBD5E1" w:sz="1"/>
              <w:right w:val="single" w:color="CBD5E1" w:sz="1"/>
            </w:tcBorders>
            <w:shd w:fill="0F172A" w:val="clear"/>
            <w:tcMar>
              <w:top w:type="dxa" w:w="80"/>
              <w:left w:type="dxa" w:w="120"/>
              <w:bottom w:type="dxa" w:w="80"/>
              <w:right w:type="dxa" w:w="120"/>
            </w:tcMar>
            <w:vAlign w:val="center"/>
          </w:tcPr>
          <w:p>
            <w:pPr>
              <w:jc w:val="left"/>
            </w:pPr>
            <w:r>
              <w:rPr>
                <w:rFonts w:ascii="Arial" w:cs="Arial" w:eastAsia="Arial" w:hAnsi="Arial"/>
                <w:b/>
                <w:bCs/>
                <w:color w:val="FFFFFF"/>
                <w:sz w:val="19"/>
                <w:szCs w:val="19"/>
              </w:rPr>
              <w:t xml:space="preserve">2030</w:t>
            </w:r>
          </w:p>
        </w:tc>
      </w:tr>
      <w:tr>
        <w:tc>
          <w:tcPr>
            <w:tcW w:type="dxa" w:w="1872"/>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i w:val="false"/>
                <w:iCs w:val="false"/>
                <w:color w:val="334155"/>
                <w:sz w:val="19"/>
                <w:szCs w:val="19"/>
              </w:rPr>
              <w:t xml:space="preserve">10%</w:t>
            </w:r>
          </w:p>
        </w:tc>
        <w:tc>
          <w:tcPr>
            <w:tcW w:type="dxa" w:w="1872"/>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i w:val="false"/>
                <w:iCs w:val="false"/>
                <w:color w:val="334155"/>
                <w:sz w:val="19"/>
                <w:szCs w:val="19"/>
              </w:rPr>
              <w:t xml:space="preserve">25%</w:t>
            </w:r>
          </w:p>
        </w:tc>
        <w:tc>
          <w:tcPr>
            <w:tcW w:type="dxa" w:w="1872"/>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i w:val="false"/>
                <w:iCs w:val="false"/>
                <w:color w:val="334155"/>
                <w:sz w:val="19"/>
                <w:szCs w:val="19"/>
              </w:rPr>
              <w:t xml:space="preserve">50%</w:t>
            </w:r>
          </w:p>
        </w:tc>
        <w:tc>
          <w:tcPr>
            <w:tcW w:type="dxa" w:w="1872"/>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i w:val="false"/>
                <w:iCs w:val="false"/>
                <w:color w:val="334155"/>
                <w:sz w:val="19"/>
                <w:szCs w:val="19"/>
              </w:rPr>
              <w:t xml:space="preserve">75%</w:t>
            </w:r>
          </w:p>
        </w:tc>
        <w:tc>
          <w:tcPr>
            <w:tcW w:type="dxa" w:w="1872"/>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i w:val="false"/>
                <w:iCs w:val="false"/>
                <w:color w:val="334155"/>
                <w:sz w:val="19"/>
                <w:szCs w:val="19"/>
              </w:rPr>
              <w:t xml:space="preserve">100%</w:t>
            </w:r>
          </w:p>
        </w:tc>
      </w:tr>
    </w:tbl>
    <w:p>
      <w:pPr>
        <w:spacing w:after="0" w:before="80"/>
      </w:pPr>
    </w:p>
    <w:p>
      <w:pPr>
        <w:spacing w:after="120" w:line="276"/>
      </w:pPr>
      <w:r>
        <w:rPr>
          <w:rFonts w:ascii="Arial" w:cs="Arial" w:eastAsia="Arial" w:hAnsi="Arial"/>
          <w:color w:val="334155"/>
          <w:sz w:val="21"/>
          <w:szCs w:val="21"/>
        </w:rPr>
        <w:t xml:space="preserve">This path modeling enables two critical capabilities: velocity tracking (how fast is the shift happening?) and early-warning triggers (if a shift exceeds a threshold by a given year, an alert fires).</w:t>
      </w:r>
    </w:p>
    <w:p>
      <w:pPr>
        <w:pStyle w:val="Heading2"/>
      </w:pPr>
      <w:r>
        <w:rPr>
          <w:rFonts w:ascii="Arial" w:cs="Arial" w:eastAsia="Arial" w:hAnsi="Arial"/>
        </w:rPr>
        <w:t xml:space="preserve">3.6 Stage 6: Scenario Analysis</w:t>
      </w:r>
    </w:p>
    <w:p>
      <w:pPr>
        <w:spacing w:after="120" w:line="276"/>
      </w:pPr>
      <w:r>
        <w:rPr>
          <w:rFonts w:ascii="Arial" w:cs="Arial" w:eastAsia="Arial" w:hAnsi="Arial"/>
          <w:color w:val="334155"/>
          <w:sz w:val="21"/>
          <w:szCs w:val="21"/>
        </w:rPr>
        <w:t xml:space="preserve">PRISM offers pre-defined scenarios that leverage the causal DAG for realistic stress testing. Unlike traditional scenario analysis where each force is independently stressed, PRISM shocks one force and lets the causal network propagate the effect naturally: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800"/>
        <w:gridCol w:w="2360"/>
      </w:tblGrid>
      <w:tr>
        <w:tc>
          <w:tcPr>
            <w:tcW w:type="dxa" w:w="2200"/>
            <w:tcBorders>
              <w:top w:val="single" w:color="CBD5E1" w:sz="1"/>
              <w:left w:val="single" w:color="CBD5E1" w:sz="1"/>
              <w:bottom w:val="single" w:color="CBD5E1" w:sz="1"/>
              <w:right w:val="single" w:color="CBD5E1" w:sz="1"/>
            </w:tcBorders>
            <w:shd w:fill="0F172A" w:val="clear"/>
            <w:tcMar>
              <w:top w:type="dxa" w:w="80"/>
              <w:left w:type="dxa" w:w="120"/>
              <w:bottom w:type="dxa" w:w="80"/>
              <w:right w:type="dxa" w:w="120"/>
            </w:tcMar>
            <w:vAlign w:val="center"/>
          </w:tcPr>
          <w:p>
            <w:pPr>
              <w:jc w:val="left"/>
            </w:pPr>
            <w:r>
              <w:rPr>
                <w:rFonts w:ascii="Arial" w:cs="Arial" w:eastAsia="Arial" w:hAnsi="Arial"/>
                <w:b/>
                <w:bCs/>
                <w:color w:val="FFFFFF"/>
                <w:sz w:val="19"/>
                <w:szCs w:val="19"/>
              </w:rPr>
              <w:t xml:space="preserve">Scenario</w:t>
            </w:r>
          </w:p>
        </w:tc>
        <w:tc>
          <w:tcPr>
            <w:tcW w:type="dxa" w:w="4800"/>
            <w:tcBorders>
              <w:top w:val="single" w:color="CBD5E1" w:sz="1"/>
              <w:left w:val="single" w:color="CBD5E1" w:sz="1"/>
              <w:bottom w:val="single" w:color="CBD5E1" w:sz="1"/>
              <w:right w:val="single" w:color="CBD5E1" w:sz="1"/>
            </w:tcBorders>
            <w:shd w:fill="0F172A" w:val="clear"/>
            <w:tcMar>
              <w:top w:type="dxa" w:w="80"/>
              <w:left w:type="dxa" w:w="120"/>
              <w:bottom w:type="dxa" w:w="80"/>
              <w:right w:type="dxa" w:w="120"/>
            </w:tcMar>
            <w:vAlign w:val="center"/>
          </w:tcPr>
          <w:p>
            <w:pPr>
              <w:jc w:val="left"/>
            </w:pPr>
            <w:r>
              <w:rPr>
                <w:rFonts w:ascii="Arial" w:cs="Arial" w:eastAsia="Arial" w:hAnsi="Arial"/>
                <w:b/>
                <w:bCs/>
                <w:color w:val="FFFFFF"/>
                <w:sz w:val="19"/>
                <w:szCs w:val="19"/>
              </w:rPr>
              <w:t xml:space="preserve">Description</w:t>
            </w:r>
          </w:p>
        </w:tc>
        <w:tc>
          <w:tcPr>
            <w:tcW w:type="dxa" w:w="2360"/>
            <w:tcBorders>
              <w:top w:val="single" w:color="CBD5E1" w:sz="1"/>
              <w:left w:val="single" w:color="CBD5E1" w:sz="1"/>
              <w:bottom w:val="single" w:color="CBD5E1" w:sz="1"/>
              <w:right w:val="single" w:color="CBD5E1" w:sz="1"/>
            </w:tcBorders>
            <w:shd w:fill="0F172A" w:val="clear"/>
            <w:tcMar>
              <w:top w:type="dxa" w:w="80"/>
              <w:left w:type="dxa" w:w="120"/>
              <w:bottom w:type="dxa" w:w="80"/>
              <w:right w:type="dxa" w:w="120"/>
            </w:tcMar>
            <w:vAlign w:val="center"/>
          </w:tcPr>
          <w:p>
            <w:pPr>
              <w:jc w:val="left"/>
            </w:pPr>
            <w:r>
              <w:rPr>
                <w:rFonts w:ascii="Arial" w:cs="Arial" w:eastAsia="Arial" w:hAnsi="Arial"/>
                <w:b/>
                <w:bCs/>
                <w:color w:val="FFFFFF"/>
                <w:sz w:val="19"/>
                <w:szCs w:val="19"/>
              </w:rPr>
              <w:t xml:space="preserve">Initial Shock</w:t>
            </w:r>
          </w:p>
        </w:tc>
      </w:tr>
      <w:tr>
        <w:tc>
          <w:tcPr>
            <w:tcW w:type="dxa" w:w="2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left"/>
            </w:pPr>
            <w:r>
              <w:rPr>
                <w:rFonts w:ascii="Arial" w:cs="Arial" w:eastAsia="Arial" w:hAnsi="Arial"/>
                <w:b/>
                <w:bCs/>
                <w:i w:val="false"/>
                <w:iCs w:val="false"/>
                <w:color w:val="334155"/>
                <w:sz w:val="19"/>
                <w:szCs w:val="19"/>
              </w:rPr>
              <w:t xml:space="preserve">Base Case</w:t>
            </w:r>
          </w:p>
        </w:tc>
        <w:tc>
          <w:tcPr>
            <w:tcW w:type="dxa" w:w="48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334155"/>
                <w:sz w:val="19"/>
                <w:szCs w:val="19"/>
              </w:rPr>
              <w:t xml:space="preserve">Current scores with causal DAG active, no external shocks</w:t>
            </w:r>
          </w:p>
        </w:tc>
        <w:tc>
          <w:tcPr>
            <w:tcW w:type="dxa" w:w="23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334155"/>
                <w:sz w:val="19"/>
                <w:szCs w:val="19"/>
              </w:rPr>
              <w:t xml:space="preserve">None</w:t>
            </w:r>
          </w:p>
        </w:tc>
      </w:tr>
      <w:tr>
        <w:tc>
          <w:tcPr>
            <w:tcW w:type="dxa" w:w="2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left"/>
            </w:pPr>
            <w:r>
              <w:rPr>
                <w:rFonts w:ascii="Arial" w:cs="Arial" w:eastAsia="Arial" w:hAnsi="Arial"/>
                <w:b/>
                <w:bCs/>
                <w:i w:val="false"/>
                <w:iCs w:val="false"/>
                <w:color w:val="334155"/>
                <w:sz w:val="19"/>
                <w:szCs w:val="19"/>
              </w:rPr>
              <w:t xml:space="preserve">Green Squeeze</w:t>
            </w:r>
          </w:p>
        </w:tc>
        <w:tc>
          <w:tcPr>
            <w:tcW w:type="dxa" w:w="48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334155"/>
                <w:sz w:val="19"/>
                <w:szCs w:val="19"/>
              </w:rPr>
              <w:t xml:space="preserve">Environmental shock propagates to Government, Technology, Customer, Consumer</w:t>
            </w:r>
          </w:p>
        </w:tc>
        <w:tc>
          <w:tcPr>
            <w:tcW w:type="dxa" w:w="23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334155"/>
                <w:sz w:val="19"/>
                <w:szCs w:val="19"/>
              </w:rPr>
              <w:t xml:space="preserve">Environmental</w:t>
            </w:r>
          </w:p>
        </w:tc>
      </w:tr>
      <w:tr>
        <w:tc>
          <w:tcPr>
            <w:tcW w:type="dxa" w:w="2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left"/>
            </w:pPr>
            <w:r>
              <w:rPr>
                <w:rFonts w:ascii="Arial" w:cs="Arial" w:eastAsia="Arial" w:hAnsi="Arial"/>
                <w:b/>
                <w:bCs/>
                <w:i w:val="false"/>
                <w:iCs w:val="false"/>
                <w:color w:val="334155"/>
                <w:sz w:val="19"/>
                <w:szCs w:val="19"/>
              </w:rPr>
              <w:t xml:space="preserve">Tech Disruption</w:t>
            </w:r>
          </w:p>
        </w:tc>
        <w:tc>
          <w:tcPr>
            <w:tcW w:type="dxa" w:w="48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334155"/>
                <w:sz w:val="19"/>
                <w:szCs w:val="19"/>
              </w:rPr>
              <w:t xml:space="preserve">Technology shock propagates to Consumer adoption, Competitive gaps, Customer channels</w:t>
            </w:r>
          </w:p>
        </w:tc>
        <w:tc>
          <w:tcPr>
            <w:tcW w:type="dxa" w:w="23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334155"/>
                <w:sz w:val="19"/>
                <w:szCs w:val="19"/>
              </w:rPr>
              <w:t xml:space="preserve">Technology</w:t>
            </w:r>
          </w:p>
        </w:tc>
      </w:tr>
      <w:tr>
        <w:tc>
          <w:tcPr>
            <w:tcW w:type="dxa" w:w="2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left"/>
            </w:pPr>
            <w:r>
              <w:rPr>
                <w:rFonts w:ascii="Arial" w:cs="Arial" w:eastAsia="Arial" w:hAnsi="Arial"/>
                <w:b/>
                <w:bCs/>
                <w:i w:val="false"/>
                <w:iCs w:val="false"/>
                <w:color w:val="334155"/>
                <w:sz w:val="19"/>
                <w:szCs w:val="19"/>
              </w:rPr>
              <w:t xml:space="preserve">Price War</w:t>
            </w:r>
          </w:p>
        </w:tc>
        <w:tc>
          <w:tcPr>
            <w:tcW w:type="dxa" w:w="48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334155"/>
                <w:sz w:val="19"/>
                <w:szCs w:val="19"/>
              </w:rPr>
              <w:t xml:space="preserve">Competitive shock propagates to Customer margins, Consumer trading down</w:t>
            </w:r>
          </w:p>
        </w:tc>
        <w:tc>
          <w:tcPr>
            <w:tcW w:type="dxa" w:w="23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334155"/>
                <w:sz w:val="19"/>
                <w:szCs w:val="19"/>
              </w:rPr>
              <w:t xml:space="preserve">Competitive</w:t>
            </w:r>
          </w:p>
        </w:tc>
      </w:tr>
      <w:tr>
        <w:tc>
          <w:tcPr>
            <w:tcW w:type="dxa" w:w="2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left"/>
            </w:pPr>
            <w:r>
              <w:rPr>
                <w:rFonts w:ascii="Arial" w:cs="Arial" w:eastAsia="Arial" w:hAnsi="Arial"/>
                <w:b/>
                <w:bCs/>
                <w:i w:val="false"/>
                <w:iCs w:val="false"/>
                <w:color w:val="334155"/>
                <w:sz w:val="19"/>
                <w:szCs w:val="19"/>
              </w:rPr>
              <w:t xml:space="preserve">Regulatory Cascade</w:t>
            </w:r>
          </w:p>
        </w:tc>
        <w:tc>
          <w:tcPr>
            <w:tcW w:type="dxa" w:w="48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334155"/>
                <w:sz w:val="19"/>
                <w:szCs w:val="19"/>
              </w:rPr>
              <w:t xml:space="preserve">Government shock propagates through DAG with lag structure</w:t>
            </w:r>
          </w:p>
        </w:tc>
        <w:tc>
          <w:tcPr>
            <w:tcW w:type="dxa" w:w="23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334155"/>
                <w:sz w:val="19"/>
                <w:szCs w:val="19"/>
              </w:rPr>
              <w:t xml:space="preserve">Government</w:t>
            </w:r>
          </w:p>
        </w:tc>
      </w:tr>
      <w:tr>
        <w:tc>
          <w:tcPr>
            <w:tcW w:type="dxa" w:w="2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left"/>
            </w:pPr>
            <w:r>
              <w:rPr>
                <w:rFonts w:ascii="Arial" w:cs="Arial" w:eastAsia="Arial" w:hAnsi="Arial"/>
                <w:b/>
                <w:bCs/>
                <w:i w:val="false"/>
                <w:iCs w:val="false"/>
                <w:color w:val="334155"/>
                <w:sz w:val="19"/>
                <w:szCs w:val="19"/>
              </w:rPr>
              <w:t xml:space="preserve">Perfect Storm</w:t>
            </w:r>
          </w:p>
        </w:tc>
        <w:tc>
          <w:tcPr>
            <w:tcW w:type="dxa" w:w="48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334155"/>
                <w:sz w:val="19"/>
                <w:szCs w:val="19"/>
              </w:rPr>
              <w:t xml:space="preserve">Correlated tail event at 1st percentile via t-copula</w:t>
            </w:r>
          </w:p>
        </w:tc>
        <w:tc>
          <w:tcPr>
            <w:tcW w:type="dxa" w:w="23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334155"/>
                <w:sz w:val="19"/>
                <w:szCs w:val="19"/>
              </w:rPr>
              <w:t xml:space="preserve">All forces</w:t>
            </w:r>
          </w:p>
        </w:tc>
      </w:tr>
    </w:tbl>
    <w:p>
      <w:pPr>
        <w:spacing w:after="0" w:before="80"/>
      </w:pPr>
    </w:p>
    <w:p>
      <w:pPr>
        <w:spacing w:after="120" w:line="276"/>
      </w:pPr>
      <w:r>
        <w:rPr>
          <w:rFonts w:ascii="Arial" w:cs="Arial" w:eastAsia="Arial" w:hAnsi="Arial"/>
          <w:color w:val="334155"/>
          <w:sz w:val="21"/>
          <w:szCs w:val="21"/>
        </w:rPr>
        <w:t xml:space="preserve">Users can also create custom scenarios by specifying an initial shock to any force. The causal DAG propagates the shock through the network, producing a realistic multi-force impact pattern.</w:t>
      </w:r>
    </w:p>
    <w:p>
      <w:r>
        <w:br w:type="page"/>
      </w:r>
    </w:p>
    <w:p>
      <w:pPr>
        <w:pStyle w:val="Heading1"/>
      </w:pPr>
      <w:r>
        <w:rPr>
          <w:rFonts w:ascii="Arial" w:cs="Arial" w:eastAsia="Arial" w:hAnsi="Arial"/>
        </w:rPr>
        <w:t xml:space="preserve">4. The Output: Reading the Shift Matrix</w:t>
      </w:r>
    </w:p>
    <w:p>
      <w:pPr>
        <w:spacing w:after="120" w:line="276"/>
      </w:pPr>
      <w:r>
        <w:rPr>
          <w:rFonts w:ascii="Arial" w:cs="Arial" w:eastAsia="Arial" w:hAnsi="Arial"/>
          <w:color w:val="334155"/>
          <w:sz w:val="21"/>
          <w:szCs w:val="21"/>
        </w:rPr>
        <w:t xml:space="preserve">The Shift Matrix is PRISM’s primary deliverable. It expresses profit pool shifts as percentages across five dimensions:</w:t>
      </w:r>
    </w:p>
    <w:p>
      <w:pPr>
        <w:pStyle w:val="ListParagraph"/>
        <w:numPr>
          <w:ilvl w:val="0"/>
          <w:numId w:val="2"/>
        </w:numPr>
        <w:spacing w:after="80" w:line="276"/>
      </w:pPr>
      <w:r>
        <w:rPr>
          <w:rFonts w:ascii="Arial" w:cs="Arial" w:eastAsia="Arial" w:hAnsi="Arial"/>
          <w:b/>
          <w:bCs/>
          <w:color w:val="334155"/>
          <w:sz w:val="21"/>
          <w:szCs w:val="21"/>
        </w:rPr>
        <w:t xml:space="preserve">Category </w:t>
      </w:r>
      <w:r>
        <w:rPr>
          <w:rFonts w:ascii="Arial" w:cs="Arial" w:eastAsia="Arial" w:hAnsi="Arial"/>
          <w:color w:val="334155"/>
          <w:sz w:val="21"/>
          <w:szCs w:val="21"/>
        </w:rPr>
        <w:t xml:space="preserve">(e.g., Hair Color, Fabric Care Nearwash, ADW)</w:t>
      </w:r>
    </w:p>
    <w:p>
      <w:pPr>
        <w:pStyle w:val="ListParagraph"/>
        <w:numPr>
          <w:ilvl w:val="0"/>
          <w:numId w:val="2"/>
        </w:numPr>
        <w:spacing w:after="80" w:line="276"/>
      </w:pPr>
      <w:r>
        <w:rPr>
          <w:rFonts w:ascii="Arial" w:cs="Arial" w:eastAsia="Arial" w:hAnsi="Arial"/>
          <w:b/>
          <w:bCs/>
          <w:color w:val="334155"/>
          <w:sz w:val="21"/>
          <w:szCs w:val="21"/>
        </w:rPr>
        <w:t xml:space="preserve">Year </w:t>
      </w:r>
      <w:r>
        <w:rPr>
          <w:rFonts w:ascii="Arial" w:cs="Arial" w:eastAsia="Arial" w:hAnsi="Arial"/>
          <w:color w:val="334155"/>
          <w:sz w:val="21"/>
          <w:szCs w:val="21"/>
        </w:rPr>
        <w:t xml:space="preserve">(2026 through 2030, annual granularity)</w:t>
      </w:r>
    </w:p>
    <w:p>
      <w:pPr>
        <w:pStyle w:val="ListParagraph"/>
        <w:numPr>
          <w:ilvl w:val="0"/>
          <w:numId w:val="2"/>
        </w:numPr>
        <w:spacing w:after="80" w:line="276"/>
      </w:pPr>
      <w:r>
        <w:rPr>
          <w:rFonts w:ascii="Arial" w:cs="Arial" w:eastAsia="Arial" w:hAnsi="Arial"/>
          <w:b/>
          <w:bCs/>
          <w:color w:val="334155"/>
          <w:sz w:val="21"/>
          <w:szCs w:val="21"/>
        </w:rPr>
        <w:t xml:space="preserve">Percentile </w:t>
      </w:r>
      <w:r>
        <w:rPr>
          <w:rFonts w:ascii="Arial" w:cs="Arial" w:eastAsia="Arial" w:hAnsi="Arial"/>
          <w:color w:val="334155"/>
          <w:sz w:val="21"/>
          <w:szCs w:val="21"/>
        </w:rPr>
        <w:t xml:space="preserve">(p10, p25, median, p75, p90 — showing the range of outcomes)</w:t>
      </w:r>
    </w:p>
    <w:p>
      <w:pPr>
        <w:pStyle w:val="ListParagraph"/>
        <w:numPr>
          <w:ilvl w:val="0"/>
          <w:numId w:val="2"/>
        </w:numPr>
        <w:spacing w:after="80" w:line="276"/>
      </w:pPr>
      <w:r>
        <w:rPr>
          <w:rFonts w:ascii="Arial" w:cs="Arial" w:eastAsia="Arial" w:hAnsi="Arial"/>
          <w:b/>
          <w:bCs/>
          <w:color w:val="334155"/>
          <w:sz w:val="21"/>
          <w:szCs w:val="21"/>
        </w:rPr>
        <w:t xml:space="preserve">Causal decomposition </w:t>
      </w:r>
      <w:r>
        <w:rPr>
          <w:rFonts w:ascii="Arial" w:cs="Arial" w:eastAsia="Arial" w:hAnsi="Arial"/>
          <w:color w:val="334155"/>
          <w:sz w:val="21"/>
          <w:szCs w:val="21"/>
        </w:rPr>
        <w:t xml:space="preserve">(which forces drive the shift, directly and through propagation)</w:t>
      </w:r>
    </w:p>
    <w:p>
      <w:pPr>
        <w:pStyle w:val="ListParagraph"/>
        <w:numPr>
          <w:ilvl w:val="0"/>
          <w:numId w:val="2"/>
        </w:numPr>
        <w:spacing w:after="120" w:line="276"/>
      </w:pPr>
      <w:r>
        <w:rPr>
          <w:rFonts w:ascii="Arial" w:cs="Arial" w:eastAsia="Arial" w:hAnsi="Arial"/>
          <w:b/>
          <w:bCs/>
          <w:color w:val="334155"/>
          <w:sz w:val="21"/>
          <w:szCs w:val="21"/>
        </w:rPr>
        <w:t xml:space="preserve">Allocation recommendation </w:t>
      </w:r>
      <w:r>
        <w:rPr>
          <w:rFonts w:ascii="Arial" w:cs="Arial" w:eastAsia="Arial" w:hAnsi="Arial"/>
          <w:color w:val="334155"/>
          <w:sz w:val="21"/>
          <w:szCs w:val="21"/>
        </w:rPr>
        <w:t xml:space="preserve">(invest more, defend, or harvest)</w:t>
      </w:r>
    </w:p>
    <w:p>
      <w:pPr>
        <w:spacing w:after="120" w:before="240"/>
      </w:pPr>
      <w:r>
        <w:rPr>
          <w:rFonts w:ascii="Arial" w:cs="Arial" w:eastAsia="Arial" w:hAnsi="Arial"/>
          <w:b/>
          <w:bCs/>
          <w:color w:val="0F172A"/>
          <w:sz w:val="24"/>
          <w:szCs w:val="24"/>
        </w:rPr>
        <w:t xml:space="preserve">Example Output: Hair Color Category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tcBorders>
              <w:top w:val="single" w:color="CBD5E1" w:sz="1"/>
              <w:left w:val="single" w:color="CBD5E1" w:sz="1"/>
              <w:bottom w:val="single" w:color="CBD5E1" w:sz="1"/>
              <w:right w:val="single" w:color="CBD5E1" w:sz="1"/>
            </w:tcBorders>
            <w:shd w:fill="0F172A" w:val="clear"/>
            <w:tcMar>
              <w:top w:type="dxa" w:w="80"/>
              <w:left w:type="dxa" w:w="120"/>
              <w:bottom w:type="dxa" w:w="80"/>
              <w:right w:type="dxa" w:w="120"/>
            </w:tcMar>
            <w:vAlign w:val="center"/>
          </w:tcPr>
          <w:p>
            <w:pPr>
              <w:jc w:val="left"/>
            </w:pPr>
            <w:r>
              <w:rPr>
                <w:rFonts w:ascii="Arial" w:cs="Arial" w:eastAsia="Arial" w:hAnsi="Arial"/>
                <w:b/>
                <w:bCs/>
                <w:color w:val="FFFFFF"/>
                <w:sz w:val="19"/>
                <w:szCs w:val="19"/>
              </w:rPr>
              <w:t xml:space="preserve">Year</w:t>
            </w:r>
          </w:p>
        </w:tc>
        <w:tc>
          <w:tcPr>
            <w:tcW w:type="dxa" w:w="1872"/>
            <w:tcBorders>
              <w:top w:val="single" w:color="CBD5E1" w:sz="1"/>
              <w:left w:val="single" w:color="CBD5E1" w:sz="1"/>
              <w:bottom w:val="single" w:color="CBD5E1" w:sz="1"/>
              <w:right w:val="single" w:color="CBD5E1" w:sz="1"/>
            </w:tcBorders>
            <w:shd w:fill="0F172A" w:val="clear"/>
            <w:tcMar>
              <w:top w:type="dxa" w:w="80"/>
              <w:left w:type="dxa" w:w="120"/>
              <w:bottom w:type="dxa" w:w="80"/>
              <w:right w:type="dxa" w:w="120"/>
            </w:tcMar>
            <w:vAlign w:val="center"/>
          </w:tcPr>
          <w:p>
            <w:pPr>
              <w:jc w:val="left"/>
            </w:pPr>
            <w:r>
              <w:rPr>
                <w:rFonts w:ascii="Arial" w:cs="Arial" w:eastAsia="Arial" w:hAnsi="Arial"/>
                <w:b/>
                <w:bCs/>
                <w:color w:val="FFFFFF"/>
                <w:sz w:val="19"/>
                <w:szCs w:val="19"/>
              </w:rPr>
              <w:t xml:space="preserve">p10 (Bull)</w:t>
            </w:r>
          </w:p>
        </w:tc>
        <w:tc>
          <w:tcPr>
            <w:tcW w:type="dxa" w:w="1872"/>
            <w:tcBorders>
              <w:top w:val="single" w:color="CBD5E1" w:sz="1"/>
              <w:left w:val="single" w:color="CBD5E1" w:sz="1"/>
              <w:bottom w:val="single" w:color="CBD5E1" w:sz="1"/>
              <w:right w:val="single" w:color="CBD5E1" w:sz="1"/>
            </w:tcBorders>
            <w:shd w:fill="0F172A" w:val="clear"/>
            <w:tcMar>
              <w:top w:type="dxa" w:w="80"/>
              <w:left w:type="dxa" w:w="120"/>
              <w:bottom w:type="dxa" w:w="80"/>
              <w:right w:type="dxa" w:w="120"/>
            </w:tcMar>
            <w:vAlign w:val="center"/>
          </w:tcPr>
          <w:p>
            <w:pPr>
              <w:jc w:val="left"/>
            </w:pPr>
            <w:r>
              <w:rPr>
                <w:rFonts w:ascii="Arial" w:cs="Arial" w:eastAsia="Arial" w:hAnsi="Arial"/>
                <w:b/>
                <w:bCs/>
                <w:color w:val="FFFFFF"/>
                <w:sz w:val="19"/>
                <w:szCs w:val="19"/>
              </w:rPr>
              <w:t xml:space="preserve">Median</w:t>
            </w:r>
          </w:p>
        </w:tc>
        <w:tc>
          <w:tcPr>
            <w:tcW w:type="dxa" w:w="1872"/>
            <w:tcBorders>
              <w:top w:val="single" w:color="CBD5E1" w:sz="1"/>
              <w:left w:val="single" w:color="CBD5E1" w:sz="1"/>
              <w:bottom w:val="single" w:color="CBD5E1" w:sz="1"/>
              <w:right w:val="single" w:color="CBD5E1" w:sz="1"/>
            </w:tcBorders>
            <w:shd w:fill="0F172A" w:val="clear"/>
            <w:tcMar>
              <w:top w:type="dxa" w:w="80"/>
              <w:left w:type="dxa" w:w="120"/>
              <w:bottom w:type="dxa" w:w="80"/>
              <w:right w:type="dxa" w:w="120"/>
            </w:tcMar>
            <w:vAlign w:val="center"/>
          </w:tcPr>
          <w:p>
            <w:pPr>
              <w:jc w:val="left"/>
            </w:pPr>
            <w:r>
              <w:rPr>
                <w:rFonts w:ascii="Arial" w:cs="Arial" w:eastAsia="Arial" w:hAnsi="Arial"/>
                <w:b/>
                <w:bCs/>
                <w:color w:val="FFFFFF"/>
                <w:sz w:val="19"/>
                <w:szCs w:val="19"/>
              </w:rPr>
              <w:t xml:space="preserve">p90 (Bear)</w:t>
            </w:r>
          </w:p>
        </w:tc>
        <w:tc>
          <w:tcPr>
            <w:tcW w:type="dxa" w:w="1872"/>
            <w:tcBorders>
              <w:top w:val="single" w:color="CBD5E1" w:sz="1"/>
              <w:left w:val="single" w:color="CBD5E1" w:sz="1"/>
              <w:bottom w:val="single" w:color="CBD5E1" w:sz="1"/>
              <w:right w:val="single" w:color="CBD5E1" w:sz="1"/>
            </w:tcBorders>
            <w:shd w:fill="0F172A" w:val="clear"/>
            <w:tcMar>
              <w:top w:type="dxa" w:w="80"/>
              <w:left w:type="dxa" w:w="120"/>
              <w:bottom w:type="dxa" w:w="80"/>
              <w:right w:type="dxa" w:w="120"/>
            </w:tcMar>
            <w:vAlign w:val="center"/>
          </w:tcPr>
          <w:p>
            <w:pPr>
              <w:jc w:val="left"/>
            </w:pPr>
            <w:r>
              <w:rPr>
                <w:rFonts w:ascii="Arial" w:cs="Arial" w:eastAsia="Arial" w:hAnsi="Arial"/>
                <w:b/>
                <w:bCs/>
                <w:color w:val="FFFFFF"/>
                <w:sz w:val="19"/>
                <w:szCs w:val="19"/>
              </w:rPr>
              <w:t xml:space="preserve">Velocity</w:t>
            </w:r>
          </w:p>
        </w:tc>
      </w:tr>
      <w:tr>
        <w:tc>
          <w:tcPr>
            <w:tcW w:type="dxa" w:w="1872"/>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center"/>
            </w:pPr>
            <w:r>
              <w:rPr>
                <w:rFonts w:ascii="Arial" w:cs="Arial" w:eastAsia="Arial" w:hAnsi="Arial"/>
                <w:b/>
                <w:bCs/>
                <w:i w:val="false"/>
                <w:iCs w:val="false"/>
                <w:color w:val="334155"/>
                <w:sz w:val="19"/>
                <w:szCs w:val="19"/>
              </w:rPr>
              <w:t xml:space="preserve">2026</w:t>
            </w:r>
          </w:p>
        </w:tc>
        <w:tc>
          <w:tcPr>
            <w:tcW w:type="dxa" w:w="1872"/>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i w:val="false"/>
                <w:iCs w:val="false"/>
                <w:color w:val="16A34A"/>
                <w:sz w:val="19"/>
                <w:szCs w:val="19"/>
              </w:rPr>
              <w:t xml:space="preserve">-0.1%</w:t>
            </w:r>
          </w:p>
        </w:tc>
        <w:tc>
          <w:tcPr>
            <w:tcW w:type="dxa" w:w="1872"/>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center"/>
            </w:pPr>
            <w:r>
              <w:rPr>
                <w:rFonts w:ascii="Arial" w:cs="Arial" w:eastAsia="Arial" w:hAnsi="Arial"/>
                <w:b/>
                <w:bCs/>
                <w:i w:val="false"/>
                <w:iCs w:val="false"/>
                <w:color w:val="334155"/>
                <w:sz w:val="19"/>
                <w:szCs w:val="19"/>
              </w:rPr>
              <w:t xml:space="preserve">-0.3%</w:t>
            </w:r>
          </w:p>
        </w:tc>
        <w:tc>
          <w:tcPr>
            <w:tcW w:type="dxa" w:w="1872"/>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i w:val="false"/>
                <w:iCs w:val="false"/>
                <w:color w:val="EF4444"/>
                <w:sz w:val="19"/>
                <w:szCs w:val="19"/>
              </w:rPr>
              <w:t xml:space="preserve">-0.8%</w:t>
            </w:r>
          </w:p>
        </w:tc>
        <w:tc>
          <w:tcPr>
            <w:tcW w:type="dxa" w:w="1872"/>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i w:val="false"/>
                <w:iCs w:val="false"/>
                <w:color w:val="94A3B8"/>
                <w:sz w:val="19"/>
                <w:szCs w:val="19"/>
              </w:rPr>
              <w:t xml:space="preserve">—</w:t>
            </w:r>
          </w:p>
        </w:tc>
      </w:tr>
      <w:tr>
        <w:tc>
          <w:tcPr>
            <w:tcW w:type="dxa" w:w="1872"/>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center"/>
            </w:pPr>
            <w:r>
              <w:rPr>
                <w:rFonts w:ascii="Arial" w:cs="Arial" w:eastAsia="Arial" w:hAnsi="Arial"/>
                <w:b/>
                <w:bCs/>
                <w:i w:val="false"/>
                <w:iCs w:val="false"/>
                <w:color w:val="334155"/>
                <w:sz w:val="19"/>
                <w:szCs w:val="19"/>
              </w:rPr>
              <w:t xml:space="preserve">2027</w:t>
            </w:r>
          </w:p>
        </w:tc>
        <w:tc>
          <w:tcPr>
            <w:tcW w:type="dxa" w:w="1872"/>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i w:val="false"/>
                <w:iCs w:val="false"/>
                <w:color w:val="16A34A"/>
                <w:sz w:val="19"/>
                <w:szCs w:val="19"/>
              </w:rPr>
              <w:t xml:space="preserve">-0.3%</w:t>
            </w:r>
          </w:p>
        </w:tc>
        <w:tc>
          <w:tcPr>
            <w:tcW w:type="dxa" w:w="1872"/>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center"/>
            </w:pPr>
            <w:r>
              <w:rPr>
                <w:rFonts w:ascii="Arial" w:cs="Arial" w:eastAsia="Arial" w:hAnsi="Arial"/>
                <w:b/>
                <w:bCs/>
                <w:i w:val="false"/>
                <w:iCs w:val="false"/>
                <w:color w:val="334155"/>
                <w:sz w:val="19"/>
                <w:szCs w:val="19"/>
              </w:rPr>
              <w:t xml:space="preserve">-0.8%</w:t>
            </w:r>
          </w:p>
        </w:tc>
        <w:tc>
          <w:tcPr>
            <w:tcW w:type="dxa" w:w="1872"/>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i w:val="false"/>
                <w:iCs w:val="false"/>
                <w:color w:val="EF4444"/>
                <w:sz w:val="19"/>
                <w:szCs w:val="19"/>
              </w:rPr>
              <w:t xml:space="preserve">-1.9%</w:t>
            </w:r>
          </w:p>
        </w:tc>
        <w:tc>
          <w:tcPr>
            <w:tcW w:type="dxa" w:w="1872"/>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i w:val="false"/>
                <w:iCs w:val="false"/>
                <w:color w:val="94A3B8"/>
                <w:sz w:val="19"/>
                <w:szCs w:val="19"/>
              </w:rPr>
              <w:t xml:space="preserve">-0.5%/yr</w:t>
            </w:r>
          </w:p>
        </w:tc>
      </w:tr>
      <w:tr>
        <w:tc>
          <w:tcPr>
            <w:tcW w:type="dxa" w:w="1872"/>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center"/>
            </w:pPr>
            <w:r>
              <w:rPr>
                <w:rFonts w:ascii="Arial" w:cs="Arial" w:eastAsia="Arial" w:hAnsi="Arial"/>
                <w:b/>
                <w:bCs/>
                <w:i w:val="false"/>
                <w:iCs w:val="false"/>
                <w:color w:val="334155"/>
                <w:sz w:val="19"/>
                <w:szCs w:val="19"/>
              </w:rPr>
              <w:t xml:space="preserve">2028</w:t>
            </w:r>
          </w:p>
        </w:tc>
        <w:tc>
          <w:tcPr>
            <w:tcW w:type="dxa" w:w="1872"/>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i w:val="false"/>
                <w:iCs w:val="false"/>
                <w:color w:val="16A34A"/>
                <w:sz w:val="19"/>
                <w:szCs w:val="19"/>
              </w:rPr>
              <w:t xml:space="preserve">-0.6%</w:t>
            </w:r>
          </w:p>
        </w:tc>
        <w:tc>
          <w:tcPr>
            <w:tcW w:type="dxa" w:w="1872"/>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center"/>
            </w:pPr>
            <w:r>
              <w:rPr>
                <w:rFonts w:ascii="Arial" w:cs="Arial" w:eastAsia="Arial" w:hAnsi="Arial"/>
                <w:b/>
                <w:bCs/>
                <w:i w:val="false"/>
                <w:iCs w:val="false"/>
                <w:color w:val="334155"/>
                <w:sz w:val="19"/>
                <w:szCs w:val="19"/>
              </w:rPr>
              <w:t xml:space="preserve">-1.4%</w:t>
            </w:r>
          </w:p>
        </w:tc>
        <w:tc>
          <w:tcPr>
            <w:tcW w:type="dxa" w:w="1872"/>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i w:val="false"/>
                <w:iCs w:val="false"/>
                <w:color w:val="EF4444"/>
                <w:sz w:val="19"/>
                <w:szCs w:val="19"/>
              </w:rPr>
              <w:t xml:space="preserve">-3.1%</w:t>
            </w:r>
          </w:p>
        </w:tc>
        <w:tc>
          <w:tcPr>
            <w:tcW w:type="dxa" w:w="1872"/>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i w:val="false"/>
                <w:iCs w:val="false"/>
                <w:color w:val="94A3B8"/>
                <w:sz w:val="19"/>
                <w:szCs w:val="19"/>
              </w:rPr>
              <w:t xml:space="preserve">-0.6%/yr</w:t>
            </w:r>
          </w:p>
        </w:tc>
      </w:tr>
      <w:tr>
        <w:tc>
          <w:tcPr>
            <w:tcW w:type="dxa" w:w="1872"/>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center"/>
            </w:pPr>
            <w:r>
              <w:rPr>
                <w:rFonts w:ascii="Arial" w:cs="Arial" w:eastAsia="Arial" w:hAnsi="Arial"/>
                <w:b/>
                <w:bCs/>
                <w:i w:val="false"/>
                <w:iCs w:val="false"/>
                <w:color w:val="334155"/>
                <w:sz w:val="19"/>
                <w:szCs w:val="19"/>
              </w:rPr>
              <w:t xml:space="preserve">2029</w:t>
            </w:r>
          </w:p>
        </w:tc>
        <w:tc>
          <w:tcPr>
            <w:tcW w:type="dxa" w:w="1872"/>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i w:val="false"/>
                <w:iCs w:val="false"/>
                <w:color w:val="16A34A"/>
                <w:sz w:val="19"/>
                <w:szCs w:val="19"/>
              </w:rPr>
              <w:t xml:space="preserve">-1.0%</w:t>
            </w:r>
          </w:p>
        </w:tc>
        <w:tc>
          <w:tcPr>
            <w:tcW w:type="dxa" w:w="1872"/>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center"/>
            </w:pPr>
            <w:r>
              <w:rPr>
                <w:rFonts w:ascii="Arial" w:cs="Arial" w:eastAsia="Arial" w:hAnsi="Arial"/>
                <w:b/>
                <w:bCs/>
                <w:i w:val="false"/>
                <w:iCs w:val="false"/>
                <w:color w:val="334155"/>
                <w:sz w:val="19"/>
                <w:szCs w:val="19"/>
              </w:rPr>
              <w:t xml:space="preserve">-2.3%</w:t>
            </w:r>
          </w:p>
        </w:tc>
        <w:tc>
          <w:tcPr>
            <w:tcW w:type="dxa" w:w="1872"/>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i w:val="false"/>
                <w:iCs w:val="false"/>
                <w:color w:val="EF4444"/>
                <w:sz w:val="19"/>
                <w:szCs w:val="19"/>
              </w:rPr>
              <w:t xml:space="preserve">-4.8%</w:t>
            </w:r>
          </w:p>
        </w:tc>
        <w:tc>
          <w:tcPr>
            <w:tcW w:type="dxa" w:w="1872"/>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i w:val="false"/>
                <w:iCs w:val="false"/>
                <w:color w:val="94A3B8"/>
                <w:sz w:val="19"/>
                <w:szCs w:val="19"/>
              </w:rPr>
              <w:t xml:space="preserve">-0.9%/yr</w:t>
            </w:r>
          </w:p>
        </w:tc>
      </w:tr>
      <w:tr>
        <w:tc>
          <w:tcPr>
            <w:tcW w:type="dxa" w:w="1872"/>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center"/>
            </w:pPr>
            <w:r>
              <w:rPr>
                <w:rFonts w:ascii="Arial" w:cs="Arial" w:eastAsia="Arial" w:hAnsi="Arial"/>
                <w:b/>
                <w:bCs/>
                <w:i w:val="false"/>
                <w:iCs w:val="false"/>
                <w:color w:val="334155"/>
                <w:sz w:val="19"/>
                <w:szCs w:val="19"/>
              </w:rPr>
              <w:t xml:space="preserve">2030</w:t>
            </w:r>
          </w:p>
        </w:tc>
        <w:tc>
          <w:tcPr>
            <w:tcW w:type="dxa" w:w="1872"/>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i w:val="false"/>
                <w:iCs w:val="false"/>
                <w:color w:val="16A34A"/>
                <w:sz w:val="19"/>
                <w:szCs w:val="19"/>
              </w:rPr>
              <w:t xml:space="preserve">-1.5%</w:t>
            </w:r>
          </w:p>
        </w:tc>
        <w:tc>
          <w:tcPr>
            <w:tcW w:type="dxa" w:w="1872"/>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center"/>
            </w:pPr>
            <w:r>
              <w:rPr>
                <w:rFonts w:ascii="Arial" w:cs="Arial" w:eastAsia="Arial" w:hAnsi="Arial"/>
                <w:b/>
                <w:bCs/>
                <w:i w:val="false"/>
                <w:iCs w:val="false"/>
                <w:color w:val="334155"/>
                <w:sz w:val="19"/>
                <w:szCs w:val="19"/>
              </w:rPr>
              <w:t xml:space="preserve">-3.2%</w:t>
            </w:r>
          </w:p>
        </w:tc>
        <w:tc>
          <w:tcPr>
            <w:tcW w:type="dxa" w:w="1872"/>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i w:val="false"/>
                <w:iCs w:val="false"/>
                <w:color w:val="EF4444"/>
                <w:sz w:val="19"/>
                <w:szCs w:val="19"/>
              </w:rPr>
              <w:t xml:space="preserve">-6.5%</w:t>
            </w:r>
          </w:p>
        </w:tc>
        <w:tc>
          <w:tcPr>
            <w:tcW w:type="dxa" w:w="1872"/>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i w:val="false"/>
                <w:iCs w:val="false"/>
                <w:color w:val="94A3B8"/>
                <w:sz w:val="19"/>
                <w:szCs w:val="19"/>
              </w:rPr>
              <w:t xml:space="preserve">-0.9%/yr</w:t>
            </w:r>
          </w:p>
        </w:tc>
      </w:tr>
    </w:tbl>
    <w:p>
      <w:pPr>
        <w:spacing w:after="0" w:before="120"/>
      </w:pPr>
    </w:p>
    <w:p>
      <w:pPr>
        <w:spacing w:after="120" w:before="240"/>
      </w:pPr>
      <w:r>
        <w:rPr>
          <w:rFonts w:ascii="Arial" w:cs="Arial" w:eastAsia="Arial" w:hAnsi="Arial"/>
          <w:b/>
          <w:bCs/>
          <w:color w:val="0F172A"/>
          <w:sz w:val="24"/>
          <w:szCs w:val="24"/>
        </w:rPr>
        <w:t xml:space="preserve">How to Apply These Shifts</w:t>
      </w:r>
    </w:p>
    <w:p>
      <w:pPr>
        <w:spacing w:after="120" w:line="276"/>
      </w:pPr>
      <w:r>
        <w:rPr>
          <w:rFonts w:ascii="Arial" w:cs="Arial" w:eastAsia="Arial" w:hAnsi="Arial"/>
          <w:color w:val="334155"/>
          <w:sz w:val="21"/>
          <w:szCs w:val="21"/>
        </w:rPr>
        <w:t xml:space="preserve">The user takes the Shift Matrix output and applies it to their own financial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5860"/>
      </w:tblGrid>
      <w:tr>
        <w:tc>
          <w:tcPr>
            <w:tcW w:type="dxa" w:w="3500"/>
            <w:tcBorders>
              <w:top w:val="single" w:color="CBD5E1" w:sz="1"/>
              <w:left w:val="single" w:color="CBD5E1" w:sz="1"/>
              <w:bottom w:val="single" w:color="CBD5E1" w:sz="1"/>
              <w:right w:val="single" w:color="CBD5E1" w:sz="1"/>
            </w:tcBorders>
            <w:shd w:fill="0F172A" w:val="clear"/>
            <w:tcMar>
              <w:top w:type="dxa" w:w="80"/>
              <w:left w:type="dxa" w:w="120"/>
              <w:bottom w:type="dxa" w:w="80"/>
              <w:right w:type="dxa" w:w="120"/>
            </w:tcMar>
            <w:vAlign w:val="center"/>
          </w:tcPr>
          <w:p>
            <w:pPr>
              <w:jc w:val="left"/>
            </w:pPr>
            <w:r>
              <w:rPr>
                <w:rFonts w:ascii="Arial" w:cs="Arial" w:eastAsia="Arial" w:hAnsi="Arial"/>
                <w:b/>
                <w:bCs/>
                <w:color w:val="FFFFFF"/>
                <w:sz w:val="19"/>
                <w:szCs w:val="19"/>
              </w:rPr>
              <w:t xml:space="preserve">Scenario</w:t>
            </w:r>
          </w:p>
        </w:tc>
        <w:tc>
          <w:tcPr>
            <w:tcW w:type="dxa" w:w="5860"/>
            <w:tcBorders>
              <w:top w:val="single" w:color="CBD5E1" w:sz="1"/>
              <w:left w:val="single" w:color="CBD5E1" w:sz="1"/>
              <w:bottom w:val="single" w:color="CBD5E1" w:sz="1"/>
              <w:right w:val="single" w:color="CBD5E1" w:sz="1"/>
            </w:tcBorders>
            <w:shd w:fill="0F172A" w:val="clear"/>
            <w:tcMar>
              <w:top w:type="dxa" w:w="80"/>
              <w:left w:type="dxa" w:w="120"/>
              <w:bottom w:type="dxa" w:w="80"/>
              <w:right w:type="dxa" w:w="120"/>
            </w:tcMar>
            <w:vAlign w:val="center"/>
          </w:tcPr>
          <w:p>
            <w:pPr>
              <w:jc w:val="left"/>
            </w:pPr>
            <w:r>
              <w:rPr>
                <w:rFonts w:ascii="Arial" w:cs="Arial" w:eastAsia="Arial" w:hAnsi="Arial"/>
                <w:b/>
                <w:bCs/>
                <w:color w:val="FFFFFF"/>
                <w:sz w:val="19"/>
                <w:szCs w:val="19"/>
              </w:rPr>
              <w:t xml:space="preserve">Formula</w:t>
            </w:r>
          </w:p>
        </w:tc>
      </w:tr>
      <w:tr>
        <w:tc>
          <w:tcPr>
            <w:tcW w:type="dxa" w:w="35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left"/>
            </w:pPr>
            <w:r>
              <w:rPr>
                <w:rFonts w:ascii="Arial" w:cs="Arial" w:eastAsia="Arial" w:hAnsi="Arial"/>
                <w:b/>
                <w:bCs/>
                <w:i w:val="false"/>
                <w:iCs w:val="false"/>
                <w:color w:val="334155"/>
                <w:sz w:val="19"/>
                <w:szCs w:val="19"/>
              </w:rPr>
              <w:t xml:space="preserve">Base Case (Median)</w:t>
            </w:r>
          </w:p>
        </w:tc>
        <w:tc>
          <w:tcPr>
            <w:tcW w:type="dxa" w:w="58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iCs/>
                <w:color w:val="334155"/>
                <w:sz w:val="19"/>
                <w:szCs w:val="19"/>
              </w:rPr>
              <w:t xml:space="preserve">GP1 projected = GP1 actual × (1 + median shift)</w:t>
            </w:r>
          </w:p>
        </w:tc>
      </w:tr>
      <w:tr>
        <w:tc>
          <w:tcPr>
            <w:tcW w:type="dxa" w:w="35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left"/>
            </w:pPr>
            <w:r>
              <w:rPr>
                <w:rFonts w:ascii="Arial" w:cs="Arial" w:eastAsia="Arial" w:hAnsi="Arial"/>
                <w:b/>
                <w:bCs/>
                <w:i w:val="false"/>
                <w:iCs w:val="false"/>
                <w:color w:val="334155"/>
                <w:sz w:val="19"/>
                <w:szCs w:val="19"/>
              </w:rPr>
              <w:t xml:space="preserve">Bear Case (p90)</w:t>
            </w:r>
          </w:p>
        </w:tc>
        <w:tc>
          <w:tcPr>
            <w:tcW w:type="dxa" w:w="58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iCs/>
                <w:color w:val="334155"/>
                <w:sz w:val="19"/>
                <w:szCs w:val="19"/>
              </w:rPr>
              <w:t xml:space="preserve">GP1 bear = GP1 actual × (1 + p90 shift)</w:t>
            </w:r>
          </w:p>
        </w:tc>
      </w:tr>
      <w:tr>
        <w:tc>
          <w:tcPr>
            <w:tcW w:type="dxa" w:w="35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left"/>
            </w:pPr>
            <w:r>
              <w:rPr>
                <w:rFonts w:ascii="Arial" w:cs="Arial" w:eastAsia="Arial" w:hAnsi="Arial"/>
                <w:b/>
                <w:bCs/>
                <w:i w:val="false"/>
                <w:iCs w:val="false"/>
                <w:color w:val="334155"/>
                <w:sz w:val="19"/>
                <w:szCs w:val="19"/>
              </w:rPr>
              <w:t xml:space="preserve">Bull Case (p10)</w:t>
            </w:r>
          </w:p>
        </w:tc>
        <w:tc>
          <w:tcPr>
            <w:tcW w:type="dxa" w:w="58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iCs/>
                <w:color w:val="334155"/>
                <w:sz w:val="19"/>
                <w:szCs w:val="19"/>
              </w:rPr>
              <w:t xml:space="preserve">GP1 bull = GP1 actual × (1 + p10 shift)</w:t>
            </w:r>
          </w:p>
        </w:tc>
      </w:tr>
    </w:tbl>
    <w:p>
      <w:pPr>
        <w:spacing w:after="0" w:before="80"/>
      </w:pPr>
    </w:p>
    <w:p>
      <w:pPr>
        <w:spacing w:after="120" w:line="276"/>
      </w:pPr>
      <w:r>
        <w:rPr>
          <w:rFonts w:ascii="Arial" w:cs="Arial" w:eastAsia="Arial" w:hAnsi="Arial"/>
          <w:i/>
          <w:iCs/>
          <w:color w:val="64748B"/>
          <w:sz w:val="21"/>
          <w:szCs w:val="21"/>
        </w:rPr>
        <w:t xml:space="preserve">Example: If Hair Color GP1 is €100M and the 2030 median shift is -3.2%, then the projected GP1 is €100M × (1 - 0.032) = €96.8M. The bear case (p90) would be €93.5M.</w:t>
      </w:r>
    </w:p>
    <w:p>
      <w:r>
        <w:br w:type="page"/>
      </w:r>
    </w:p>
    <w:p>
      <w:pPr>
        <w:pStyle w:val="Heading1"/>
      </w:pPr>
      <w:r>
        <w:rPr>
          <w:rFonts w:ascii="Arial" w:cs="Arial" w:eastAsia="Arial" w:hAnsi="Arial"/>
        </w:rPr>
        <w:t xml:space="preserve">5. From Analysis to Action</w:t>
      </w:r>
    </w:p>
    <w:p>
      <w:pPr>
        <w:pStyle w:val="Heading2"/>
      </w:pPr>
      <w:r>
        <w:rPr>
          <w:rFonts w:ascii="Arial" w:cs="Arial" w:eastAsia="Arial" w:hAnsi="Arial"/>
        </w:rPr>
        <w:t xml:space="preserve">5.1 Competitive Response Model</w:t>
      </w:r>
    </w:p>
    <w:p>
      <w:pPr>
        <w:spacing w:after="120" w:line="276"/>
      </w:pPr>
      <w:r>
        <w:rPr>
          <w:rFonts w:ascii="Arial" w:cs="Arial" w:eastAsia="Arial" w:hAnsi="Arial"/>
          <w:color w:val="334155"/>
          <w:sz w:val="21"/>
          <w:szCs w:val="21"/>
        </w:rPr>
        <w:t xml:space="preserve">Profit pools do not shift in isolation. When market forces change, competitors respond, and their responses alter the pool further. PRISM includes a simplified game-theoretic layer that models the likely strategic responses of 3–5 key competitors (P&amp;G, Unilever, Reckitt, and others).</w:t>
      </w:r>
    </w:p>
    <w:p>
      <w:pPr>
        <w:spacing w:after="120" w:line="276"/>
      </w:pPr>
      <w:r>
        <w:rPr>
          <w:rFonts w:ascii="Arial" w:cs="Arial" w:eastAsia="Arial" w:hAnsi="Arial"/>
          <w:color w:val="334155"/>
          <w:sz w:val="21"/>
          <w:szCs w:val="21"/>
        </w:rPr>
        <w:t xml:space="preserve">Each competitor is characterized by an archetype (e.g., “premium defender,” “sustainability leader,” “hygiene specialist”) based on publicly available strategic intelligence. The model estimates second-order impacts: if P&amp;G premiumizes further in response to a price war scenario, the pool may actually expand (everyone trades up). If Unilever launches a value tier, the pool may contract (margin destruction).</w:t>
      </w:r>
    </w:p>
    <w:p>
      <w:pPr>
        <w:spacing w:after="120" w:line="276"/>
      </w:pPr>
      <w:r>
        <w:rPr>
          <w:rFonts w:ascii="Arial" w:cs="Arial" w:eastAsia="Arial" w:hAnsi="Arial"/>
          <w:color w:val="334155"/>
          <w:sz w:val="21"/>
          <w:szCs w:val="21"/>
        </w:rPr>
        <w:t xml:space="preserve">This competitive layer is explicitly labeled as directional, not predictive. It adds strategic texture to the shift estimates rather than claiming precision about competitor behavior.</w:t>
      </w:r>
    </w:p>
    <w:p>
      <w:pPr>
        <w:pStyle w:val="Heading2"/>
      </w:pPr>
      <w:r>
        <w:rPr>
          <w:rFonts w:ascii="Arial" w:cs="Arial" w:eastAsia="Arial" w:hAnsi="Arial"/>
        </w:rPr>
        <w:t xml:space="preserve">5.2 Resource Allocation Optimizer</w:t>
      </w:r>
    </w:p>
    <w:p>
      <w:pPr>
        <w:spacing w:after="120" w:line="276"/>
      </w:pPr>
      <w:r>
        <w:rPr>
          <w:rFonts w:ascii="Arial" w:cs="Arial" w:eastAsia="Arial" w:hAnsi="Arial"/>
          <w:color w:val="334155"/>
          <w:sz w:val="21"/>
          <w:szCs w:val="21"/>
        </w:rPr>
        <w:t xml:space="preserve">The optimizer translates shift analysis into investment recommendations. Given the projected pool shifts across all categories, it computes the risk-adjusted optimal allocation of strategic resources.</w:t>
      </w:r>
    </w:p>
    <w:p>
      <w:pPr>
        <w:spacing w:after="120" w:line="276"/>
      </w:pPr>
      <w:r>
        <w:rPr>
          <w:rFonts w:ascii="Arial" w:cs="Arial" w:eastAsia="Arial" w:hAnsi="Arial"/>
          <w:color w:val="334155"/>
          <w:sz w:val="21"/>
          <w:szCs w:val="21"/>
        </w:rPr>
        <w:t xml:space="preserve">The optimization objective balances expected pool capture (invest where pools are growing) against risk (don’t over-concentrate in volatile categories). It produces three types of recommendations: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5160"/>
      </w:tblGrid>
      <w:tr>
        <w:tc>
          <w:tcPr>
            <w:tcW w:type="dxa" w:w="1800"/>
            <w:tcBorders>
              <w:top w:val="single" w:color="CBD5E1" w:sz="1"/>
              <w:left w:val="single" w:color="CBD5E1" w:sz="1"/>
              <w:bottom w:val="single" w:color="CBD5E1" w:sz="1"/>
              <w:right w:val="single" w:color="CBD5E1" w:sz="1"/>
            </w:tcBorders>
            <w:shd w:fill="0F172A" w:val="clear"/>
            <w:tcMar>
              <w:top w:type="dxa" w:w="80"/>
              <w:left w:type="dxa" w:w="120"/>
              <w:bottom w:type="dxa" w:w="80"/>
              <w:right w:type="dxa" w:w="120"/>
            </w:tcMar>
            <w:vAlign w:val="center"/>
          </w:tcPr>
          <w:p>
            <w:pPr>
              <w:jc w:val="left"/>
            </w:pPr>
            <w:r>
              <w:rPr>
                <w:rFonts w:ascii="Arial" w:cs="Arial" w:eastAsia="Arial" w:hAnsi="Arial"/>
                <w:b/>
                <w:bCs/>
                <w:color w:val="FFFFFF"/>
                <w:sz w:val="19"/>
                <w:szCs w:val="19"/>
              </w:rPr>
              <w:t xml:space="preserve">Action</w:t>
            </w:r>
          </w:p>
        </w:tc>
        <w:tc>
          <w:tcPr>
            <w:tcW w:type="dxa" w:w="2400"/>
            <w:tcBorders>
              <w:top w:val="single" w:color="CBD5E1" w:sz="1"/>
              <w:left w:val="single" w:color="CBD5E1" w:sz="1"/>
              <w:bottom w:val="single" w:color="CBD5E1" w:sz="1"/>
              <w:right w:val="single" w:color="CBD5E1" w:sz="1"/>
            </w:tcBorders>
            <w:shd w:fill="0F172A" w:val="clear"/>
            <w:tcMar>
              <w:top w:type="dxa" w:w="80"/>
              <w:left w:type="dxa" w:w="120"/>
              <w:bottom w:type="dxa" w:w="80"/>
              <w:right w:type="dxa" w:w="120"/>
            </w:tcMar>
            <w:vAlign w:val="center"/>
          </w:tcPr>
          <w:p>
            <w:pPr>
              <w:jc w:val="left"/>
            </w:pPr>
            <w:r>
              <w:rPr>
                <w:rFonts w:ascii="Arial" w:cs="Arial" w:eastAsia="Arial" w:hAnsi="Arial"/>
                <w:b/>
                <w:bCs/>
                <w:color w:val="FFFFFF"/>
                <w:sz w:val="19"/>
                <w:szCs w:val="19"/>
              </w:rPr>
              <w:t xml:space="preserve">Signal</w:t>
            </w:r>
          </w:p>
        </w:tc>
        <w:tc>
          <w:tcPr>
            <w:tcW w:type="dxa" w:w="5160"/>
            <w:tcBorders>
              <w:top w:val="single" w:color="CBD5E1" w:sz="1"/>
              <w:left w:val="single" w:color="CBD5E1" w:sz="1"/>
              <w:bottom w:val="single" w:color="CBD5E1" w:sz="1"/>
              <w:right w:val="single" w:color="CBD5E1" w:sz="1"/>
            </w:tcBorders>
            <w:shd w:fill="0F172A" w:val="clear"/>
            <w:tcMar>
              <w:top w:type="dxa" w:w="80"/>
              <w:left w:type="dxa" w:w="120"/>
              <w:bottom w:type="dxa" w:w="80"/>
              <w:right w:type="dxa" w:w="120"/>
            </w:tcMar>
            <w:vAlign w:val="center"/>
          </w:tcPr>
          <w:p>
            <w:pPr>
              <w:jc w:val="left"/>
            </w:pPr>
            <w:r>
              <w:rPr>
                <w:rFonts w:ascii="Arial" w:cs="Arial" w:eastAsia="Arial" w:hAnsi="Arial"/>
                <w:b/>
                <w:bCs/>
                <w:color w:val="FFFFFF"/>
                <w:sz w:val="19"/>
                <w:szCs w:val="19"/>
              </w:rPr>
              <w:t xml:space="preserve">Strategic Implication</w:t>
            </w:r>
          </w:p>
        </w:tc>
      </w:tr>
      <w:tr>
        <w:tc>
          <w:tcPr>
            <w:tcW w:type="dxa" w:w="18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left"/>
            </w:pPr>
            <w:r>
              <w:rPr>
                <w:rFonts w:ascii="Arial" w:cs="Arial" w:eastAsia="Arial" w:hAnsi="Arial"/>
                <w:b/>
                <w:bCs/>
                <w:i w:val="false"/>
                <w:iCs w:val="false"/>
                <w:color w:val="16A34A"/>
                <w:sz w:val="19"/>
                <w:szCs w:val="19"/>
              </w:rPr>
              <w:t xml:space="preserve">Invest More</w:t>
            </w:r>
          </w:p>
        </w:tc>
        <w:tc>
          <w:tcPr>
            <w:tcW w:type="dxa" w:w="24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334155"/>
                <w:sz w:val="19"/>
                <w:szCs w:val="19"/>
              </w:rPr>
              <w:t xml:space="preserve">Pool expanding, risk moderate</w:t>
            </w:r>
          </w:p>
        </w:tc>
        <w:tc>
          <w:tcPr>
            <w:tcW w:type="dxa" w:w="51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334155"/>
                <w:sz w:val="19"/>
                <w:szCs w:val="19"/>
              </w:rPr>
              <w:t xml:space="preserve">Increase relative share of strategic resources (R&amp;D, marketing, capacity)</w:t>
            </w:r>
          </w:p>
        </w:tc>
      </w:tr>
      <w:tr>
        <w:tc>
          <w:tcPr>
            <w:tcW w:type="dxa" w:w="18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left"/>
            </w:pPr>
            <w:r>
              <w:rPr>
                <w:rFonts w:ascii="Arial" w:cs="Arial" w:eastAsia="Arial" w:hAnsi="Arial"/>
                <w:b/>
                <w:bCs/>
                <w:i w:val="false"/>
                <w:iCs w:val="false"/>
                <w:color w:val="D97706"/>
                <w:sz w:val="19"/>
                <w:szCs w:val="19"/>
              </w:rPr>
              <w:t xml:space="preserve">Defend</w:t>
            </w:r>
          </w:p>
        </w:tc>
        <w:tc>
          <w:tcPr>
            <w:tcW w:type="dxa" w:w="24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334155"/>
                <w:sz w:val="19"/>
                <w:szCs w:val="19"/>
              </w:rPr>
              <w:t xml:space="preserve">Pool contracting, strategic relevance high</w:t>
            </w:r>
          </w:p>
        </w:tc>
        <w:tc>
          <w:tcPr>
            <w:tcW w:type="dxa" w:w="51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334155"/>
                <w:sz w:val="19"/>
                <w:szCs w:val="19"/>
              </w:rPr>
              <w:t xml:space="preserve">Maintain position; shift budget toward defensive innovation</w:t>
            </w:r>
          </w:p>
        </w:tc>
      </w:tr>
      <w:tr>
        <w:tc>
          <w:tcPr>
            <w:tcW w:type="dxa" w:w="18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left"/>
            </w:pPr>
            <w:r>
              <w:rPr>
                <w:rFonts w:ascii="Arial" w:cs="Arial" w:eastAsia="Arial" w:hAnsi="Arial"/>
                <w:b/>
                <w:bCs/>
                <w:i w:val="false"/>
                <w:iCs w:val="false"/>
                <w:color w:val="94A3B8"/>
                <w:sz w:val="19"/>
                <w:szCs w:val="19"/>
              </w:rPr>
              <w:t xml:space="preserve">Harvest</w:t>
            </w:r>
          </w:p>
        </w:tc>
        <w:tc>
          <w:tcPr>
            <w:tcW w:type="dxa" w:w="24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334155"/>
                <w:sz w:val="19"/>
                <w:szCs w:val="19"/>
              </w:rPr>
              <w:t xml:space="preserve">Pool contracting, limited upside</w:t>
            </w:r>
          </w:p>
        </w:tc>
        <w:tc>
          <w:tcPr>
            <w:tcW w:type="dxa" w:w="51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334155"/>
                <w:sz w:val="19"/>
                <w:szCs w:val="19"/>
              </w:rPr>
              <w:t xml:space="preserve">Reduce incremental investment; optimize for margin extraction</w:t>
            </w:r>
          </w:p>
        </w:tc>
      </w:tr>
    </w:tbl>
    <w:p>
      <w:pPr>
        <w:spacing w:after="0" w:before="80"/>
      </w:pPr>
    </w:p>
    <w:p>
      <w:pPr>
        <w:spacing w:after="120" w:line="276"/>
      </w:pPr>
      <w:r>
        <w:rPr>
          <w:rFonts w:ascii="Arial" w:cs="Arial" w:eastAsia="Arial" w:hAnsi="Arial"/>
          <w:color w:val="334155"/>
          <w:sz w:val="21"/>
          <w:szCs w:val="21"/>
        </w:rPr>
        <w:t xml:space="preserve">Critically, the optimizer outputs relative weights (percentages), not absolute budgets. It recommends “increase Care allocation by 3 percentage points relative to current” rather than “spend €5M more on Care.” The user translates these relative weights into their actual budget context.</w:t>
      </w:r>
    </w:p>
    <w:p>
      <w:r>
        <w:br w:type="page"/>
      </w:r>
    </w:p>
    <w:p>
      <w:pPr>
        <w:pStyle w:val="Heading1"/>
      </w:pPr>
      <w:r>
        <w:rPr>
          <w:rFonts w:ascii="Arial" w:cs="Arial" w:eastAsia="Arial" w:hAnsi="Arial"/>
        </w:rPr>
        <w:t xml:space="preserve">6. Quality Assurance &amp; Calibration</w:t>
      </w:r>
    </w:p>
    <w:p>
      <w:pPr>
        <w:pStyle w:val="Heading2"/>
      </w:pPr>
      <w:r>
        <w:rPr>
          <w:rFonts w:ascii="Arial" w:cs="Arial" w:eastAsia="Arial" w:hAnsi="Arial"/>
        </w:rPr>
        <w:t xml:space="preserve">6.1 Backtesting: The Model Earns Credibility</w:t>
      </w:r>
    </w:p>
    <w:p>
      <w:pPr>
        <w:spacing w:after="120" w:line="276"/>
      </w:pPr>
      <w:r>
        <w:rPr>
          <w:rFonts w:ascii="Arial" w:cs="Arial" w:eastAsia="Arial" w:hAnsi="Arial"/>
          <w:color w:val="334155"/>
          <w:sz w:val="21"/>
          <w:szCs w:val="21"/>
        </w:rPr>
        <w:t xml:space="preserve">Before PRISM makes any forward-looking predictions, it must demonstrate that it can explain the past. The backtesting engine takes historical versions of the force assessment (V1–V11) and asks: “If we had run PRISM with 2020’s assessments, would it have predicted the market shifts we actually observed by 2024?”</w:t>
      </w:r>
    </w:p>
    <w:p>
      <w:pPr>
        <w:spacing w:after="120" w:line="276"/>
      </w:pPr>
      <w:r>
        <w:rPr>
          <w:rFonts w:ascii="Arial" w:cs="Arial" w:eastAsia="Arial" w:hAnsi="Arial"/>
          <w:color w:val="334155"/>
          <w:sz w:val="21"/>
          <w:szCs w:val="21"/>
        </w:rPr>
        <w:t xml:space="preserve">Backtesting calibrates four critical model parameters:</w:t>
      </w:r>
    </w:p>
    <w:p>
      <w:pPr>
        <w:pStyle w:val="ListParagraph"/>
        <w:numPr>
          <w:ilvl w:val="0"/>
          <w:numId w:val="3"/>
        </w:numPr>
        <w:spacing w:after="80" w:line="276"/>
      </w:pPr>
      <w:r>
        <w:rPr>
          <w:rFonts w:ascii="Arial" w:cs="Arial" w:eastAsia="Arial" w:hAnsi="Arial"/>
          <w:b/>
          <w:bCs/>
          <w:color w:val="334155"/>
          <w:sz w:val="21"/>
          <w:szCs w:val="21"/>
        </w:rPr>
        <w:t xml:space="preserve">The attenuation factor </w:t>
      </w:r>
      <w:r>
        <w:rPr>
          <w:rFonts w:ascii="Arial" w:cs="Arial" w:eastAsia="Arial" w:hAnsi="Arial"/>
          <w:color w:val="334155"/>
          <w:sz w:val="21"/>
          <w:szCs w:val="21"/>
        </w:rPr>
        <w:t xml:space="preserve">— how much raw scores should be dampened (currently assumed at 0.5; backtesting derives the empirically correct value)</w:t>
      </w:r>
    </w:p>
    <w:p>
      <w:pPr>
        <w:pStyle w:val="ListParagraph"/>
        <w:numPr>
          <w:ilvl w:val="0"/>
          <w:numId w:val="3"/>
        </w:numPr>
        <w:spacing w:after="80" w:line="276"/>
      </w:pPr>
      <w:r>
        <w:rPr>
          <w:rFonts w:ascii="Arial" w:cs="Arial" w:eastAsia="Arial" w:hAnsi="Arial"/>
          <w:b/>
          <w:bCs/>
          <w:color w:val="334155"/>
          <w:sz w:val="21"/>
          <w:szCs w:val="21"/>
        </w:rPr>
        <w:t xml:space="preserve">Distribution shapes </w:t>
      </w:r>
      <w:r>
        <w:rPr>
          <w:rFonts w:ascii="Arial" w:cs="Arial" w:eastAsia="Arial" w:hAnsi="Arial"/>
          <w:color w:val="334155"/>
          <w:sz w:val="21"/>
          <w:szCs w:val="21"/>
        </w:rPr>
        <w:t xml:space="preserve">— which probability distributions best fit historical prediction errors</w:t>
      </w:r>
    </w:p>
    <w:p>
      <w:pPr>
        <w:pStyle w:val="ListParagraph"/>
        <w:numPr>
          <w:ilvl w:val="0"/>
          <w:numId w:val="3"/>
        </w:numPr>
        <w:spacing w:after="80" w:line="276"/>
      </w:pPr>
      <w:r>
        <w:rPr>
          <w:rFonts w:ascii="Arial" w:cs="Arial" w:eastAsia="Arial" w:hAnsi="Arial"/>
          <w:b/>
          <w:bCs/>
          <w:color w:val="334155"/>
          <w:sz w:val="21"/>
          <w:szCs w:val="21"/>
        </w:rPr>
        <w:t xml:space="preserve">Causal DAG weights </w:t>
      </w:r>
      <w:r>
        <w:rPr>
          <w:rFonts w:ascii="Arial" w:cs="Arial" w:eastAsia="Arial" w:hAnsi="Arial"/>
          <w:color w:val="334155"/>
          <w:sz w:val="21"/>
          <w:szCs w:val="21"/>
        </w:rPr>
        <w:t xml:space="preserve">— how strongly forces actually propagated historically</w:t>
      </w:r>
    </w:p>
    <w:p>
      <w:pPr>
        <w:pStyle w:val="ListParagraph"/>
        <w:numPr>
          <w:ilvl w:val="0"/>
          <w:numId w:val="3"/>
        </w:numPr>
        <w:spacing w:after="120" w:line="276"/>
      </w:pPr>
      <w:r>
        <w:rPr>
          <w:rFonts w:ascii="Arial" w:cs="Arial" w:eastAsia="Arial" w:hAnsi="Arial"/>
          <w:b/>
          <w:bCs/>
          <w:color w:val="334155"/>
          <w:sz w:val="21"/>
          <w:szCs w:val="21"/>
        </w:rPr>
        <w:t xml:space="preserve">Overall accuracy score </w:t>
      </w:r>
      <w:r>
        <w:rPr>
          <w:rFonts w:ascii="Arial" w:cs="Arial" w:eastAsia="Arial" w:hAnsi="Arial"/>
          <w:color w:val="334155"/>
          <w:sz w:val="21"/>
          <w:szCs w:val="21"/>
        </w:rPr>
        <w:t xml:space="preserve">— reported as “PRISM predicted X% of historical shifts within the 80% confidence interval”</w:t>
      </w:r>
    </w:p>
    <w:p>
      <w:pPr>
        <w:spacing w:after="120" w:line="276"/>
      </w:pPr>
      <w:r>
        <w:rPr>
          <w:rFonts w:ascii="Arial" w:cs="Arial" w:eastAsia="Arial" w:hAnsi="Arial"/>
          <w:color w:val="334155"/>
          <w:sz w:val="21"/>
          <w:szCs w:val="21"/>
        </w:rPr>
        <w:t xml:space="preserve">The backtesting accuracy score is displayed prominently in the War Room dashboard and included in every Shift Matrix export, ensuring complete transparency about model reliability.</w:t>
      </w:r>
    </w:p>
    <w:p>
      <w:pPr>
        <w:pStyle w:val="Heading2"/>
      </w:pPr>
      <w:r>
        <w:rPr>
          <w:rFonts w:ascii="Arial" w:cs="Arial" w:eastAsia="Arial" w:hAnsi="Arial"/>
        </w:rPr>
        <w:t xml:space="preserve">6.2 Delphi Expert Elicitation</w:t>
      </w:r>
    </w:p>
    <w:p>
      <w:pPr>
        <w:spacing w:after="120" w:line="276"/>
      </w:pPr>
      <w:r>
        <w:rPr>
          <w:rFonts w:ascii="Arial" w:cs="Arial" w:eastAsia="Arial" w:hAnsi="Arial"/>
          <w:color w:val="334155"/>
          <w:sz w:val="21"/>
          <w:szCs w:val="21"/>
        </w:rPr>
        <w:t xml:space="preserve">Trend scoring is not a solo exercise. PRISM implements a formal Delphi protocol: structured, multi-round scoring workshops with calibration and debiasing.</w:t>
      </w:r>
    </w:p>
    <w:p>
      <w:pPr>
        <w:spacing w:after="120" w:line="276"/>
      </w:pPr>
      <w:r>
        <w:rPr>
          <w:rFonts w:ascii="Arial" w:cs="Arial" w:eastAsia="Arial" w:hAnsi="Arial"/>
          <w:color w:val="334155"/>
          <w:sz w:val="21"/>
          <w:szCs w:val="21"/>
        </w:rPr>
        <w:t xml:space="preserve">The process runs in three rounds: (1) Independent blind scoring by each expert; (2) Share anonymized score distributions, re-score with group context; (3) Discussion of statistical outliers, final consensus scores. Between rounds, calibration exercises detect systematic biases (anchoring, optimism, recency). Each scorer’s historical prediction accuracy is tracked, and better-calibrated scorers receive higher weight in the consensus.</w:t>
      </w:r>
    </w:p>
    <w:p>
      <w:pPr>
        <w:pStyle w:val="Heading2"/>
      </w:pPr>
      <w:r>
        <w:rPr>
          <w:rFonts w:ascii="Arial" w:cs="Arial" w:eastAsia="Arial" w:hAnsi="Arial"/>
        </w:rPr>
        <w:t xml:space="preserve">6.3 Convergence Diagnostics</w:t>
      </w:r>
    </w:p>
    <w:p>
      <w:pPr>
        <w:spacing w:after="120" w:line="276"/>
      </w:pPr>
      <w:r>
        <w:rPr>
          <w:rFonts w:ascii="Arial" w:cs="Arial" w:eastAsia="Arial" w:hAnsi="Arial"/>
          <w:color w:val="334155"/>
          <w:sz w:val="21"/>
          <w:szCs w:val="21"/>
        </w:rPr>
        <w:t xml:space="preserve">Every Monte Carlo simulation run includes convergence diagnostics to ensure statistical validity. The Gelman-Rubin R-hat statistic must be below 1.05 for all parameters, confirming that the simulation has run long enough to produce stable results. If convergence is not achieved, the system automatically increases iterations or flags the issue for review.</w:t>
      </w:r>
    </w:p>
    <w:p>
      <w:r>
        <w:br w:type="page"/>
      </w:r>
    </w:p>
    <w:p>
      <w:pPr>
        <w:pStyle w:val="Heading1"/>
      </w:pPr>
      <w:r>
        <w:rPr>
          <w:rFonts w:ascii="Arial" w:cs="Arial" w:eastAsia="Arial" w:hAnsi="Arial"/>
        </w:rPr>
        <w:t xml:space="preserve">7. Data Sources &amp; Credibility</w:t>
      </w:r>
    </w:p>
    <w:p>
      <w:pPr>
        <w:pStyle w:val="Heading2"/>
      </w:pPr>
      <w:r>
        <w:rPr>
          <w:rFonts w:ascii="Arial" w:cs="Arial" w:eastAsia="Arial" w:hAnsi="Arial"/>
        </w:rPr>
        <w:t xml:space="preserve">7.1 The Trend Database</w:t>
      </w:r>
    </w:p>
    <w:p>
      <w:pPr>
        <w:spacing w:after="120" w:line="276"/>
      </w:pPr>
      <w:r>
        <w:rPr>
          <w:rFonts w:ascii="Arial" w:cs="Arial" w:eastAsia="Arial" w:hAnsi="Arial"/>
          <w:color w:val="334155"/>
          <w:sz w:val="21"/>
          <w:szCs w:val="21"/>
        </w:rPr>
        <w:t xml:space="preserve">PRISM’s trend database contains 55 market trends distributed across the 6 strategic forces: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1560"/>
        <w:gridCol w:w="4680"/>
      </w:tblGrid>
      <w:tr>
        <w:tc>
          <w:tcPr>
            <w:tcW w:type="dxa" w:w="3120"/>
            <w:tcBorders>
              <w:top w:val="single" w:color="CBD5E1" w:sz="1"/>
              <w:left w:val="single" w:color="CBD5E1" w:sz="1"/>
              <w:bottom w:val="single" w:color="CBD5E1" w:sz="1"/>
              <w:right w:val="single" w:color="CBD5E1" w:sz="1"/>
            </w:tcBorders>
            <w:shd w:fill="0F172A" w:val="clear"/>
            <w:tcMar>
              <w:top w:type="dxa" w:w="80"/>
              <w:left w:type="dxa" w:w="120"/>
              <w:bottom w:type="dxa" w:w="80"/>
              <w:right w:type="dxa" w:w="120"/>
            </w:tcMar>
            <w:vAlign w:val="center"/>
          </w:tcPr>
          <w:p>
            <w:pPr>
              <w:jc w:val="left"/>
            </w:pPr>
            <w:r>
              <w:rPr>
                <w:rFonts w:ascii="Arial" w:cs="Arial" w:eastAsia="Arial" w:hAnsi="Arial"/>
                <w:b/>
                <w:bCs/>
                <w:color w:val="FFFFFF"/>
                <w:sz w:val="19"/>
                <w:szCs w:val="19"/>
              </w:rPr>
              <w:t xml:space="preserve">Force</w:t>
            </w:r>
          </w:p>
        </w:tc>
        <w:tc>
          <w:tcPr>
            <w:tcW w:type="dxa" w:w="1560"/>
            <w:tcBorders>
              <w:top w:val="single" w:color="CBD5E1" w:sz="1"/>
              <w:left w:val="single" w:color="CBD5E1" w:sz="1"/>
              <w:bottom w:val="single" w:color="CBD5E1" w:sz="1"/>
              <w:right w:val="single" w:color="CBD5E1" w:sz="1"/>
            </w:tcBorders>
            <w:shd w:fill="0F172A" w:val="clear"/>
            <w:tcMar>
              <w:top w:type="dxa" w:w="80"/>
              <w:left w:type="dxa" w:w="120"/>
              <w:bottom w:type="dxa" w:w="80"/>
              <w:right w:type="dxa" w:w="120"/>
            </w:tcMar>
            <w:vAlign w:val="center"/>
          </w:tcPr>
          <w:p>
            <w:pPr>
              <w:jc w:val="left"/>
            </w:pPr>
            <w:r>
              <w:rPr>
                <w:rFonts w:ascii="Arial" w:cs="Arial" w:eastAsia="Arial" w:hAnsi="Arial"/>
                <w:b/>
                <w:bCs/>
                <w:color w:val="FFFFFF"/>
                <w:sz w:val="19"/>
                <w:szCs w:val="19"/>
              </w:rPr>
              <w:t xml:space="preserve"># Trends</w:t>
            </w:r>
          </w:p>
        </w:tc>
        <w:tc>
          <w:tcPr>
            <w:tcW w:type="dxa" w:w="4680"/>
            <w:tcBorders>
              <w:top w:val="single" w:color="CBD5E1" w:sz="1"/>
              <w:left w:val="single" w:color="CBD5E1" w:sz="1"/>
              <w:bottom w:val="single" w:color="CBD5E1" w:sz="1"/>
              <w:right w:val="single" w:color="CBD5E1" w:sz="1"/>
            </w:tcBorders>
            <w:shd w:fill="0F172A" w:val="clear"/>
            <w:tcMar>
              <w:top w:type="dxa" w:w="80"/>
              <w:left w:type="dxa" w:w="120"/>
              <w:bottom w:type="dxa" w:w="80"/>
              <w:right w:type="dxa" w:w="120"/>
            </w:tcMar>
            <w:vAlign w:val="center"/>
          </w:tcPr>
          <w:p>
            <w:pPr>
              <w:jc w:val="left"/>
            </w:pPr>
            <w:r>
              <w:rPr>
                <w:rFonts w:ascii="Arial" w:cs="Arial" w:eastAsia="Arial" w:hAnsi="Arial"/>
                <w:b/>
                <w:bCs/>
                <w:color w:val="FFFFFF"/>
                <w:sz w:val="19"/>
                <w:szCs w:val="19"/>
              </w:rPr>
              <w:t xml:space="preserve">Example Trends</w:t>
            </w:r>
          </w:p>
        </w:tc>
      </w:tr>
      <w:tr>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left"/>
            </w:pPr>
            <w:r>
              <w:rPr>
                <w:rFonts w:ascii="Arial" w:cs="Arial" w:eastAsia="Arial" w:hAnsi="Arial"/>
                <w:b/>
                <w:bCs/>
                <w:i w:val="false"/>
                <w:iCs w:val="false"/>
                <w:color w:val="334155"/>
                <w:sz w:val="19"/>
                <w:szCs w:val="19"/>
              </w:rPr>
              <w:t xml:space="preserve">Consumer</w:t>
            </w:r>
          </w:p>
        </w:tc>
        <w:tc>
          <w:tcPr>
            <w:tcW w:type="dxa" w:w="15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i w:val="false"/>
                <w:iCs w:val="false"/>
                <w:color w:val="334155"/>
                <w:sz w:val="19"/>
                <w:szCs w:val="19"/>
              </w:rPr>
              <w:t xml:space="preserve">15</w:t>
            </w:r>
          </w:p>
        </w:tc>
        <w:tc>
          <w:tcPr>
            <w:tcW w:type="dxa" w:w="468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334155"/>
                <w:sz w:val="19"/>
                <w:szCs w:val="19"/>
              </w:rPr>
              <w:t xml:space="preserve">Natural/Clean Beauty, Private Label Penetration, Silver Economy, Refill &amp; Reuse Economy</w:t>
            </w:r>
          </w:p>
        </w:tc>
      </w:tr>
      <w:tr>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left"/>
            </w:pPr>
            <w:r>
              <w:rPr>
                <w:rFonts w:ascii="Arial" w:cs="Arial" w:eastAsia="Arial" w:hAnsi="Arial"/>
                <w:b/>
                <w:bCs/>
                <w:i w:val="false"/>
                <w:iCs w:val="false"/>
                <w:color w:val="334155"/>
                <w:sz w:val="19"/>
                <w:szCs w:val="19"/>
              </w:rPr>
              <w:t xml:space="preserve">Technology</w:t>
            </w:r>
          </w:p>
        </w:tc>
        <w:tc>
          <w:tcPr>
            <w:tcW w:type="dxa" w:w="15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i w:val="false"/>
                <w:iCs w:val="false"/>
                <w:color w:val="334155"/>
                <w:sz w:val="19"/>
                <w:szCs w:val="19"/>
              </w:rPr>
              <w:t xml:space="preserve">10</w:t>
            </w:r>
          </w:p>
        </w:tc>
        <w:tc>
          <w:tcPr>
            <w:tcW w:type="dxa" w:w="468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334155"/>
                <w:sz w:val="19"/>
                <w:szCs w:val="19"/>
              </w:rPr>
              <w:t xml:space="preserve">Smart Home/IoT, AI Product Discovery, Waterless/Concentrated, AI Marketing Efficiency</w:t>
            </w:r>
          </w:p>
        </w:tc>
      </w:tr>
      <w:tr>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left"/>
            </w:pPr>
            <w:r>
              <w:rPr>
                <w:rFonts w:ascii="Arial" w:cs="Arial" w:eastAsia="Arial" w:hAnsi="Arial"/>
                <w:b/>
                <w:bCs/>
                <w:i w:val="false"/>
                <w:iCs w:val="false"/>
                <w:color w:val="334155"/>
                <w:sz w:val="19"/>
                <w:szCs w:val="19"/>
              </w:rPr>
              <w:t xml:space="preserve">Environmental</w:t>
            </w:r>
          </w:p>
        </w:tc>
        <w:tc>
          <w:tcPr>
            <w:tcW w:type="dxa" w:w="15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i w:val="false"/>
                <w:iCs w:val="false"/>
                <w:color w:val="334155"/>
                <w:sz w:val="19"/>
                <w:szCs w:val="19"/>
              </w:rPr>
              <w:t xml:space="preserve">8</w:t>
            </w:r>
          </w:p>
        </w:tc>
        <w:tc>
          <w:tcPr>
            <w:tcW w:type="dxa" w:w="468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334155"/>
                <w:sz w:val="19"/>
                <w:szCs w:val="19"/>
              </w:rPr>
              <w:t xml:space="preserve">PFAS/Chemical Substitution, Microplastic Regulation, Energy Cost Volatility, Textile Longevity</w:t>
            </w:r>
          </w:p>
        </w:tc>
      </w:tr>
      <w:tr>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left"/>
            </w:pPr>
            <w:r>
              <w:rPr>
                <w:rFonts w:ascii="Arial" w:cs="Arial" w:eastAsia="Arial" w:hAnsi="Arial"/>
                <w:b/>
                <w:bCs/>
                <w:i w:val="false"/>
                <w:iCs w:val="false"/>
                <w:color w:val="334155"/>
                <w:sz w:val="19"/>
                <w:szCs w:val="19"/>
              </w:rPr>
              <w:t xml:space="preserve">Government</w:t>
            </w:r>
          </w:p>
        </w:tc>
        <w:tc>
          <w:tcPr>
            <w:tcW w:type="dxa" w:w="15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i w:val="false"/>
                <w:iCs w:val="false"/>
                <w:color w:val="334155"/>
                <w:sz w:val="19"/>
                <w:szCs w:val="19"/>
              </w:rPr>
              <w:t xml:space="preserve">8</w:t>
            </w:r>
          </w:p>
        </w:tc>
        <w:tc>
          <w:tcPr>
            <w:tcW w:type="dxa" w:w="468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334155"/>
                <w:sz w:val="19"/>
                <w:szCs w:val="19"/>
              </w:rPr>
              <w:t xml:space="preserve">DPP Compliance, Tariffs/Trade Wars, Cosmetics Safety Regulation, Green Claims Directive</w:t>
            </w:r>
          </w:p>
        </w:tc>
      </w:tr>
      <w:tr>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left"/>
            </w:pPr>
            <w:r>
              <w:rPr>
                <w:rFonts w:ascii="Arial" w:cs="Arial" w:eastAsia="Arial" w:hAnsi="Arial"/>
                <w:b/>
                <w:bCs/>
                <w:i w:val="false"/>
                <w:iCs w:val="false"/>
                <w:color w:val="334155"/>
                <w:sz w:val="19"/>
                <w:szCs w:val="19"/>
              </w:rPr>
              <w:t xml:space="preserve">Customer</w:t>
            </w:r>
          </w:p>
        </w:tc>
        <w:tc>
          <w:tcPr>
            <w:tcW w:type="dxa" w:w="15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i w:val="false"/>
                <w:iCs w:val="false"/>
                <w:color w:val="334155"/>
                <w:sz w:val="19"/>
                <w:szCs w:val="19"/>
              </w:rPr>
              <w:t xml:space="preserve">7</w:t>
            </w:r>
          </w:p>
        </w:tc>
        <w:tc>
          <w:tcPr>
            <w:tcW w:type="dxa" w:w="468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334155"/>
                <w:sz w:val="19"/>
                <w:szCs w:val="19"/>
              </w:rPr>
              <w:t xml:space="preserve">Retailer Private Label Push, Quick Commerce, Retail Media, Discounter Expansion</w:t>
            </w:r>
          </w:p>
        </w:tc>
      </w:tr>
      <w:tr>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left"/>
            </w:pPr>
            <w:r>
              <w:rPr>
                <w:rFonts w:ascii="Arial" w:cs="Arial" w:eastAsia="Arial" w:hAnsi="Arial"/>
                <w:b/>
                <w:bCs/>
                <w:i w:val="false"/>
                <w:iCs w:val="false"/>
                <w:color w:val="334155"/>
                <w:sz w:val="19"/>
                <w:szCs w:val="19"/>
              </w:rPr>
              <w:t xml:space="preserve">Competitive</w:t>
            </w:r>
          </w:p>
        </w:tc>
        <w:tc>
          <w:tcPr>
            <w:tcW w:type="dxa" w:w="15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i w:val="false"/>
                <w:iCs w:val="false"/>
                <w:color w:val="334155"/>
                <w:sz w:val="19"/>
                <w:szCs w:val="19"/>
              </w:rPr>
              <w:t xml:space="preserve">7</w:t>
            </w:r>
          </w:p>
        </w:tc>
        <w:tc>
          <w:tcPr>
            <w:tcW w:type="dxa" w:w="468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334155"/>
                <w:sz w:val="19"/>
                <w:szCs w:val="19"/>
              </w:rPr>
              <w:t xml:space="preserve">M&amp;A Consolidation, Direct-to-Consumer Growth, Private Label Quality Convergence</w:t>
            </w:r>
          </w:p>
        </w:tc>
      </w:tr>
    </w:tbl>
    <w:p>
      <w:pPr>
        <w:pStyle w:val="Heading2"/>
      </w:pPr>
      <w:r>
        <w:rPr>
          <w:rFonts w:ascii="Arial" w:cs="Arial" w:eastAsia="Arial" w:hAnsi="Arial"/>
        </w:rPr>
        <w:t xml:space="preserve">7.2 Source Credibility System</w:t>
      </w:r>
    </w:p>
    <w:p>
      <w:pPr>
        <w:spacing w:after="120" w:line="276"/>
      </w:pPr>
      <w:r>
        <w:rPr>
          <w:rFonts w:ascii="Arial" w:cs="Arial" w:eastAsia="Arial" w:hAnsi="Arial"/>
          <w:color w:val="334155"/>
          <w:sz w:val="21"/>
          <w:szCs w:val="21"/>
        </w:rPr>
        <w:t xml:space="preserve">All 220 sources across 55 trends are rated on a 9-tier credibility scale. This rating is displayed as color-coded badges in the War Room dashboard, ensuring users always know the evidence quality behind each trend score.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3280"/>
        <w:gridCol w:w="5280"/>
      </w:tblGrid>
      <w:tr>
        <w:tc>
          <w:tcPr>
            <w:tcW w:type="dxa" w:w="800"/>
            <w:tcBorders>
              <w:top w:val="single" w:color="CBD5E1" w:sz="1"/>
              <w:left w:val="single" w:color="CBD5E1" w:sz="1"/>
              <w:bottom w:val="single" w:color="CBD5E1" w:sz="1"/>
              <w:right w:val="single" w:color="CBD5E1" w:sz="1"/>
            </w:tcBorders>
            <w:shd w:fill="0F172A" w:val="clear"/>
            <w:tcMar>
              <w:top w:type="dxa" w:w="80"/>
              <w:left w:type="dxa" w:w="120"/>
              <w:bottom w:type="dxa" w:w="80"/>
              <w:right w:type="dxa" w:w="120"/>
            </w:tcMar>
            <w:vAlign w:val="center"/>
          </w:tcPr>
          <w:p>
            <w:pPr>
              <w:jc w:val="left"/>
            </w:pPr>
            <w:r>
              <w:rPr>
                <w:rFonts w:ascii="Arial" w:cs="Arial" w:eastAsia="Arial" w:hAnsi="Arial"/>
                <w:b/>
                <w:bCs/>
                <w:color w:val="FFFFFF"/>
                <w:sz w:val="19"/>
                <w:szCs w:val="19"/>
              </w:rPr>
              <w:t xml:space="preserve">Tier</w:t>
            </w:r>
          </w:p>
        </w:tc>
        <w:tc>
          <w:tcPr>
            <w:tcW w:type="dxa" w:w="3280"/>
            <w:tcBorders>
              <w:top w:val="single" w:color="CBD5E1" w:sz="1"/>
              <w:left w:val="single" w:color="CBD5E1" w:sz="1"/>
              <w:bottom w:val="single" w:color="CBD5E1" w:sz="1"/>
              <w:right w:val="single" w:color="CBD5E1" w:sz="1"/>
            </w:tcBorders>
            <w:shd w:fill="0F172A" w:val="clear"/>
            <w:tcMar>
              <w:top w:type="dxa" w:w="80"/>
              <w:left w:type="dxa" w:w="120"/>
              <w:bottom w:type="dxa" w:w="80"/>
              <w:right w:type="dxa" w:w="120"/>
            </w:tcMar>
            <w:vAlign w:val="center"/>
          </w:tcPr>
          <w:p>
            <w:pPr>
              <w:jc w:val="left"/>
            </w:pPr>
            <w:r>
              <w:rPr>
                <w:rFonts w:ascii="Arial" w:cs="Arial" w:eastAsia="Arial" w:hAnsi="Arial"/>
                <w:b/>
                <w:bCs/>
                <w:color w:val="FFFFFF"/>
                <w:sz w:val="19"/>
                <w:szCs w:val="19"/>
              </w:rPr>
              <w:t xml:space="preserve">Type</w:t>
            </w:r>
          </w:p>
        </w:tc>
        <w:tc>
          <w:tcPr>
            <w:tcW w:type="dxa" w:w="5280"/>
            <w:tcBorders>
              <w:top w:val="single" w:color="CBD5E1" w:sz="1"/>
              <w:left w:val="single" w:color="CBD5E1" w:sz="1"/>
              <w:bottom w:val="single" w:color="CBD5E1" w:sz="1"/>
              <w:right w:val="single" w:color="CBD5E1" w:sz="1"/>
            </w:tcBorders>
            <w:shd w:fill="0F172A" w:val="clear"/>
            <w:tcMar>
              <w:top w:type="dxa" w:w="80"/>
              <w:left w:type="dxa" w:w="120"/>
              <w:bottom w:type="dxa" w:w="80"/>
              <w:right w:type="dxa" w:w="120"/>
            </w:tcMar>
            <w:vAlign w:val="center"/>
          </w:tcPr>
          <w:p>
            <w:pPr>
              <w:jc w:val="left"/>
            </w:pPr>
            <w:r>
              <w:rPr>
                <w:rFonts w:ascii="Arial" w:cs="Arial" w:eastAsia="Arial" w:hAnsi="Arial"/>
                <w:b/>
                <w:bCs/>
                <w:color w:val="FFFFFF"/>
                <w:sz w:val="19"/>
                <w:szCs w:val="19"/>
              </w:rPr>
              <w:t xml:space="preserve">Example</w:t>
            </w:r>
          </w:p>
        </w:tc>
      </w:tr>
      <w:tr>
        <w:tc>
          <w:tcPr>
            <w:tcW w:type="dxa" w:w="8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center"/>
            </w:pPr>
            <w:r>
              <w:rPr>
                <w:rFonts w:ascii="Arial" w:cs="Arial" w:eastAsia="Arial" w:hAnsi="Arial"/>
                <w:b/>
                <w:bCs/>
                <w:i w:val="false"/>
                <w:iCs w:val="false"/>
                <w:color w:val="334155"/>
                <w:sz w:val="19"/>
                <w:szCs w:val="19"/>
              </w:rPr>
              <w:t xml:space="preserve">S</w:t>
            </w:r>
          </w:p>
        </w:tc>
        <w:tc>
          <w:tcPr>
            <w:tcW w:type="dxa" w:w="328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334155"/>
                <w:sz w:val="19"/>
                <w:szCs w:val="19"/>
              </w:rPr>
              <w:t xml:space="preserve">Official regulatory / legislative</w:t>
            </w:r>
          </w:p>
        </w:tc>
        <w:tc>
          <w:tcPr>
            <w:tcW w:type="dxa" w:w="528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334155"/>
                <w:sz w:val="19"/>
                <w:szCs w:val="19"/>
              </w:rPr>
              <w:t xml:space="preserve">EU Official Journal, ECHA regulatory opinions</w:t>
            </w:r>
          </w:p>
        </w:tc>
      </w:tr>
      <w:tr>
        <w:tc>
          <w:tcPr>
            <w:tcW w:type="dxa" w:w="8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center"/>
            </w:pPr>
            <w:r>
              <w:rPr>
                <w:rFonts w:ascii="Arial" w:cs="Arial" w:eastAsia="Arial" w:hAnsi="Arial"/>
                <w:b/>
                <w:bCs/>
                <w:i w:val="false"/>
                <w:iCs w:val="false"/>
                <w:color w:val="334155"/>
                <w:sz w:val="19"/>
                <w:szCs w:val="19"/>
              </w:rPr>
              <w:t xml:space="preserve">A</w:t>
            </w:r>
          </w:p>
        </w:tc>
        <w:tc>
          <w:tcPr>
            <w:tcW w:type="dxa" w:w="328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334155"/>
                <w:sz w:val="19"/>
                <w:szCs w:val="19"/>
              </w:rPr>
              <w:t xml:space="preserve">Tier-1 consulting with primary data</w:t>
            </w:r>
          </w:p>
        </w:tc>
        <w:tc>
          <w:tcPr>
            <w:tcW w:type="dxa" w:w="528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334155"/>
                <w:sz w:val="19"/>
                <w:szCs w:val="19"/>
              </w:rPr>
              <w:t xml:space="preserve">Bain, McKinsey, BCG primary research reports</w:t>
            </w:r>
          </w:p>
        </w:tc>
      </w:tr>
      <w:tr>
        <w:tc>
          <w:tcPr>
            <w:tcW w:type="dxa" w:w="8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center"/>
            </w:pPr>
            <w:r>
              <w:rPr>
                <w:rFonts w:ascii="Arial" w:cs="Arial" w:eastAsia="Arial" w:hAnsi="Arial"/>
                <w:b/>
                <w:bCs/>
                <w:i w:val="false"/>
                <w:iCs w:val="false"/>
                <w:color w:val="334155"/>
                <w:sz w:val="19"/>
                <w:szCs w:val="19"/>
              </w:rPr>
              <w:t xml:space="preserve">A-</w:t>
            </w:r>
          </w:p>
        </w:tc>
        <w:tc>
          <w:tcPr>
            <w:tcW w:type="dxa" w:w="328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334155"/>
                <w:sz w:val="19"/>
                <w:szCs w:val="19"/>
              </w:rPr>
              <w:t xml:space="preserve">Investment bank / Big-4 analyst</w:t>
            </w:r>
          </w:p>
        </w:tc>
        <w:tc>
          <w:tcPr>
            <w:tcW w:type="dxa" w:w="528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334155"/>
                <w:sz w:val="19"/>
                <w:szCs w:val="19"/>
              </w:rPr>
              <w:t xml:space="preserve">Goldman Sachs, Deloitte sector analysis</w:t>
            </w:r>
          </w:p>
        </w:tc>
      </w:tr>
      <w:tr>
        <w:tc>
          <w:tcPr>
            <w:tcW w:type="dxa" w:w="8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center"/>
            </w:pPr>
            <w:r>
              <w:rPr>
                <w:rFonts w:ascii="Arial" w:cs="Arial" w:eastAsia="Arial" w:hAnsi="Arial"/>
                <w:b/>
                <w:bCs/>
                <w:i w:val="false"/>
                <w:iCs w:val="false"/>
                <w:color w:val="334155"/>
                <w:sz w:val="19"/>
                <w:szCs w:val="19"/>
              </w:rPr>
              <w:t xml:space="preserve">B+</w:t>
            </w:r>
          </w:p>
        </w:tc>
        <w:tc>
          <w:tcPr>
            <w:tcW w:type="dxa" w:w="328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334155"/>
                <w:sz w:val="19"/>
                <w:szCs w:val="19"/>
              </w:rPr>
              <w:t xml:space="preserve">Specialist industry analyst</w:t>
            </w:r>
          </w:p>
        </w:tc>
        <w:tc>
          <w:tcPr>
            <w:tcW w:type="dxa" w:w="528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334155"/>
                <w:sz w:val="19"/>
                <w:szCs w:val="19"/>
              </w:rPr>
              <w:t xml:space="preserve">Euromonitor, Circana, NielsenIQ</w:t>
            </w:r>
          </w:p>
        </w:tc>
      </w:tr>
      <w:tr>
        <w:tc>
          <w:tcPr>
            <w:tcW w:type="dxa" w:w="8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center"/>
            </w:pPr>
            <w:r>
              <w:rPr>
                <w:rFonts w:ascii="Arial" w:cs="Arial" w:eastAsia="Arial" w:hAnsi="Arial"/>
                <w:b/>
                <w:bCs/>
                <w:i w:val="false"/>
                <w:iCs w:val="false"/>
                <w:color w:val="334155"/>
                <w:sz w:val="19"/>
                <w:szCs w:val="19"/>
              </w:rPr>
              <w:t xml:space="preserve">B</w:t>
            </w:r>
          </w:p>
        </w:tc>
        <w:tc>
          <w:tcPr>
            <w:tcW w:type="dxa" w:w="328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334155"/>
                <w:sz w:val="19"/>
                <w:szCs w:val="19"/>
              </w:rPr>
              <w:t xml:space="preserve">Trade press / industry media</w:t>
            </w:r>
          </w:p>
        </w:tc>
        <w:tc>
          <w:tcPr>
            <w:tcW w:type="dxa" w:w="528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334155"/>
                <w:sz w:val="19"/>
                <w:szCs w:val="19"/>
              </w:rPr>
              <w:t xml:space="preserve">CosmeticsDesign, RetailDive, PackagingDive</w:t>
            </w:r>
          </w:p>
        </w:tc>
      </w:tr>
      <w:tr>
        <w:tc>
          <w:tcPr>
            <w:tcW w:type="dxa" w:w="8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center"/>
            </w:pPr>
            <w:r>
              <w:rPr>
                <w:rFonts w:ascii="Arial" w:cs="Arial" w:eastAsia="Arial" w:hAnsi="Arial"/>
                <w:b/>
                <w:bCs/>
                <w:i w:val="false"/>
                <w:iCs w:val="false"/>
                <w:color w:val="334155"/>
                <w:sz w:val="19"/>
                <w:szCs w:val="19"/>
              </w:rPr>
              <w:t xml:space="preserve">B-</w:t>
            </w:r>
          </w:p>
        </w:tc>
        <w:tc>
          <w:tcPr>
            <w:tcW w:type="dxa" w:w="328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334155"/>
                <w:sz w:val="19"/>
                <w:szCs w:val="19"/>
              </w:rPr>
              <w:t xml:space="preserve">Company / PR source</w:t>
            </w:r>
          </w:p>
        </w:tc>
        <w:tc>
          <w:tcPr>
            <w:tcW w:type="dxa" w:w="528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334155"/>
                <w:sz w:val="19"/>
                <w:szCs w:val="19"/>
              </w:rPr>
              <w:t xml:space="preserve">Company annual reports, press releases</w:t>
            </w:r>
          </w:p>
        </w:tc>
      </w:tr>
      <w:tr>
        <w:tc>
          <w:tcPr>
            <w:tcW w:type="dxa" w:w="8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center"/>
            </w:pPr>
            <w:r>
              <w:rPr>
                <w:rFonts w:ascii="Arial" w:cs="Arial" w:eastAsia="Arial" w:hAnsi="Arial"/>
                <w:b/>
                <w:bCs/>
                <w:i w:val="false"/>
                <w:iCs w:val="false"/>
                <w:color w:val="334155"/>
                <w:sz w:val="19"/>
                <w:szCs w:val="19"/>
              </w:rPr>
              <w:t xml:space="preserve">C</w:t>
            </w:r>
          </w:p>
        </w:tc>
        <w:tc>
          <w:tcPr>
            <w:tcW w:type="dxa" w:w="328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334155"/>
                <w:sz w:val="19"/>
                <w:szCs w:val="19"/>
              </w:rPr>
              <w:t xml:space="preserve">General press</w:t>
            </w:r>
          </w:p>
        </w:tc>
        <w:tc>
          <w:tcPr>
            <w:tcW w:type="dxa" w:w="528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334155"/>
                <w:sz w:val="19"/>
                <w:szCs w:val="19"/>
              </w:rPr>
              <w:t xml:space="preserve">Financial Times, Reuters, Bloomberg</w:t>
            </w:r>
          </w:p>
        </w:tc>
      </w:tr>
      <w:tr>
        <w:tc>
          <w:tcPr>
            <w:tcW w:type="dxa" w:w="8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center"/>
            </w:pPr>
            <w:r>
              <w:rPr>
                <w:rFonts w:ascii="Arial" w:cs="Arial" w:eastAsia="Arial" w:hAnsi="Arial"/>
                <w:b/>
                <w:bCs/>
                <w:i w:val="false"/>
                <w:iCs w:val="false"/>
                <w:color w:val="334155"/>
                <w:sz w:val="19"/>
                <w:szCs w:val="19"/>
              </w:rPr>
              <w:t xml:space="preserve">D</w:t>
            </w:r>
          </w:p>
        </w:tc>
        <w:tc>
          <w:tcPr>
            <w:tcW w:type="dxa" w:w="328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334155"/>
                <w:sz w:val="19"/>
                <w:szCs w:val="19"/>
              </w:rPr>
              <w:t xml:space="preserve">Aggregator / blog</w:t>
            </w:r>
          </w:p>
        </w:tc>
        <w:tc>
          <w:tcPr>
            <w:tcW w:type="dxa" w:w="528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334155"/>
                <w:sz w:val="19"/>
                <w:szCs w:val="19"/>
              </w:rPr>
              <w:t xml:space="preserve">Industry blogs, news aggregators</w:t>
            </w:r>
          </w:p>
        </w:tc>
      </w:tr>
      <w:tr>
        <w:tc>
          <w:tcPr>
            <w:tcW w:type="dxa" w:w="8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center"/>
            </w:pPr>
            <w:r>
              <w:rPr>
                <w:rFonts w:ascii="Arial" w:cs="Arial" w:eastAsia="Arial" w:hAnsi="Arial"/>
                <w:b/>
                <w:bCs/>
                <w:i w:val="false"/>
                <w:iCs w:val="false"/>
                <w:color w:val="334155"/>
                <w:sz w:val="19"/>
                <w:szCs w:val="19"/>
              </w:rPr>
              <w:t xml:space="preserve">E</w:t>
            </w:r>
          </w:p>
        </w:tc>
        <w:tc>
          <w:tcPr>
            <w:tcW w:type="dxa" w:w="328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334155"/>
                <w:sz w:val="19"/>
                <w:szCs w:val="19"/>
              </w:rPr>
              <w:t xml:space="preserve">Social media / unverified</w:t>
            </w:r>
          </w:p>
        </w:tc>
        <w:tc>
          <w:tcPr>
            <w:tcW w:type="dxa" w:w="528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334155"/>
                <w:sz w:val="19"/>
                <w:szCs w:val="19"/>
              </w:rPr>
              <w:t xml:space="preserve">Weak signal only; never cited without B+ corroboration</w:t>
            </w:r>
          </w:p>
        </w:tc>
      </w:tr>
    </w:tbl>
    <w:p>
      <w:pPr>
        <w:pStyle w:val="Heading2"/>
      </w:pPr>
      <w:r>
        <w:rPr>
          <w:rFonts w:ascii="Arial" w:cs="Arial" w:eastAsia="Arial" w:hAnsi="Arial"/>
        </w:rPr>
        <w:t xml:space="preserve">7.3 External Data APIs</w:t>
      </w:r>
    </w:p>
    <w:p>
      <w:pPr>
        <w:spacing w:after="120" w:line="276"/>
      </w:pPr>
      <w:r>
        <w:rPr>
          <w:rFonts w:ascii="Arial" w:cs="Arial" w:eastAsia="Arial" w:hAnsi="Arial"/>
          <w:color w:val="334155"/>
          <w:sz w:val="21"/>
          <w:szCs w:val="21"/>
        </w:rPr>
        <w:t xml:space="preserve">PRISM integrates 19 free external APIs across 6 categories: news and trend intelligence (GDELT, GNews, CurrentsAPI, 12 FMCG RSS feeds), regulatory monitoring (ECHA, EUR-Lex, EU Safety Gate), competitive intelligence (SEC EDGAR, UK Companies House, EPO Patents), consumer behavior (Google Trends, Reddit, YouTube Data), macroeconomic data (World Bank, IMF, FRED, Open-Meteo), and academic research (Semantic Scholar, OpenAlex). Total running cost: zero.</w:t>
      </w:r>
    </w:p>
    <w:p>
      <w:r>
        <w:br w:type="page"/>
      </w:r>
    </w:p>
    <w:p>
      <w:pPr>
        <w:pStyle w:val="Heading1"/>
      </w:pPr>
      <w:r>
        <w:rPr>
          <w:rFonts w:ascii="Arial" w:cs="Arial" w:eastAsia="Arial" w:hAnsi="Arial"/>
        </w:rPr>
        <w:t xml:space="preserve">8. The AI Layer: Augmentation, Not Automation</w:t>
      </w:r>
    </w:p>
    <w:p>
      <w:pPr>
        <w:spacing w:after="120" w:line="276"/>
      </w:pPr>
      <w:r>
        <w:rPr>
          <w:rFonts w:ascii="Arial" w:cs="Arial" w:eastAsia="Arial" w:hAnsi="Arial"/>
          <w:color w:val="334155"/>
          <w:sz w:val="21"/>
          <w:szCs w:val="21"/>
        </w:rPr>
        <w:t xml:space="preserve">PRISM uses large language models (LLMs) for four specific tasks. In every case, AI suggestions enter a human review queue — they are never automatically applied.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800"/>
        <w:gridCol w:w="2360"/>
      </w:tblGrid>
      <w:tr>
        <w:tc>
          <w:tcPr>
            <w:tcW w:type="dxa" w:w="2200"/>
            <w:tcBorders>
              <w:top w:val="single" w:color="CBD5E1" w:sz="1"/>
              <w:left w:val="single" w:color="CBD5E1" w:sz="1"/>
              <w:bottom w:val="single" w:color="CBD5E1" w:sz="1"/>
              <w:right w:val="single" w:color="CBD5E1" w:sz="1"/>
            </w:tcBorders>
            <w:shd w:fill="0F172A" w:val="clear"/>
            <w:tcMar>
              <w:top w:type="dxa" w:w="80"/>
              <w:left w:type="dxa" w:w="120"/>
              <w:bottom w:type="dxa" w:w="80"/>
              <w:right w:type="dxa" w:w="120"/>
            </w:tcMar>
            <w:vAlign w:val="center"/>
          </w:tcPr>
          <w:p>
            <w:pPr>
              <w:jc w:val="left"/>
            </w:pPr>
            <w:r>
              <w:rPr>
                <w:rFonts w:ascii="Arial" w:cs="Arial" w:eastAsia="Arial" w:hAnsi="Arial"/>
                <w:b/>
                <w:bCs/>
                <w:color w:val="FFFFFF"/>
                <w:sz w:val="19"/>
                <w:szCs w:val="19"/>
              </w:rPr>
              <w:t xml:space="preserve">AI Function</w:t>
            </w:r>
          </w:p>
        </w:tc>
        <w:tc>
          <w:tcPr>
            <w:tcW w:type="dxa" w:w="4800"/>
            <w:tcBorders>
              <w:top w:val="single" w:color="CBD5E1" w:sz="1"/>
              <w:left w:val="single" w:color="CBD5E1" w:sz="1"/>
              <w:bottom w:val="single" w:color="CBD5E1" w:sz="1"/>
              <w:right w:val="single" w:color="CBD5E1" w:sz="1"/>
            </w:tcBorders>
            <w:shd w:fill="0F172A" w:val="clear"/>
            <w:tcMar>
              <w:top w:type="dxa" w:w="80"/>
              <w:left w:type="dxa" w:w="120"/>
              <w:bottom w:type="dxa" w:w="80"/>
              <w:right w:type="dxa" w:w="120"/>
            </w:tcMar>
            <w:vAlign w:val="center"/>
          </w:tcPr>
          <w:p>
            <w:pPr>
              <w:jc w:val="left"/>
            </w:pPr>
            <w:r>
              <w:rPr>
                <w:rFonts w:ascii="Arial" w:cs="Arial" w:eastAsia="Arial" w:hAnsi="Arial"/>
                <w:b/>
                <w:bCs/>
                <w:color w:val="FFFFFF"/>
                <w:sz w:val="19"/>
                <w:szCs w:val="19"/>
              </w:rPr>
              <w:t xml:space="preserve">What It Does</w:t>
            </w:r>
          </w:p>
        </w:tc>
        <w:tc>
          <w:tcPr>
            <w:tcW w:type="dxa" w:w="2360"/>
            <w:tcBorders>
              <w:top w:val="single" w:color="CBD5E1" w:sz="1"/>
              <w:left w:val="single" w:color="CBD5E1" w:sz="1"/>
              <w:bottom w:val="single" w:color="CBD5E1" w:sz="1"/>
              <w:right w:val="single" w:color="CBD5E1" w:sz="1"/>
            </w:tcBorders>
            <w:shd w:fill="0F172A" w:val="clear"/>
            <w:tcMar>
              <w:top w:type="dxa" w:w="80"/>
              <w:left w:type="dxa" w:w="120"/>
              <w:bottom w:type="dxa" w:w="80"/>
              <w:right w:type="dxa" w:w="120"/>
            </w:tcMar>
            <w:vAlign w:val="center"/>
          </w:tcPr>
          <w:p>
            <w:pPr>
              <w:jc w:val="left"/>
            </w:pPr>
            <w:r>
              <w:rPr>
                <w:rFonts w:ascii="Arial" w:cs="Arial" w:eastAsia="Arial" w:hAnsi="Arial"/>
                <w:b/>
                <w:bCs/>
                <w:color w:val="FFFFFF"/>
                <w:sz w:val="19"/>
                <w:szCs w:val="19"/>
              </w:rPr>
              <w:t xml:space="preserve">Human Gate</w:t>
            </w:r>
          </w:p>
        </w:tc>
      </w:tr>
      <w:tr>
        <w:tc>
          <w:tcPr>
            <w:tcW w:type="dxa" w:w="2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left"/>
            </w:pPr>
            <w:r>
              <w:rPr>
                <w:rFonts w:ascii="Arial" w:cs="Arial" w:eastAsia="Arial" w:hAnsi="Arial"/>
                <w:b/>
                <w:bCs/>
                <w:i w:val="false"/>
                <w:iCs w:val="false"/>
                <w:color w:val="334155"/>
                <w:sz w:val="19"/>
                <w:szCs w:val="19"/>
              </w:rPr>
              <w:t xml:space="preserve">Trend Scanner</w:t>
            </w:r>
          </w:p>
        </w:tc>
        <w:tc>
          <w:tcPr>
            <w:tcW w:type="dxa" w:w="48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334155"/>
                <w:sz w:val="19"/>
                <w:szCs w:val="19"/>
              </w:rPr>
              <w:t xml:space="preserve">Monitors news, regulatory, and patent databases for emerging signals relevant to the 55 trends</w:t>
            </w:r>
          </w:p>
        </w:tc>
        <w:tc>
          <w:tcPr>
            <w:tcW w:type="dxa" w:w="23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334155"/>
                <w:sz w:val="19"/>
                <w:szCs w:val="19"/>
              </w:rPr>
              <w:t xml:space="preserve">Review queue</w:t>
            </w:r>
          </w:p>
        </w:tc>
      </w:tr>
      <w:tr>
        <w:tc>
          <w:tcPr>
            <w:tcW w:type="dxa" w:w="2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left"/>
            </w:pPr>
            <w:r>
              <w:rPr>
                <w:rFonts w:ascii="Arial" w:cs="Arial" w:eastAsia="Arial" w:hAnsi="Arial"/>
                <w:b/>
                <w:bCs/>
                <w:i w:val="false"/>
                <w:iCs w:val="false"/>
                <w:color w:val="334155"/>
                <w:sz w:val="19"/>
                <w:szCs w:val="19"/>
              </w:rPr>
              <w:t xml:space="preserve">Score Calibrator</w:t>
            </w:r>
          </w:p>
        </w:tc>
        <w:tc>
          <w:tcPr>
            <w:tcW w:type="dxa" w:w="48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334155"/>
                <w:sz w:val="19"/>
                <w:szCs w:val="19"/>
              </w:rPr>
              <w:t xml:space="preserve">Cross-validates expert scores for internal consistency and benchmarks against Google Trends</w:t>
            </w:r>
          </w:p>
        </w:tc>
        <w:tc>
          <w:tcPr>
            <w:tcW w:type="dxa" w:w="23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334155"/>
                <w:sz w:val="19"/>
                <w:szCs w:val="19"/>
              </w:rPr>
              <w:t xml:space="preserve">Override requires documented rationale</w:t>
            </w:r>
          </w:p>
        </w:tc>
      </w:tr>
      <w:tr>
        <w:tc>
          <w:tcPr>
            <w:tcW w:type="dxa" w:w="2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left"/>
            </w:pPr>
            <w:r>
              <w:rPr>
                <w:rFonts w:ascii="Arial" w:cs="Arial" w:eastAsia="Arial" w:hAnsi="Arial"/>
                <w:b/>
                <w:bCs/>
                <w:i w:val="false"/>
                <w:iCs w:val="false"/>
                <w:color w:val="334155"/>
                <w:sz w:val="19"/>
                <w:szCs w:val="19"/>
              </w:rPr>
              <w:t xml:space="preserve">Scenario Narrator</w:t>
            </w:r>
          </w:p>
        </w:tc>
        <w:tc>
          <w:tcPr>
            <w:tcW w:type="dxa" w:w="48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334155"/>
                <w:sz w:val="19"/>
                <w:szCs w:val="19"/>
              </w:rPr>
              <w:t xml:space="preserve">Converts the Shift Matrix into executive-language narratives with causal explanations</w:t>
            </w:r>
          </w:p>
        </w:tc>
        <w:tc>
          <w:tcPr>
            <w:tcW w:type="dxa" w:w="23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334155"/>
                <w:sz w:val="19"/>
                <w:szCs w:val="19"/>
              </w:rPr>
              <w:t xml:space="preserve">Review before distribution</w:t>
            </w:r>
          </w:p>
        </w:tc>
      </w:tr>
      <w:tr>
        <w:tc>
          <w:tcPr>
            <w:tcW w:type="dxa" w:w="2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left"/>
            </w:pPr>
            <w:r>
              <w:rPr>
                <w:rFonts w:ascii="Arial" w:cs="Arial" w:eastAsia="Arial" w:hAnsi="Arial"/>
                <w:b/>
                <w:bCs/>
                <w:i w:val="false"/>
                <w:iCs w:val="false"/>
                <w:color w:val="334155"/>
                <w:sz w:val="19"/>
                <w:szCs w:val="19"/>
              </w:rPr>
              <w:t xml:space="preserve">Natural Language Chat</w:t>
            </w:r>
          </w:p>
        </w:tc>
        <w:tc>
          <w:tcPr>
            <w:tcW w:type="dxa" w:w="48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334155"/>
                <w:sz w:val="19"/>
                <w:szCs w:val="19"/>
              </w:rPr>
              <w:t xml:space="preserve">Answers conversational queries about model outputs and methodology</w:t>
            </w:r>
          </w:p>
        </w:tc>
        <w:tc>
          <w:tcPr>
            <w:tcW w:type="dxa" w:w="23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334155"/>
                <w:sz w:val="19"/>
                <w:szCs w:val="19"/>
              </w:rPr>
              <w:t xml:space="preserve">Informational only</w:t>
            </w:r>
          </w:p>
        </w:tc>
      </w:tr>
    </w:tbl>
    <w:p>
      <w:pPr>
        <w:spacing w:after="0" w:before="120"/>
      </w:pPr>
    </w:p>
    <w:p>
      <w:pPr>
        <w:spacing w:after="120" w:before="240"/>
      </w:pPr>
      <w:r>
        <w:rPr>
          <w:rFonts w:ascii="Arial" w:cs="Arial" w:eastAsia="Arial" w:hAnsi="Arial"/>
          <w:b/>
          <w:bCs/>
          <w:color w:val="0F172A"/>
          <w:sz w:val="24"/>
          <w:szCs w:val="24"/>
        </w:rPr>
        <w:t xml:space="preserve">Provider-Agnostic Architecture</w:t>
      </w:r>
    </w:p>
    <w:p>
      <w:pPr>
        <w:spacing w:after="120" w:line="276"/>
      </w:pPr>
      <w:r>
        <w:rPr>
          <w:rFonts w:ascii="Arial" w:cs="Arial" w:eastAsia="Arial" w:hAnsi="Arial"/>
          <w:color w:val="334155"/>
          <w:sz w:val="21"/>
          <w:szCs w:val="21"/>
        </w:rPr>
        <w:t xml:space="preserve">The AI layer is built on a provider-agnostic interface. For the MVP, it uses the Claude API (Anthropic). For production deployment, it switches to Azure OpenAI within Henkel’s Microsoft tenant via a single configuration change — requiring zero additional InfoSec approval as it rides on the existing Copilot authorization. The switch requires no code changes.</w:t>
      </w:r>
    </w:p>
    <w:p>
      <w:pPr>
        <w:spacing w:after="120" w:before="240"/>
      </w:pPr>
      <w:r>
        <w:rPr>
          <w:rFonts w:ascii="Arial" w:cs="Arial" w:eastAsia="Arial" w:hAnsi="Arial"/>
          <w:b/>
          <w:bCs/>
          <w:color w:val="0F172A"/>
          <w:sz w:val="24"/>
          <w:szCs w:val="24"/>
        </w:rPr>
        <w:t xml:space="preserve">What AI Cannot Do in PRISM</w:t>
      </w:r>
    </w:p>
    <w:p>
      <w:pPr>
        <w:pStyle w:val="ListParagraph"/>
        <w:numPr>
          <w:ilvl w:val="0"/>
          <w:numId w:val="2"/>
        </w:numPr>
        <w:spacing w:after="80" w:line="276"/>
      </w:pPr>
      <w:r>
        <w:rPr>
          <w:rFonts w:ascii="Arial" w:cs="Arial" w:eastAsia="Arial" w:hAnsi="Arial"/>
          <w:color w:val="334155"/>
          <w:sz w:val="21"/>
          <w:szCs w:val="21"/>
        </w:rPr>
        <w:t xml:space="preserve">AI cannot override expert scores without documented human approval</w:t>
      </w:r>
    </w:p>
    <w:p>
      <w:pPr>
        <w:pStyle w:val="ListParagraph"/>
        <w:numPr>
          <w:ilvl w:val="0"/>
          <w:numId w:val="2"/>
        </w:numPr>
        <w:spacing w:after="80" w:line="276"/>
      </w:pPr>
      <w:r>
        <w:rPr>
          <w:rFonts w:ascii="Arial" w:cs="Arial" w:eastAsia="Arial" w:hAnsi="Arial"/>
          <w:color w:val="334155"/>
          <w:sz w:val="21"/>
          <w:szCs w:val="21"/>
        </w:rPr>
        <w:t xml:space="preserve">AI cannot access or process financial data (GP1, revenue, margin)</w:t>
      </w:r>
    </w:p>
    <w:p>
      <w:pPr>
        <w:pStyle w:val="ListParagraph"/>
        <w:numPr>
          <w:ilvl w:val="0"/>
          <w:numId w:val="2"/>
        </w:numPr>
        <w:spacing w:after="80" w:line="276"/>
      </w:pPr>
      <w:r>
        <w:rPr>
          <w:rFonts w:ascii="Arial" w:cs="Arial" w:eastAsia="Arial" w:hAnsi="Arial"/>
          <w:color w:val="334155"/>
          <w:sz w:val="21"/>
          <w:szCs w:val="21"/>
        </w:rPr>
        <w:t xml:space="preserve">AI cannot modify model parameters (attenuation, DAG weights, copula settings)</w:t>
      </w:r>
    </w:p>
    <w:p>
      <w:pPr>
        <w:pStyle w:val="ListParagraph"/>
        <w:numPr>
          <w:ilvl w:val="0"/>
          <w:numId w:val="2"/>
        </w:numPr>
        <w:spacing w:after="120" w:line="276"/>
      </w:pPr>
      <w:r>
        <w:rPr>
          <w:rFonts w:ascii="Arial" w:cs="Arial" w:eastAsia="Arial" w:hAnsi="Arial"/>
          <w:color w:val="334155"/>
          <w:sz w:val="21"/>
          <w:szCs w:val="21"/>
        </w:rPr>
        <w:t xml:space="preserve">AI cannot make allocation decisions — the optimizer is mathematical, not AI-driven</w:t>
      </w:r>
    </w:p>
    <w:p>
      <w:r>
        <w:br w:type="page"/>
      </w:r>
    </w:p>
    <w:p>
      <w:pPr>
        <w:pStyle w:val="Heading1"/>
      </w:pPr>
      <w:r>
        <w:rPr>
          <w:rFonts w:ascii="Arial" w:cs="Arial" w:eastAsia="Arial" w:hAnsi="Arial"/>
        </w:rPr>
        <w:t xml:space="preserve">9. Governance &amp; Organizational Embedding</w:t>
      </w:r>
    </w:p>
    <w:p>
      <w:pPr>
        <w:spacing w:after="120" w:line="276"/>
      </w:pPr>
      <w:r>
        <w:rPr>
          <w:rFonts w:ascii="Arial" w:cs="Arial" w:eastAsia="Arial" w:hAnsi="Arial"/>
          <w:color w:val="334155"/>
          <w:sz w:val="21"/>
          <w:szCs w:val="21"/>
        </w:rPr>
        <w:t xml:space="preserve">Tools that don’t embed into decision processes become shelfware within 18 months. PRISM is designed for integration into Henkel’s annual planning cycle.</w:t>
      </w:r>
    </w:p>
    <w:p>
      <w:pPr>
        <w:spacing w:after="120" w:before="240"/>
      </w:pPr>
      <w:r>
        <w:rPr>
          <w:rFonts w:ascii="Arial" w:cs="Arial" w:eastAsia="Arial" w:hAnsi="Arial"/>
          <w:b/>
          <w:bCs/>
          <w:color w:val="0F172A"/>
          <w:sz w:val="24"/>
          <w:szCs w:val="24"/>
        </w:rPr>
        <w:t xml:space="preserve">Annual Cycle Integration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800"/>
        <w:gridCol w:w="4760"/>
      </w:tblGrid>
      <w:tr>
        <w:tc>
          <w:tcPr>
            <w:tcW w:type="dxa" w:w="1800"/>
            <w:tcBorders>
              <w:top w:val="single" w:color="CBD5E1" w:sz="1"/>
              <w:left w:val="single" w:color="CBD5E1" w:sz="1"/>
              <w:bottom w:val="single" w:color="CBD5E1" w:sz="1"/>
              <w:right w:val="single" w:color="CBD5E1" w:sz="1"/>
            </w:tcBorders>
            <w:shd w:fill="0F172A" w:val="clear"/>
            <w:tcMar>
              <w:top w:type="dxa" w:w="80"/>
              <w:left w:type="dxa" w:w="120"/>
              <w:bottom w:type="dxa" w:w="80"/>
              <w:right w:type="dxa" w:w="120"/>
            </w:tcMar>
            <w:vAlign w:val="center"/>
          </w:tcPr>
          <w:p>
            <w:pPr>
              <w:jc w:val="left"/>
            </w:pPr>
            <w:r>
              <w:rPr>
                <w:rFonts w:ascii="Arial" w:cs="Arial" w:eastAsia="Arial" w:hAnsi="Arial"/>
                <w:b/>
                <w:bCs/>
                <w:color w:val="FFFFFF"/>
                <w:sz w:val="19"/>
                <w:szCs w:val="19"/>
              </w:rPr>
              <w:t xml:space="preserve">Quarter</w:t>
            </w:r>
          </w:p>
        </w:tc>
        <w:tc>
          <w:tcPr>
            <w:tcW w:type="dxa" w:w="2800"/>
            <w:tcBorders>
              <w:top w:val="single" w:color="CBD5E1" w:sz="1"/>
              <w:left w:val="single" w:color="CBD5E1" w:sz="1"/>
              <w:bottom w:val="single" w:color="CBD5E1" w:sz="1"/>
              <w:right w:val="single" w:color="CBD5E1" w:sz="1"/>
            </w:tcBorders>
            <w:shd w:fill="0F172A" w:val="clear"/>
            <w:tcMar>
              <w:top w:type="dxa" w:w="80"/>
              <w:left w:type="dxa" w:w="120"/>
              <w:bottom w:type="dxa" w:w="80"/>
              <w:right w:type="dxa" w:w="120"/>
            </w:tcMar>
            <w:vAlign w:val="center"/>
          </w:tcPr>
          <w:p>
            <w:pPr>
              <w:jc w:val="left"/>
            </w:pPr>
            <w:r>
              <w:rPr>
                <w:rFonts w:ascii="Arial" w:cs="Arial" w:eastAsia="Arial" w:hAnsi="Arial"/>
                <w:b/>
                <w:bCs/>
                <w:color w:val="FFFFFF"/>
                <w:sz w:val="19"/>
                <w:szCs w:val="19"/>
              </w:rPr>
              <w:t xml:space="preserve">Phase</w:t>
            </w:r>
          </w:p>
        </w:tc>
        <w:tc>
          <w:tcPr>
            <w:tcW w:type="dxa" w:w="4760"/>
            <w:tcBorders>
              <w:top w:val="single" w:color="CBD5E1" w:sz="1"/>
              <w:left w:val="single" w:color="CBD5E1" w:sz="1"/>
              <w:bottom w:val="single" w:color="CBD5E1" w:sz="1"/>
              <w:right w:val="single" w:color="CBD5E1" w:sz="1"/>
            </w:tcBorders>
            <w:shd w:fill="0F172A" w:val="clear"/>
            <w:tcMar>
              <w:top w:type="dxa" w:w="80"/>
              <w:left w:type="dxa" w:w="120"/>
              <w:bottom w:type="dxa" w:w="80"/>
              <w:right w:type="dxa" w:w="120"/>
            </w:tcMar>
            <w:vAlign w:val="center"/>
          </w:tcPr>
          <w:p>
            <w:pPr>
              <w:jc w:val="left"/>
            </w:pPr>
            <w:r>
              <w:rPr>
                <w:rFonts w:ascii="Arial" w:cs="Arial" w:eastAsia="Arial" w:hAnsi="Arial"/>
                <w:b/>
                <w:bCs/>
                <w:color w:val="FFFFFF"/>
                <w:sz w:val="19"/>
                <w:szCs w:val="19"/>
              </w:rPr>
              <w:t xml:space="preserve">Key Activities</w:t>
            </w:r>
          </w:p>
        </w:tc>
      </w:tr>
      <w:tr>
        <w:tc>
          <w:tcPr>
            <w:tcW w:type="dxa" w:w="18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center"/>
            </w:pPr>
            <w:r>
              <w:rPr>
                <w:rFonts w:ascii="Arial" w:cs="Arial" w:eastAsia="Arial" w:hAnsi="Arial"/>
                <w:b/>
                <w:bCs/>
                <w:i w:val="false"/>
                <w:iCs w:val="false"/>
                <w:color w:val="334155"/>
                <w:sz w:val="19"/>
                <w:szCs w:val="19"/>
              </w:rPr>
              <w:t xml:space="preserve">Q1</w:t>
            </w:r>
          </w:p>
        </w:tc>
        <w:tc>
          <w:tcPr>
            <w:tcW w:type="dxa" w:w="28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left"/>
            </w:pPr>
            <w:r>
              <w:rPr>
                <w:rFonts w:ascii="Arial" w:cs="Arial" w:eastAsia="Arial" w:hAnsi="Arial"/>
                <w:b/>
                <w:bCs/>
                <w:i w:val="false"/>
                <w:iCs w:val="false"/>
                <w:color w:val="334155"/>
                <w:sz w:val="19"/>
                <w:szCs w:val="19"/>
              </w:rPr>
              <w:t xml:space="preserve">Annual Calibration</w:t>
            </w:r>
          </w:p>
        </w:tc>
        <w:tc>
          <w:tcPr>
            <w:tcW w:type="dxa" w:w="47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334155"/>
                <w:sz w:val="19"/>
                <w:szCs w:val="19"/>
              </w:rPr>
              <w:t xml:space="preserve">Backtesting review, attenuation recalibration, DAG weight review, Delphi Round 1</w:t>
            </w:r>
          </w:p>
        </w:tc>
      </w:tr>
      <w:tr>
        <w:tc>
          <w:tcPr>
            <w:tcW w:type="dxa" w:w="18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center"/>
            </w:pPr>
            <w:r>
              <w:rPr>
                <w:rFonts w:ascii="Arial" w:cs="Arial" w:eastAsia="Arial" w:hAnsi="Arial"/>
                <w:b/>
                <w:bCs/>
                <w:i w:val="false"/>
                <w:iCs w:val="false"/>
                <w:color w:val="334155"/>
                <w:sz w:val="19"/>
                <w:szCs w:val="19"/>
              </w:rPr>
              <w:t xml:space="preserve">Q2</w:t>
            </w:r>
          </w:p>
        </w:tc>
        <w:tc>
          <w:tcPr>
            <w:tcW w:type="dxa" w:w="28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left"/>
            </w:pPr>
            <w:r>
              <w:rPr>
                <w:rFonts w:ascii="Arial" w:cs="Arial" w:eastAsia="Arial" w:hAnsi="Arial"/>
                <w:b/>
                <w:bCs/>
                <w:i w:val="false"/>
                <w:iCs w:val="false"/>
                <w:color w:val="334155"/>
                <w:sz w:val="19"/>
                <w:szCs w:val="19"/>
              </w:rPr>
              <w:t xml:space="preserve">Strategic Planning</w:t>
            </w:r>
          </w:p>
        </w:tc>
        <w:tc>
          <w:tcPr>
            <w:tcW w:type="dxa" w:w="47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334155"/>
                <w:sz w:val="19"/>
                <w:szCs w:val="19"/>
              </w:rPr>
              <w:t xml:space="preserve">Delphi Round 2 with AI suggestions, full Monte Carlo run (50K iterations), scenario analysis for strategy week</w:t>
            </w:r>
          </w:p>
        </w:tc>
      </w:tr>
      <w:tr>
        <w:tc>
          <w:tcPr>
            <w:tcW w:type="dxa" w:w="18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center"/>
            </w:pPr>
            <w:r>
              <w:rPr>
                <w:rFonts w:ascii="Arial" w:cs="Arial" w:eastAsia="Arial" w:hAnsi="Arial"/>
                <w:b/>
                <w:bCs/>
                <w:i w:val="false"/>
                <w:iCs w:val="false"/>
                <w:color w:val="334155"/>
                <w:sz w:val="19"/>
                <w:szCs w:val="19"/>
              </w:rPr>
              <w:t xml:space="preserve">Q3</w:t>
            </w:r>
          </w:p>
        </w:tc>
        <w:tc>
          <w:tcPr>
            <w:tcW w:type="dxa" w:w="28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left"/>
            </w:pPr>
            <w:r>
              <w:rPr>
                <w:rFonts w:ascii="Arial" w:cs="Arial" w:eastAsia="Arial" w:hAnsi="Arial"/>
                <w:b/>
                <w:bCs/>
                <w:i w:val="false"/>
                <w:iCs w:val="false"/>
                <w:color w:val="334155"/>
                <w:sz w:val="19"/>
                <w:szCs w:val="19"/>
              </w:rPr>
              <w:t xml:space="preserve">Mid-Year Review</w:t>
            </w:r>
          </w:p>
        </w:tc>
        <w:tc>
          <w:tcPr>
            <w:tcW w:type="dxa" w:w="47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334155"/>
                <w:sz w:val="19"/>
                <w:szCs w:val="19"/>
              </w:rPr>
              <w:t xml:space="preserve">AI scanner quarterly trend update, trigger check, path velocity review, strategy adjustment recommendations</w:t>
            </w:r>
          </w:p>
        </w:tc>
      </w:tr>
      <w:tr>
        <w:tc>
          <w:tcPr>
            <w:tcW w:type="dxa" w:w="18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center"/>
            </w:pPr>
            <w:r>
              <w:rPr>
                <w:rFonts w:ascii="Arial" w:cs="Arial" w:eastAsia="Arial" w:hAnsi="Arial"/>
                <w:b/>
                <w:bCs/>
                <w:i w:val="false"/>
                <w:iCs w:val="false"/>
                <w:color w:val="334155"/>
                <w:sz w:val="19"/>
                <w:szCs w:val="19"/>
              </w:rPr>
              <w:t xml:space="preserve">Q4</w:t>
            </w:r>
          </w:p>
        </w:tc>
        <w:tc>
          <w:tcPr>
            <w:tcW w:type="dxa" w:w="28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left"/>
            </w:pPr>
            <w:r>
              <w:rPr>
                <w:rFonts w:ascii="Arial" w:cs="Arial" w:eastAsia="Arial" w:hAnsi="Arial"/>
                <w:b/>
                <w:bCs/>
                <w:i w:val="false"/>
                <w:iCs w:val="false"/>
                <w:color w:val="334155"/>
                <w:sz w:val="19"/>
                <w:szCs w:val="19"/>
              </w:rPr>
              <w:t xml:space="preserve">Budget Integration</w:t>
            </w:r>
          </w:p>
        </w:tc>
        <w:tc>
          <w:tcPr>
            <w:tcW w:type="dxa" w:w="47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334155"/>
                <w:sz w:val="19"/>
                <w:szCs w:val="19"/>
              </w:rPr>
              <w:t xml:space="preserve">Final Shift Matrix for annual budget, competitive response update, category allocation recommendations for next year</w:t>
            </w:r>
          </w:p>
        </w:tc>
      </w:tr>
    </w:tbl>
    <w:p>
      <w:pPr>
        <w:spacing w:after="0" w:before="120"/>
      </w:pPr>
    </w:p>
    <w:p>
      <w:pPr>
        <w:spacing w:after="120" w:before="240"/>
      </w:pPr>
      <w:r>
        <w:rPr>
          <w:rFonts w:ascii="Arial" w:cs="Arial" w:eastAsia="Arial" w:hAnsi="Arial"/>
          <w:b/>
          <w:bCs/>
          <w:color w:val="0F172A"/>
          <w:sz w:val="24"/>
          <w:szCs w:val="24"/>
        </w:rPr>
        <w:t xml:space="preserve">Decision Rights</w:t>
      </w:r>
    </w:p>
    <w:p>
      <w:pPr>
        <w:spacing w:after="120" w:line="276"/>
      </w:pPr>
      <w:r>
        <w:rPr>
          <w:rFonts w:ascii="Arial" w:cs="Arial" w:eastAsia="Arial" w:hAnsi="Arial"/>
          <w:color w:val="334155"/>
          <w:sz w:val="21"/>
          <w:szCs w:val="21"/>
        </w:rPr>
        <w:t xml:space="preserve">PRISM clearly separates responsibilities: trend scores are determined by Delphi consensus (no single person), category allocation is decided by the Strategy VP (informed by the optimizer, but the VP decides), scenario selection for planning is an ExCo decision, and model parameters are empirically derived by the Data/Analytics team during annual calibration.</w:t>
      </w:r>
    </w:p>
    <w:p>
      <w:pPr>
        <w:spacing w:after="120" w:line="276"/>
      </w:pPr>
      <w:r>
        <w:rPr>
          <w:rFonts w:ascii="Arial" w:cs="Arial" w:eastAsia="Arial" w:hAnsi="Arial"/>
          <w:color w:val="334155"/>
          <w:sz w:val="21"/>
          <w:szCs w:val="21"/>
        </w:rPr>
        <w:t xml:space="preserve">Every override is logged with a documented rationale in the audit trail, ensuring full traceability and accountability.</w:t>
      </w:r>
    </w:p>
    <w:p>
      <w:pPr>
        <w:spacing w:after="120" w:before="240"/>
      </w:pPr>
      <w:r>
        <w:rPr>
          <w:rFonts w:ascii="Arial" w:cs="Arial" w:eastAsia="Arial" w:hAnsi="Arial"/>
          <w:b/>
          <w:bCs/>
          <w:color w:val="0F172A"/>
          <w:sz w:val="24"/>
          <w:szCs w:val="24"/>
        </w:rPr>
        <w:t xml:space="preserve">Two-Dashboard Model</w:t>
      </w:r>
    </w:p>
    <w:p>
      <w:pPr>
        <w:spacing w:after="120" w:line="276"/>
      </w:pPr>
      <w:r>
        <w:rPr>
          <w:rFonts w:ascii="Arial" w:cs="Arial" w:eastAsia="Arial" w:hAnsi="Arial"/>
          <w:color w:val="334155"/>
          <w:sz w:val="21"/>
          <w:szCs w:val="21"/>
        </w:rPr>
        <w:t xml:space="preserve">PRISM serves two audiences through different lenses. The React War Room dashboard serves the strategy team with interactive, relative-percentage analysis and drill-down capability. The Power BI dashboard serves ExCo and Finance with absolute financial impact analysis in euros. Both consume the same underlying Shift Matrix — same truth, two presentation formats.</w:t>
      </w:r>
    </w:p>
    <w:p>
      <w:r>
        <w:br w:type="page"/>
      </w:r>
    </w:p>
    <w:p>
      <w:pPr>
        <w:pStyle w:val="Heading1"/>
      </w:pPr>
      <w:r>
        <w:rPr>
          <w:rFonts w:ascii="Arial" w:cs="Arial" w:eastAsia="Arial" w:hAnsi="Arial"/>
        </w:rPr>
        <w:t xml:space="preserve">10. Glossary of Key Terms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BD5E1" w:sz="1"/>
              <w:left w:val="single" w:color="CBD5E1" w:sz="1"/>
              <w:bottom w:val="single" w:color="CBD5E1" w:sz="1"/>
              <w:right w:val="single" w:color="CBD5E1" w:sz="1"/>
            </w:tcBorders>
            <w:shd w:fill="0F172A" w:val="clear"/>
            <w:tcMar>
              <w:top w:type="dxa" w:w="80"/>
              <w:left w:type="dxa" w:w="120"/>
              <w:bottom w:type="dxa" w:w="80"/>
              <w:right w:type="dxa" w:w="120"/>
            </w:tcMar>
            <w:vAlign w:val="center"/>
          </w:tcPr>
          <w:p>
            <w:pPr>
              <w:jc w:val="left"/>
            </w:pPr>
            <w:r>
              <w:rPr>
                <w:rFonts w:ascii="Arial" w:cs="Arial" w:eastAsia="Arial" w:hAnsi="Arial"/>
                <w:b/>
                <w:bCs/>
                <w:color w:val="FFFFFF"/>
                <w:sz w:val="19"/>
                <w:szCs w:val="19"/>
              </w:rPr>
              <w:t xml:space="preserve">Term</w:t>
            </w:r>
          </w:p>
        </w:tc>
        <w:tc>
          <w:tcPr>
            <w:tcW w:type="dxa" w:w="6560"/>
            <w:tcBorders>
              <w:top w:val="single" w:color="CBD5E1" w:sz="1"/>
              <w:left w:val="single" w:color="CBD5E1" w:sz="1"/>
              <w:bottom w:val="single" w:color="CBD5E1" w:sz="1"/>
              <w:right w:val="single" w:color="CBD5E1" w:sz="1"/>
            </w:tcBorders>
            <w:shd w:fill="0F172A" w:val="clear"/>
            <w:tcMar>
              <w:top w:type="dxa" w:w="80"/>
              <w:left w:type="dxa" w:w="120"/>
              <w:bottom w:type="dxa" w:w="80"/>
              <w:right w:type="dxa" w:w="120"/>
            </w:tcMar>
            <w:vAlign w:val="center"/>
          </w:tcPr>
          <w:p>
            <w:pPr>
              <w:jc w:val="left"/>
            </w:pPr>
            <w:r>
              <w:rPr>
                <w:rFonts w:ascii="Arial" w:cs="Arial" w:eastAsia="Arial" w:hAnsi="Arial"/>
                <w:b/>
                <w:bCs/>
                <w:color w:val="FFFFFF"/>
                <w:sz w:val="19"/>
                <w:szCs w:val="19"/>
              </w:rPr>
              <w:t xml:space="preserve">Definition</w:t>
            </w:r>
          </w:p>
        </w:tc>
      </w:tr>
      <w:tr>
        <w:tc>
          <w:tcPr>
            <w:tcW w:type="dxa" w:w="28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left"/>
            </w:pPr>
            <w:r>
              <w:rPr>
                <w:rFonts w:ascii="Arial" w:cs="Arial" w:eastAsia="Arial" w:hAnsi="Arial"/>
                <w:b/>
                <w:bCs/>
                <w:i w:val="false"/>
                <w:iCs w:val="false"/>
                <w:color w:val="334155"/>
                <w:sz w:val="19"/>
                <w:szCs w:val="19"/>
              </w:rPr>
              <w:t xml:space="preserve">Attenuation Factor</w:t>
            </w:r>
          </w:p>
        </w:tc>
        <w:tc>
          <w:tcPr>
            <w:tcW w:type="dxa" w:w="65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334155"/>
                <w:sz w:val="19"/>
                <w:szCs w:val="19"/>
              </w:rPr>
              <w:t xml:space="preserve">A dampening coefficient (default 0.5) that scales raw trend scores to realistic market shift magnitudes. Ideally derived from backtesting.</w:t>
            </w:r>
          </w:p>
        </w:tc>
      </w:tr>
      <w:tr>
        <w:tc>
          <w:tcPr>
            <w:tcW w:type="dxa" w:w="28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left"/>
            </w:pPr>
            <w:r>
              <w:rPr>
                <w:rFonts w:ascii="Arial" w:cs="Arial" w:eastAsia="Arial" w:hAnsi="Arial"/>
                <w:b/>
                <w:bCs/>
                <w:i w:val="false"/>
                <w:iCs w:val="false"/>
                <w:color w:val="334155"/>
                <w:sz w:val="19"/>
                <w:szCs w:val="19"/>
              </w:rPr>
              <w:t xml:space="preserve">Bayesian Model</w:t>
            </w:r>
          </w:p>
        </w:tc>
        <w:tc>
          <w:tcPr>
            <w:tcW w:type="dxa" w:w="65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334155"/>
                <w:sz w:val="19"/>
                <w:szCs w:val="19"/>
              </w:rPr>
              <w:t xml:space="preserve">A statistical approach that starts with prior beliefs about probabilities and updates them as evidence arrives, rather than assuming fixed distributions.</w:t>
            </w:r>
          </w:p>
        </w:tc>
      </w:tr>
      <w:tr>
        <w:tc>
          <w:tcPr>
            <w:tcW w:type="dxa" w:w="28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left"/>
            </w:pPr>
            <w:r>
              <w:rPr>
                <w:rFonts w:ascii="Arial" w:cs="Arial" w:eastAsia="Arial" w:hAnsi="Arial"/>
                <w:b/>
                <w:bCs/>
                <w:i w:val="false"/>
                <w:iCs w:val="false"/>
                <w:color w:val="334155"/>
                <w:sz w:val="19"/>
                <w:szCs w:val="19"/>
              </w:rPr>
              <w:t xml:space="preserve">Causal DAG</w:t>
            </w:r>
          </w:p>
        </w:tc>
        <w:tc>
          <w:tcPr>
            <w:tcW w:type="dxa" w:w="65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334155"/>
                <w:sz w:val="19"/>
                <w:szCs w:val="19"/>
              </w:rPr>
              <w:t xml:space="preserve">Directed Acyclic Graph: a network of cause-and-effect relationships between the 6 strategic forces, with weights and time lags.</w:t>
            </w:r>
          </w:p>
        </w:tc>
      </w:tr>
      <w:tr>
        <w:tc>
          <w:tcPr>
            <w:tcW w:type="dxa" w:w="28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left"/>
            </w:pPr>
            <w:r>
              <w:rPr>
                <w:rFonts w:ascii="Arial" w:cs="Arial" w:eastAsia="Arial" w:hAnsi="Arial"/>
                <w:b/>
                <w:bCs/>
                <w:i w:val="false"/>
                <w:iCs w:val="false"/>
                <w:color w:val="334155"/>
                <w:sz w:val="19"/>
                <w:szCs w:val="19"/>
              </w:rPr>
              <w:t xml:space="preserve">Copula</w:t>
            </w:r>
          </w:p>
        </w:tc>
        <w:tc>
          <w:tcPr>
            <w:tcW w:type="dxa" w:w="65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334155"/>
                <w:sz w:val="19"/>
                <w:szCs w:val="19"/>
              </w:rPr>
              <w:t xml:space="preserve">A statistical tool that models how different trends are correlated, especially during extreme events (tail dependence).</w:t>
            </w:r>
          </w:p>
        </w:tc>
      </w:tr>
      <w:tr>
        <w:tc>
          <w:tcPr>
            <w:tcW w:type="dxa" w:w="28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left"/>
            </w:pPr>
            <w:r>
              <w:rPr>
                <w:rFonts w:ascii="Arial" w:cs="Arial" w:eastAsia="Arial" w:hAnsi="Arial"/>
                <w:b/>
                <w:bCs/>
                <w:i w:val="false"/>
                <w:iCs w:val="false"/>
                <w:color w:val="334155"/>
                <w:sz w:val="19"/>
                <w:szCs w:val="19"/>
              </w:rPr>
              <w:t xml:space="preserve">Delphi Protocol</w:t>
            </w:r>
          </w:p>
        </w:tc>
        <w:tc>
          <w:tcPr>
            <w:tcW w:type="dxa" w:w="65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334155"/>
                <w:sz w:val="19"/>
                <w:szCs w:val="19"/>
              </w:rPr>
              <w:t xml:space="preserve">A structured expert scoring process with multiple rounds, anonymization, and debiasing to achieve calibrated consensus.</w:t>
            </w:r>
          </w:p>
        </w:tc>
      </w:tr>
      <w:tr>
        <w:tc>
          <w:tcPr>
            <w:tcW w:type="dxa" w:w="28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left"/>
            </w:pPr>
            <w:r>
              <w:rPr>
                <w:rFonts w:ascii="Arial" w:cs="Arial" w:eastAsia="Arial" w:hAnsi="Arial"/>
                <w:b/>
                <w:bCs/>
                <w:i w:val="false"/>
                <w:iCs w:val="false"/>
                <w:color w:val="334155"/>
                <w:sz w:val="19"/>
                <w:szCs w:val="19"/>
              </w:rPr>
              <w:t xml:space="preserve">GP1% Affected</w:t>
            </w:r>
          </w:p>
        </w:tc>
        <w:tc>
          <w:tcPr>
            <w:tcW w:type="dxa" w:w="65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334155"/>
                <w:sz w:val="19"/>
                <w:szCs w:val="19"/>
              </w:rPr>
              <w:t xml:space="preserve">The maximum fraction of a category’s profit pool that a trend can realistically touch at full materialization (0–100%).</w:t>
            </w:r>
          </w:p>
        </w:tc>
      </w:tr>
      <w:tr>
        <w:tc>
          <w:tcPr>
            <w:tcW w:type="dxa" w:w="28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left"/>
            </w:pPr>
            <w:r>
              <w:rPr>
                <w:rFonts w:ascii="Arial" w:cs="Arial" w:eastAsia="Arial" w:hAnsi="Arial"/>
                <w:b/>
                <w:bCs/>
                <w:i w:val="false"/>
                <w:iCs w:val="false"/>
                <w:color w:val="334155"/>
                <w:sz w:val="19"/>
                <w:szCs w:val="19"/>
              </w:rPr>
              <w:t xml:space="preserve">Monte Carlo</w:t>
            </w:r>
          </w:p>
        </w:tc>
        <w:tc>
          <w:tcPr>
            <w:tcW w:type="dxa" w:w="65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334155"/>
                <w:sz w:val="19"/>
                <w:szCs w:val="19"/>
              </w:rPr>
              <w:t xml:space="preserve">A simulation technique that runs thousands of randomized scenarios to produce probability distributions rather than single estimates.</w:t>
            </w:r>
          </w:p>
        </w:tc>
      </w:tr>
      <w:tr>
        <w:tc>
          <w:tcPr>
            <w:tcW w:type="dxa" w:w="28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left"/>
            </w:pPr>
            <w:r>
              <w:rPr>
                <w:rFonts w:ascii="Arial" w:cs="Arial" w:eastAsia="Arial" w:hAnsi="Arial"/>
                <w:b/>
                <w:bCs/>
                <w:i w:val="false"/>
                <w:iCs w:val="false"/>
                <w:color w:val="334155"/>
                <w:sz w:val="19"/>
                <w:szCs w:val="19"/>
              </w:rPr>
              <w:t xml:space="preserve">Shift Matrix</w:t>
            </w:r>
          </w:p>
        </w:tc>
        <w:tc>
          <w:tcPr>
            <w:tcW w:type="dxa" w:w="65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334155"/>
                <w:sz w:val="19"/>
                <w:szCs w:val="19"/>
              </w:rPr>
              <w:t xml:space="preserve">PRISM’s primary output: a table of percentage shifts by category, force, year, and confidence level.</w:t>
            </w:r>
          </w:p>
        </w:tc>
      </w:tr>
      <w:tr>
        <w:tc>
          <w:tcPr>
            <w:tcW w:type="dxa" w:w="28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left"/>
            </w:pPr>
            <w:r>
              <w:rPr>
                <w:rFonts w:ascii="Arial" w:cs="Arial" w:eastAsia="Arial" w:hAnsi="Arial"/>
                <w:b/>
                <w:bCs/>
                <w:i w:val="false"/>
                <w:iCs w:val="false"/>
                <w:color w:val="334155"/>
                <w:sz w:val="19"/>
                <w:szCs w:val="19"/>
              </w:rPr>
              <w:t xml:space="preserve">t-Copula</w:t>
            </w:r>
          </w:p>
        </w:tc>
        <w:tc>
          <w:tcPr>
            <w:tcW w:type="dxa" w:w="65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334155"/>
                <w:sz w:val="19"/>
                <w:szCs w:val="19"/>
              </w:rPr>
              <w:t xml:space="preserve">A specific copula type with heavier tails than a normal distribution, capturing the empirical fact that correlations increase during crises.</w:t>
            </w:r>
          </w:p>
        </w:tc>
      </w:tr>
      <w:tr>
        <w:tc>
          <w:tcPr>
            <w:tcW w:type="dxa" w:w="28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left"/>
            </w:pPr>
            <w:r>
              <w:rPr>
                <w:rFonts w:ascii="Arial" w:cs="Arial" w:eastAsia="Arial" w:hAnsi="Arial"/>
                <w:b/>
                <w:bCs/>
                <w:i w:val="false"/>
                <w:iCs w:val="false"/>
                <w:color w:val="334155"/>
                <w:sz w:val="19"/>
                <w:szCs w:val="19"/>
              </w:rPr>
              <w:t xml:space="preserve">Velocity</w:t>
            </w:r>
          </w:p>
        </w:tc>
        <w:tc>
          <w:tcPr>
            <w:tcW w:type="dxa" w:w="65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334155"/>
                <w:sz w:val="19"/>
                <w:szCs w:val="19"/>
              </w:rPr>
              <w:t xml:space="preserve">The year-over-year rate of change in a profit pool shift, indicating how fast a trend effect is accelerating.</w:t>
            </w:r>
          </w:p>
        </w:tc>
      </w:tr>
      <w:tr>
        <w:tc>
          <w:tcPr>
            <w:tcW w:type="dxa" w:w="28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left"/>
            </w:pPr>
            <w:r>
              <w:rPr>
                <w:rFonts w:ascii="Arial" w:cs="Arial" w:eastAsia="Arial" w:hAnsi="Arial"/>
                <w:b/>
                <w:bCs/>
                <w:i w:val="false"/>
                <w:iCs w:val="false"/>
                <w:color w:val="334155"/>
                <w:sz w:val="19"/>
                <w:szCs w:val="19"/>
              </w:rPr>
              <w:t xml:space="preserve">War Room</w:t>
            </w:r>
          </w:p>
        </w:tc>
        <w:tc>
          <w:tcPr>
            <w:tcW w:type="dxa" w:w="65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334155"/>
                <w:sz w:val="19"/>
                <w:szCs w:val="19"/>
              </w:rPr>
              <w:t xml:space="preserve">The single-page interactive dashboard that presents all PRISM outputs in a unified view with contextual drill-down.</w:t>
            </w:r>
          </w:p>
        </w:tc>
      </w:tr>
    </w:tbl>
    <w:p>
      <w:pPr>
        <w:spacing w:after="0" w:before="400"/>
      </w:pPr>
    </w:p>
    <w:p>
      <w:pPr>
        <w:pBdr>
          <w:top w:val="single" w:color="C41E3A" w:sz="6" w:space="8"/>
        </w:pBdr>
        <w:spacing w:after="120" w:before="400"/>
        <w:jc w:val="center"/>
      </w:pPr>
      <w:r>
        <w:rPr>
          <w:rFonts w:ascii="Arial" w:cs="Arial" w:eastAsia="Arial" w:hAnsi="Arial"/>
          <w:b/>
          <w:bCs/>
          <w:color w:val="0F172A"/>
          <w:sz w:val="22"/>
          <w:szCs w:val="22"/>
        </w:rPr>
        <w:t xml:space="preserve">End of Document</w:t>
      </w:r>
    </w:p>
    <w:p>
      <w:pPr>
        <w:spacing w:after="40"/>
        <w:jc w:val="center"/>
      </w:pPr>
      <w:r>
        <w:rPr>
          <w:rFonts w:ascii="Arial" w:cs="Arial" w:eastAsia="Arial" w:hAnsi="Arial"/>
          <w:color w:val="94A3B8"/>
          <w:sz w:val="18"/>
          <w:szCs w:val="18"/>
        </w:rPr>
        <w:t xml:space="preserve">PRISM Methodology Documentation v2.3  |  April 2026</w:t>
      </w:r>
    </w:p>
    <w:p>
      <w:pPr>
        <w:jc w:val="center"/>
      </w:pPr>
      <w:r>
        <w:rPr>
          <w:rFonts w:ascii="Arial" w:cs="Arial" w:eastAsia="Arial" w:hAnsi="Arial"/>
          <w:color w:val="C41E3A"/>
          <w:sz w:val="18"/>
          <w:szCs w:val="18"/>
        </w:rPr>
        <w:t xml:space="preserve">CONFIDENTIAL — Henkel Consumer Brands — Internal Use Only</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BD5E1" w:sz="1" w:space="4"/>
      </w:pBdr>
      <w:tabs>
        <w:tab w:val="right" w:pos="9026"/>
      </w:tabs>
    </w:pPr>
    <w:r>
      <w:rPr>
        <w:rFonts w:ascii="Arial" w:cs="Arial" w:eastAsia="Arial" w:hAnsi="Arial"/>
        <w:color w:val="94A3B8"/>
        <w:sz w:val="16"/>
        <w:szCs w:val="16"/>
      </w:rPr>
      <w:t xml:space="preserve">Henkel Consumer Brands  |  April 2026</w:t>
    </w:r>
    <w:r>
      <w:rPr>
        <w:rFonts w:ascii="Arial" w:cs="Arial" w:eastAsia="Arial" w:hAnsi="Arial"/>
        <w:color w:val="94A3B8"/>
        <w:sz w:val="16"/>
        <w:szCs w:val="16"/>
      </w:rPr>
      <w:t xml:space="preserve">	Page </w:t>
    </w:r>
    <w:r>
      <w:rPr>
        <w:rFonts w:ascii="Arial" w:cs="Arial" w:eastAsia="Arial" w:hAnsi="Arial"/>
        <w:color w:val="94A3B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2" w:space="4"/>
      </w:pBdr>
      <w:tabs>
        <w:tab w:val="right" w:pos="9026"/>
      </w:tabs>
    </w:pPr>
    <w:r>
      <w:rPr>
        <w:rFonts w:ascii="Arial" w:cs="Arial" w:eastAsia="Arial" w:hAnsi="Arial"/>
        <w:color w:val="94A3B8"/>
        <w:sz w:val="16"/>
        <w:szCs w:val="16"/>
      </w:rPr>
      <w:t xml:space="preserve">PRISM Methodology Documentation</w:t>
    </w:r>
    <w:r>
      <w:rPr>
        <w:rFonts w:ascii="Arial" w:cs="Arial" w:eastAsia="Arial" w:hAnsi="Arial"/>
        <w:b/>
        <w:bCs/>
        <w:color w:val="C41E3A"/>
        <w:sz w:val="16"/>
        <w:szCs w:val="16"/>
      </w:rPr>
      <w:t xml:space="preserve">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0F172A"/>
      <w:sz w:val="36"/>
      <w:szCs w:val="36"/>
    </w:rPr>
  </w:style>
  <w:style w:type="paragraph" w:styleId="Heading2">
    <w:name w:val="Heading 2"/>
    <w:basedOn w:val="Normal"/>
    <w:next w:val="Normal"/>
    <w:qFormat/>
    <w:pPr>
      <w:spacing w:after="160" w:before="280"/>
      <w:outlineLvl w:val="1"/>
    </w:pPr>
    <w:rPr>
      <w:rFonts w:ascii="Arial" w:cs="Arial" w:eastAsia="Arial" w:hAnsi="Arial"/>
      <w:b/>
      <w:bCs/>
      <w:color w:val="0F172A"/>
      <w:sz w:val="28"/>
      <w:szCs w:val="28"/>
    </w:rPr>
  </w:style>
  <w:style w:type="paragraph" w:styleId="Heading3">
    <w:name w:val="Heading 3"/>
    <w:basedOn w:val="Normal"/>
    <w:next w:val="Normal"/>
    <w:qFormat/>
    <w:pPr>
      <w:spacing w:after="120" w:before="200"/>
      <w:outlineLvl w:val="2"/>
    </w:pPr>
    <w:rPr>
      <w:rFonts w:ascii="Arial" w:cs="Arial" w:eastAsia="Arial" w:hAnsi="Arial"/>
      <w:b/>
      <w:bCs/>
      <w:color w:val="475569"/>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2026-04-14T17:26:55.666Z</dcterms:created>
  <dcterms:modified xsi:type="dcterms:W3CDTF">2026-04-14T17:26:55.667Z</dcterms:modified>
</cp:coreProperties>
</file>

<file path=docProps/custom.xml><?xml version="1.0" encoding="utf-8"?>
<Properties xmlns="http://schemas.openxmlformats.org/officeDocument/2006/custom-properties" xmlns:vt="http://schemas.openxmlformats.org/officeDocument/2006/docPropsVTypes"/>
</file>