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ru-RU"/>
        </w:rPr>
        <w:t>Анализ монетизации и финансовой модели проекта Taskbench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ru-RU"/>
        </w:rPr>
        <w:t>1. Способы монетизации приложения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 xml:space="preserve">Предусмотрена подписка, с которой открывается большее количество уникальных функций.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ru-RU"/>
        </w:rPr>
        <w:t>Основной способ монетизации: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ru-RU"/>
        </w:rPr>
        <w:t xml:space="preserve">Подписка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 xml:space="preserve">(основной источник дохода)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Формат: ежемесячная подписка.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Стоимость: фиксированная цена за месяц, скидки при покупке на более длительный срок.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Разовая оплата за 1 месяц – 149 рублей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hanging="0" w:left="1494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/>
      </w:r>
    </w:p>
    <w:p>
      <w:pPr>
        <w:pStyle w:val="Heading4"/>
        <w:rPr>
          <w:rFonts w:ascii="Times New Roman" w:hAnsi="Times New Roman" w:cs="Times New Roman"/>
          <w:b/>
          <w:bCs/>
          <w:i w:val="false"/>
          <w:i w:val="false"/>
          <w:iCs w:val="false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themeColor="text1" w:val="000000"/>
          <w:sz w:val="28"/>
          <w:szCs w:val="28"/>
        </w:rPr>
        <w:t>2. UNIT-экономика (расчёт доходов и расходов на одного пользователя)</w:t>
      </w:r>
    </w:p>
    <w:p>
      <w:pPr>
        <w:pStyle w:val="NormalWeb"/>
        <w:spacing w:before="28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Переменные расходы:</w:t>
      </w:r>
    </w:p>
    <w:p>
      <w:pPr>
        <w:pStyle w:val="NormalWeb"/>
        <w:numPr>
          <w:ilvl w:val="0"/>
          <w:numId w:val="2"/>
        </w:numPr>
        <w:spacing w:before="280" w:after="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Привлечение пользователя (CAC – Customer Acquisition Cost):</w:t>
      </w:r>
      <w:r>
        <w:rPr>
          <w:color w:themeColor="text1" w:val="000000"/>
          <w:sz w:val="28"/>
          <w:szCs w:val="28"/>
        </w:rPr>
        <w:t xml:space="preserve"> расходы на рекламу, контент-маркетинг, реферальные программы.</w:t>
      </w:r>
    </w:p>
    <w:p>
      <w:pPr>
        <w:pStyle w:val="NormalWeb"/>
        <w:numPr>
          <w:ilvl w:val="0"/>
          <w:numId w:val="2"/>
        </w:numPr>
        <w:spacing w:before="0" w:after="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Серверные затраты:</w:t>
      </w:r>
      <w:r>
        <w:rPr>
          <w:color w:themeColor="text1" w:val="000000"/>
          <w:sz w:val="28"/>
          <w:szCs w:val="28"/>
        </w:rPr>
        <w:t xml:space="preserve"> хранение данных пользователей, работа backend-сервисов ИИ.</w:t>
      </w:r>
    </w:p>
    <w:p>
      <w:pPr>
        <w:pStyle w:val="NormalWeb"/>
        <w:numPr>
          <w:ilvl w:val="0"/>
          <w:numId w:val="2"/>
        </w:numPr>
        <w:spacing w:before="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Комиссия платёжных систем:</w:t>
      </w:r>
      <w:r>
        <w:rPr>
          <w:color w:themeColor="text1" w:val="000000"/>
          <w:sz w:val="28"/>
          <w:szCs w:val="28"/>
        </w:rPr>
        <w:t xml:space="preserve"> 3-5% от каждой транзакции.</w:t>
      </w:r>
    </w:p>
    <w:p>
      <w:pPr>
        <w:pStyle w:val="NormalWeb"/>
        <w:spacing w:before="28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Доход на одного пользователя (ARPU – Average Revenue Per User):</w:t>
      </w:r>
    </w:p>
    <w:p>
      <w:pPr>
        <w:pStyle w:val="NormalWeb"/>
        <w:numPr>
          <w:ilvl w:val="0"/>
          <w:numId w:val="3"/>
        </w:numPr>
        <w:spacing w:before="28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Средняя стоимость подписки – 149 рублей/месяц.</w:t>
      </w:r>
    </w:p>
    <w:p>
      <w:pPr>
        <w:pStyle w:val="NormalWeb"/>
        <w:numPr>
          <w:ilvl w:val="0"/>
          <w:numId w:val="3"/>
        </w:numPr>
        <w:spacing w:before="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Доля пользователей, оформивших подписку – 10%.</w:t>
      </w:r>
    </w:p>
    <w:p>
      <w:pPr>
        <w:pStyle w:val="NormalWeb"/>
        <w:numPr>
          <w:ilvl w:val="0"/>
          <w:numId w:val="3"/>
        </w:numPr>
        <w:spacing w:before="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Средний доход на подписчика – 149 рублей.</w:t>
      </w:r>
    </w:p>
    <w:p>
      <w:pPr>
        <w:pStyle w:val="NormalWeb"/>
        <w:numPr>
          <w:ilvl w:val="0"/>
          <w:numId w:val="3"/>
        </w:numPr>
        <w:spacing w:before="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ARPU = 149 × 10% = 14.9 руб.</w:t>
      </w:r>
    </w:p>
    <w:p>
      <w:pPr>
        <w:pStyle w:val="NormalWeb"/>
        <w:spacing w:before="28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Расчёт LTV (Lifetime Value – доход за весь жизненный цикл клиента):</w:t>
      </w:r>
    </w:p>
    <w:p>
      <w:pPr>
        <w:pStyle w:val="NormalWeb"/>
        <w:numPr>
          <w:ilvl w:val="0"/>
          <w:numId w:val="4"/>
        </w:numPr>
        <w:spacing w:before="28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Средний срок активности подписчика – 8 месяцев.</w:t>
      </w:r>
    </w:p>
    <w:p>
      <w:pPr>
        <w:pStyle w:val="NormalWeb"/>
        <w:numPr>
          <w:ilvl w:val="0"/>
          <w:numId w:val="4"/>
        </w:numPr>
        <w:spacing w:before="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LTV = 14.9 × 8 = 119.2 руб.</w:t>
      </w:r>
    </w:p>
    <w:p>
      <w:pPr>
        <w:pStyle w:val="NormalWeb"/>
        <w:spacing w:before="28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CAC (стоимость привлечения клиента):</w:t>
      </w:r>
    </w:p>
    <w:p>
      <w:pPr>
        <w:pStyle w:val="NormalWeb"/>
        <w:numPr>
          <w:ilvl w:val="0"/>
          <w:numId w:val="5"/>
        </w:numPr>
        <w:spacing w:before="28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Средний CPA (стоимость привлечения платящего клиента) – 20 -30 рублей.</w:t>
      </w:r>
    </w:p>
    <w:p>
      <w:pPr>
        <w:pStyle w:val="NormalWeb"/>
        <w:numPr>
          <w:ilvl w:val="0"/>
          <w:numId w:val="5"/>
        </w:numPr>
        <w:spacing w:before="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Средний CAC = 25 рублей.</w:t>
      </w:r>
    </w:p>
    <w:p>
      <w:pPr>
        <w:pStyle w:val="NormalWeb"/>
        <w:spacing w:before="28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Вычисление юнит-экономики:</w:t>
      </w:r>
      <w:r>
        <w:rPr>
          <w:color w:themeColor="text1" w:val="000000"/>
          <w:sz w:val="28"/>
          <w:szCs w:val="28"/>
        </w:rPr>
        <w:t xml:space="preserve"> LTV / CAC = </w:t>
      </w:r>
      <w:r>
        <w:rPr>
          <w:rStyle w:val="Strong"/>
          <w:b w:val="false"/>
          <w:bCs w:val="false"/>
          <w:color w:themeColor="text1" w:val="000000"/>
          <w:sz w:val="28"/>
          <w:szCs w:val="28"/>
        </w:rPr>
        <w:t>119.2</w:t>
      </w:r>
      <w:r>
        <w:rPr>
          <w:rStyle w:val="Strong"/>
          <w:color w:themeColor="text1" w:val="000000"/>
          <w:sz w:val="28"/>
          <w:szCs w:val="28"/>
        </w:rPr>
        <w:t xml:space="preserve"> </w:t>
      </w:r>
      <w:r>
        <w:rPr>
          <w:color w:themeColor="text1" w:val="000000"/>
          <w:sz w:val="28"/>
          <w:szCs w:val="28"/>
        </w:rPr>
        <w:t>/ 25 = 4.768 (устойчивая модель).</w:t>
      </w:r>
    </w:p>
    <w:p>
      <w:pPr>
        <w:pStyle w:val="Heading4"/>
        <w:rPr>
          <w:rFonts w:ascii="Times New Roman" w:hAnsi="Times New Roman" w:cs="Times New Roman"/>
          <w:b/>
          <w:bCs/>
          <w:i w:val="false"/>
          <w:i w:val="false"/>
          <w:iCs w:val="false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themeColor="text1" w:val="000000"/>
          <w:sz w:val="28"/>
          <w:szCs w:val="28"/>
        </w:rPr>
        <w:t>3. Прогноз P&amp;L и расчёт RoI</w:t>
      </w:r>
    </w:p>
    <w:p>
      <w:pPr>
        <w:pStyle w:val="NormalWeb"/>
        <w:spacing w:before="28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Основные статьи расходов:</w:t>
      </w:r>
    </w:p>
    <w:p>
      <w:pPr>
        <w:pStyle w:val="NormalWeb"/>
        <w:numPr>
          <w:ilvl w:val="0"/>
          <w:numId w:val="6"/>
        </w:numPr>
        <w:spacing w:before="28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Разработка (backend, мобильное приложение, тестирование) – 900 000 руб.</w:t>
      </w:r>
    </w:p>
    <w:p>
      <w:pPr>
        <w:pStyle w:val="NormalWeb"/>
        <w:numPr>
          <w:ilvl w:val="0"/>
          <w:numId w:val="6"/>
        </w:numPr>
        <w:spacing w:before="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Серверные затраты – 40 000 руб./мес.</w:t>
      </w:r>
    </w:p>
    <w:p>
      <w:pPr>
        <w:pStyle w:val="NormalWeb"/>
        <w:numPr>
          <w:ilvl w:val="0"/>
          <w:numId w:val="6"/>
        </w:numPr>
        <w:spacing w:before="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Маркетинг (привлечение пользователей) – 30 000 руб./мес.</w:t>
      </w:r>
    </w:p>
    <w:p>
      <w:pPr>
        <w:pStyle w:val="NormalWeb"/>
        <w:numPr>
          <w:ilvl w:val="0"/>
          <w:numId w:val="6"/>
        </w:numPr>
        <w:spacing w:before="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Операционные затраты (поддержка, налоги, комиссии) – 20 000 руб./мес.</w:t>
      </w:r>
    </w:p>
    <w:p>
      <w:pPr>
        <w:pStyle w:val="NormalWeb"/>
        <w:spacing w:before="28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Основные статьи доходов:</w:t>
      </w:r>
    </w:p>
    <w:p>
      <w:pPr>
        <w:pStyle w:val="NormalWeb"/>
        <w:numPr>
          <w:ilvl w:val="0"/>
          <w:numId w:val="7"/>
        </w:numPr>
        <w:spacing w:before="28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Ожидаемое количество активных пользователей через 1 год: 10 000.</w:t>
      </w:r>
    </w:p>
    <w:p>
      <w:pPr>
        <w:pStyle w:val="NormalWeb"/>
        <w:numPr>
          <w:ilvl w:val="0"/>
          <w:numId w:val="7"/>
        </w:numPr>
        <w:spacing w:before="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Конверсия в подписку – 10%.</w:t>
      </w:r>
    </w:p>
    <w:p>
      <w:pPr>
        <w:pStyle w:val="NormalWeb"/>
        <w:numPr>
          <w:ilvl w:val="0"/>
          <w:numId w:val="7"/>
        </w:numPr>
        <w:spacing w:before="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Средний доход с подписчика: 149 руб./мес.</w:t>
      </w:r>
    </w:p>
    <w:p>
      <w:pPr>
        <w:pStyle w:val="NormalWeb"/>
        <w:numPr>
          <w:ilvl w:val="0"/>
          <w:numId w:val="7"/>
        </w:numPr>
        <w:spacing w:before="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Итоговый ежемесячный доход через 1 год: </w:t>
      </w:r>
      <w:r>
        <w:rPr>
          <w:rStyle w:val="Strong"/>
          <w:color w:themeColor="text1" w:val="000000"/>
          <w:sz w:val="28"/>
          <w:szCs w:val="28"/>
        </w:rPr>
        <w:t>149 × 1000 = 149 000 руб.</w:t>
      </w:r>
    </w:p>
    <w:p>
      <w:pPr>
        <w:pStyle w:val="NormalWeb"/>
        <w:spacing w:before="28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>Расчёт RoI на 3 года:</w:t>
      </w:r>
    </w:p>
    <w:p>
      <w:pPr>
        <w:pStyle w:val="NormalWeb"/>
        <w:numPr>
          <w:ilvl w:val="0"/>
          <w:numId w:val="8"/>
        </w:numPr>
        <w:spacing w:before="28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Инвестиции в разработку и маркетинг: </w:t>
        <w:br/>
      </w:r>
      <w:r>
        <w:rPr>
          <w:b/>
          <w:bCs/>
          <w:color w:themeColor="text1" w:val="000000"/>
          <w:sz w:val="28"/>
          <w:szCs w:val="28"/>
        </w:rPr>
        <w:t xml:space="preserve">(20 000 +30 000 + 40 000) </w:t>
      </w:r>
      <w:r>
        <w:rPr>
          <w:rStyle w:val="Strong"/>
          <w:color w:themeColor="text1" w:val="000000"/>
          <w:sz w:val="28"/>
          <w:szCs w:val="28"/>
        </w:rPr>
        <w:t xml:space="preserve">× </w:t>
      </w:r>
      <w:r>
        <w:rPr>
          <w:b/>
          <w:bCs/>
          <w:color w:themeColor="text1" w:val="000000"/>
          <w:sz w:val="28"/>
          <w:szCs w:val="28"/>
        </w:rPr>
        <w:t xml:space="preserve">12 </w:t>
      </w:r>
      <w:r>
        <w:rPr>
          <w:rStyle w:val="Strong"/>
          <w:color w:themeColor="text1" w:val="000000"/>
          <w:sz w:val="28"/>
          <w:szCs w:val="28"/>
        </w:rPr>
        <w:t xml:space="preserve">× </w:t>
      </w:r>
      <w:r>
        <w:rPr>
          <w:b/>
          <w:bCs/>
          <w:color w:themeColor="text1" w:val="000000"/>
          <w:sz w:val="28"/>
          <w:szCs w:val="28"/>
        </w:rPr>
        <w:t>3 + 900 000 =</w:t>
      </w:r>
      <w:r>
        <w:rPr>
          <w:color w:themeColor="text1" w:val="000000"/>
          <w:sz w:val="28"/>
          <w:szCs w:val="28"/>
        </w:rPr>
        <w:t xml:space="preserve"> </w:t>
      </w:r>
      <w:r>
        <w:rPr>
          <w:rStyle w:val="Strong"/>
          <w:color w:themeColor="text1" w:val="000000"/>
          <w:sz w:val="28"/>
          <w:szCs w:val="28"/>
        </w:rPr>
        <w:t>4 140 000 руб.</w:t>
      </w:r>
    </w:p>
    <w:p>
      <w:pPr>
        <w:pStyle w:val="NormalWeb"/>
        <w:numPr>
          <w:ilvl w:val="0"/>
          <w:numId w:val="8"/>
        </w:numPr>
        <w:spacing w:before="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Прогнозируемая выручка за 3 года: </w:t>
      </w:r>
      <w:r>
        <w:rPr>
          <w:b/>
          <w:bCs/>
          <w:color w:themeColor="text1" w:val="000000"/>
          <w:sz w:val="28"/>
          <w:szCs w:val="28"/>
        </w:rPr>
        <w:t xml:space="preserve">149 </w:t>
      </w:r>
      <w:r>
        <w:rPr>
          <w:rStyle w:val="Strong"/>
          <w:b w:val="false"/>
          <w:bCs w:val="false"/>
          <w:color w:themeColor="text1" w:val="000000"/>
          <w:sz w:val="28"/>
          <w:szCs w:val="28"/>
        </w:rPr>
        <w:t>×</w:t>
      </w:r>
      <w:r>
        <w:rPr>
          <w:rStyle w:val="Strong"/>
          <w:color w:themeColor="text1" w:val="000000"/>
          <w:sz w:val="28"/>
          <w:szCs w:val="28"/>
        </w:rPr>
        <w:t xml:space="preserve"> 2000 × 12 × 3 = 10 728 000 руб.</w:t>
      </w:r>
      <w:r>
        <w:rPr>
          <w:color w:themeColor="text1" w:val="000000"/>
          <w:sz w:val="28"/>
          <w:szCs w:val="28"/>
        </w:rPr>
        <w:t xml:space="preserve"> (при увеличении базы пользователей до 20 000 подписчиков).</w:t>
      </w:r>
    </w:p>
    <w:p>
      <w:pPr>
        <w:pStyle w:val="NormalWeb"/>
        <w:numPr>
          <w:ilvl w:val="0"/>
          <w:numId w:val="8"/>
        </w:numPr>
        <w:spacing w:before="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Прибыль: </w:t>
      </w:r>
      <w:r>
        <w:rPr>
          <w:rStyle w:val="Strong"/>
          <w:color w:themeColor="text1" w:val="000000"/>
          <w:sz w:val="28"/>
          <w:szCs w:val="28"/>
        </w:rPr>
        <w:t>10 728 000 - 4 140 000 = 6 588 000 руб.</w:t>
      </w:r>
    </w:p>
    <w:p>
      <w:pPr>
        <w:pStyle w:val="NormalWeb"/>
        <w:numPr>
          <w:ilvl w:val="0"/>
          <w:numId w:val="8"/>
        </w:numPr>
        <w:spacing w:before="0" w:after="280"/>
        <w:rPr>
          <w:color w:themeColor="text1" w:val="000000"/>
          <w:sz w:val="28"/>
          <w:szCs w:val="28"/>
        </w:rPr>
      </w:pPr>
      <w:r>
        <w:rPr>
          <w:rStyle w:val="Strong"/>
          <w:color w:themeColor="text1" w:val="000000"/>
          <w:sz w:val="28"/>
          <w:szCs w:val="28"/>
        </w:rPr>
        <w:t xml:space="preserve">RoI =  6 588 000 / 4 140 000 = 1.59 </w:t>
      </w:r>
      <w:r>
        <w:rPr>
          <w:rStyle w:val="Strong"/>
          <w:b w:val="false"/>
          <w:bCs w:val="false"/>
          <w:color w:themeColor="text1" w:val="000000"/>
          <w:sz w:val="28"/>
          <w:szCs w:val="28"/>
        </w:rPr>
        <w:t>(выгодная модель</w:t>
      </w:r>
      <w:r>
        <w:rPr>
          <w:rStyle w:val="Strong"/>
          <w:color w:themeColor="text1" w:val="000000"/>
          <w:sz w:val="28"/>
          <w:szCs w:val="28"/>
        </w:rPr>
        <w:t xml:space="preserve"> </w:t>
      </w:r>
      <w:r>
        <w:rPr>
          <w:sz w:val="28"/>
          <w:szCs w:val="28"/>
        </w:rPr>
        <w:t>выше необходимого уровня 1,05</w:t>
      </w:r>
      <w:r>
        <w:rPr>
          <w:rStyle w:val="Strong"/>
          <w:color w:themeColor="text1" w:val="000000"/>
          <w:sz w:val="28"/>
          <w:szCs w:val="28"/>
        </w:rPr>
        <w:t>).</w:t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Вывод:</w:t>
      </w:r>
    </w:p>
    <w:p>
      <w:pPr>
        <w:pStyle w:val="NormalWeb"/>
        <w:spacing w:before="28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Приложение сможет выйти в прибыльность в течение второго года работы. Однако для улучшения показателей необходимо:</w:t>
      </w:r>
    </w:p>
    <w:p>
      <w:pPr>
        <w:pStyle w:val="NormalWeb"/>
        <w:numPr>
          <w:ilvl w:val="0"/>
          <w:numId w:val="9"/>
        </w:numPr>
        <w:spacing w:before="280" w:after="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Повышать конверсию пользователей в подписчиков.</w:t>
      </w:r>
    </w:p>
    <w:p>
      <w:pPr>
        <w:pStyle w:val="NormalWeb"/>
        <w:numPr>
          <w:ilvl w:val="0"/>
          <w:numId w:val="9"/>
        </w:numPr>
        <w:spacing w:before="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Оптимизировать маркетинговые расходы.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307e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741c6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"/>
    <w:uiPriority w:val="9"/>
    <w:qFormat/>
    <w:rsid w:val="00741c6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85505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741c6a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741c6a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741c6a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7307e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85505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741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5505a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LibreOffice/24.2.7.2$Linux_X86_64 LibreOffice_project/420$Build-2</Application>
  <AppVersion>15.0000</AppVersion>
  <Pages>2</Pages>
  <Words>377</Words>
  <Characters>2152</Characters>
  <CharactersWithSpaces>2524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2025-03-21T13:08:00Z</dcterms:created>
  <dc:creator>Huisan</dc:creator>
  <dc:description/>
  <dc:language>en-US</dc:language>
  <cp:lastModifiedBy/>
  <dcterms:modified xsi:type="dcterms:W3CDTF">2025-03-28T10:30:49Z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