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Cobertura del testing</w:t>
      </w:r>
    </w:p>
    <w:p>
      <w:pPr>
        <w:widowControl/>
      </w:pPr>
      <w:r>
        <w:t>KYNEX · Informe ejecutivo de calidad</w:t>
        <w:br/>
        <w:t>Versión 2 · 26 de octubre de 2026</w:t>
        <w:br/>
        <w:t>Alexander Llantén Sepúlveda · Full Stack 2</w:t>
      </w:r>
    </w:p>
    <w:p>
      <w:pPr>
        <w:pStyle w:val="Heading1"/>
      </w:pPr>
      <w:r>
        <w:t>Resumen ejecutivo</w:t>
      </w:r>
    </w:p>
    <w:p>
      <w:pPr>
        <w:widowControl/>
      </w:pPr>
      <w:r>
        <w:t>La versión evaluada de KYNEX aprobó las 597 pruebas automatizadas, sin fallos ni omisiones. La ejecución incluye la corrección que permite visualizar fotografías en el carrito y conserva los comportamientos de compra, usuarios, administración, contenido y entrenamiento.</w:t>
      </w:r>
    </w:p>
    <w:p>
      <w:pPr>
        <w:widowControl/>
      </w:pPr>
      <w:r>
        <w:t>El resultado respalda el funcionamiento de los escenarios comprobados. La cobertura identifica el código ejecutado durante las pruebas y permite priorizar verificaciones adicionales; no representa un porcentaje de requisitos cumplidos ni garantiza la ausencia de defectos.</w:t>
      </w:r>
    </w:p>
    <w:p>
      <w:pPr>
        <w:widowControl/>
      </w:pPr>
      <w:r>
        <w:t>La suite reúne 80 agrupaciones de prueba. La compilación de producción se completó correctamente.</w:t>
      </w:r>
    </w:p>
    <w:p>
      <w:pPr>
        <w:pStyle w:val="Heading1"/>
      </w:pPr>
      <w:r>
        <w:t>Cobertura de código</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88"/>
        <w:gridCol w:w="3456"/>
        <w:gridCol w:w="2736"/>
      </w:tblGrid>
      <w:tr>
        <w:trPr>
          <w:cantSplit/>
          <w:tblHeader/>
        </w:trPr>
        <w:tc>
          <w:tcPr>
            <w:tcW w:type="dxa" w:w="3888"/>
            <w:vAlign w:val="center"/>
            <w:shd w:fill="333333"/>
            <w:tcMar>
              <w:top w:w="95" w:type="dxa"/>
              <w:bottom w:w="95" w:type="dxa"/>
              <w:left w:w="95" w:type="dxa"/>
              <w:right w:w="95" w:type="dxa"/>
            </w:tcMar>
          </w:tcPr>
          <w:p>
            <w:pPr>
              <w:spacing w:before="40" w:after="40" w:line="245" w:lineRule="auto"/>
              <w:jc w:val="left"/>
            </w:pPr>
            <w:r>
              <w:rPr>
                <w:b/>
                <w:color w:val="FFFFFF"/>
                <w:sz w:val="21"/>
              </w:rPr>
              <w:t>Métrica</w:t>
            </w:r>
          </w:p>
        </w:tc>
        <w:tc>
          <w:tcPr>
            <w:tcW w:type="dxa" w:w="3456"/>
            <w:vAlign w:val="center"/>
            <w:shd w:fill="333333"/>
            <w:tcMar>
              <w:top w:w="95" w:type="dxa"/>
              <w:bottom w:w="95" w:type="dxa"/>
              <w:left w:w="95" w:type="dxa"/>
              <w:right w:w="95" w:type="dxa"/>
            </w:tcMar>
          </w:tcPr>
          <w:p>
            <w:pPr>
              <w:spacing w:before="40" w:after="40" w:line="245" w:lineRule="auto"/>
              <w:jc w:val="center"/>
            </w:pPr>
            <w:r>
              <w:rPr>
                <w:b/>
                <w:color w:val="FFFFFF"/>
                <w:sz w:val="21"/>
              </w:rPr>
              <w:t>Elementos cubiertos</w:t>
            </w:r>
          </w:p>
        </w:tc>
        <w:tc>
          <w:tcPr>
            <w:tcW w:type="dxa" w:w="2736"/>
            <w:vAlign w:val="center"/>
            <w:shd w:fill="333333"/>
            <w:tcMar>
              <w:top w:w="95" w:type="dxa"/>
              <w:bottom w:w="95" w:type="dxa"/>
              <w:left w:w="95" w:type="dxa"/>
              <w:right w:w="95" w:type="dxa"/>
            </w:tcMar>
          </w:tcPr>
          <w:p>
            <w:pPr>
              <w:spacing w:before="40" w:after="40" w:line="245" w:lineRule="auto"/>
              <w:jc w:val="center"/>
            </w:pPr>
            <w:r>
              <w:rPr>
                <w:b/>
                <w:color w:val="FFFFFF"/>
                <w:sz w:val="21"/>
              </w:rPr>
              <w:t>Cobertura</w:t>
            </w:r>
          </w:p>
        </w:tc>
      </w:tr>
      <w:tr>
        <w:trPr>
          <w:cantSplit/>
        </w:trPr>
        <w:tc>
          <w:tcPr>
            <w:tcW w:type="dxa" w:w="3888"/>
            <w:vAlign w:val="center"/>
            <w:shd w:fill="FFFFFF"/>
            <w:tcMar>
              <w:top w:w="95" w:type="dxa"/>
              <w:bottom w:w="95" w:type="dxa"/>
              <w:left w:w="95" w:type="dxa"/>
              <w:right w:w="95" w:type="dxa"/>
            </w:tcMar>
          </w:tcPr>
          <w:p>
            <w:pPr>
              <w:spacing w:before="40" w:after="40" w:line="245" w:lineRule="auto"/>
              <w:jc w:val="left"/>
            </w:pPr>
            <w:r>
              <w:rPr>
                <w:b w:val="0"/>
                <w:color w:val="000000"/>
                <w:sz w:val="21"/>
              </w:rPr>
              <w:t>Sentencias</w:t>
            </w:r>
          </w:p>
        </w:tc>
        <w:tc>
          <w:tcPr>
            <w:tcW w:type="dxa" w:w="3456"/>
            <w:vAlign w:val="center"/>
            <w:shd w:fill="FFFFFF"/>
            <w:tcMar>
              <w:top w:w="95" w:type="dxa"/>
              <w:bottom w:w="95" w:type="dxa"/>
              <w:left w:w="95" w:type="dxa"/>
              <w:right w:w="95" w:type="dxa"/>
            </w:tcMar>
          </w:tcPr>
          <w:p>
            <w:pPr>
              <w:spacing w:before="40" w:after="40" w:line="245" w:lineRule="auto"/>
              <w:jc w:val="center"/>
            </w:pPr>
            <w:r>
              <w:rPr>
                <w:b w:val="0"/>
                <w:color w:val="000000"/>
                <w:sz w:val="21"/>
              </w:rPr>
              <w:t>1314 de 1342</w:t>
            </w:r>
          </w:p>
        </w:tc>
        <w:tc>
          <w:tcPr>
            <w:tcW w:type="dxa" w:w="2736"/>
            <w:vAlign w:val="center"/>
            <w:shd w:fill="FFFFFF"/>
            <w:tcMar>
              <w:top w:w="95" w:type="dxa"/>
              <w:bottom w:w="95" w:type="dxa"/>
              <w:left w:w="95" w:type="dxa"/>
              <w:right w:w="95" w:type="dxa"/>
            </w:tcMar>
          </w:tcPr>
          <w:p>
            <w:pPr>
              <w:spacing w:before="40" w:after="40" w:line="245" w:lineRule="auto"/>
              <w:jc w:val="center"/>
            </w:pPr>
            <w:r>
              <w:rPr>
                <w:b w:val="0"/>
                <w:color w:val="000000"/>
                <w:sz w:val="21"/>
              </w:rPr>
              <w:t>97,91%</w:t>
            </w:r>
          </w:p>
        </w:tc>
      </w:tr>
      <w:tr>
        <w:trPr>
          <w:cantSplit/>
        </w:trPr>
        <w:tc>
          <w:tcPr>
            <w:tcW w:type="dxa" w:w="3888"/>
            <w:vAlign w:val="center"/>
            <w:shd w:fill="F3F3F3"/>
            <w:tcMar>
              <w:top w:w="95" w:type="dxa"/>
              <w:bottom w:w="95" w:type="dxa"/>
              <w:left w:w="95" w:type="dxa"/>
              <w:right w:w="95" w:type="dxa"/>
            </w:tcMar>
          </w:tcPr>
          <w:p>
            <w:pPr>
              <w:spacing w:before="40" w:after="40" w:line="245" w:lineRule="auto"/>
              <w:jc w:val="left"/>
            </w:pPr>
            <w:r>
              <w:rPr>
                <w:b w:val="0"/>
                <w:color w:val="000000"/>
                <w:sz w:val="21"/>
              </w:rPr>
              <w:t>Ramas de decisión</w:t>
            </w:r>
          </w:p>
        </w:tc>
        <w:tc>
          <w:tcPr>
            <w:tcW w:type="dxa" w:w="3456"/>
            <w:vAlign w:val="center"/>
            <w:shd w:fill="F3F3F3"/>
            <w:tcMar>
              <w:top w:w="95" w:type="dxa"/>
              <w:bottom w:w="95" w:type="dxa"/>
              <w:left w:w="95" w:type="dxa"/>
              <w:right w:w="95" w:type="dxa"/>
            </w:tcMar>
          </w:tcPr>
          <w:p>
            <w:pPr>
              <w:spacing w:before="40" w:after="40" w:line="245" w:lineRule="auto"/>
              <w:jc w:val="center"/>
            </w:pPr>
            <w:r>
              <w:rPr>
                <w:b w:val="0"/>
                <w:color w:val="000000"/>
                <w:sz w:val="21"/>
              </w:rPr>
              <w:t>1046 de 1104</w:t>
            </w:r>
          </w:p>
        </w:tc>
        <w:tc>
          <w:tcPr>
            <w:tcW w:type="dxa" w:w="2736"/>
            <w:vAlign w:val="center"/>
            <w:shd w:fill="F3F3F3"/>
            <w:tcMar>
              <w:top w:w="95" w:type="dxa"/>
              <w:bottom w:w="95" w:type="dxa"/>
              <w:left w:w="95" w:type="dxa"/>
              <w:right w:w="95" w:type="dxa"/>
            </w:tcMar>
          </w:tcPr>
          <w:p>
            <w:pPr>
              <w:spacing w:before="40" w:after="40" w:line="245" w:lineRule="auto"/>
              <w:jc w:val="center"/>
            </w:pPr>
            <w:r>
              <w:rPr>
                <w:b w:val="0"/>
                <w:color w:val="000000"/>
                <w:sz w:val="21"/>
              </w:rPr>
              <w:t>94,74%</w:t>
            </w:r>
          </w:p>
        </w:tc>
      </w:tr>
      <w:tr>
        <w:trPr>
          <w:cantSplit/>
        </w:trPr>
        <w:tc>
          <w:tcPr>
            <w:tcW w:type="dxa" w:w="3888"/>
            <w:vAlign w:val="center"/>
            <w:shd w:fill="FFFFFF"/>
            <w:tcMar>
              <w:top w:w="95" w:type="dxa"/>
              <w:bottom w:w="95" w:type="dxa"/>
              <w:left w:w="95" w:type="dxa"/>
              <w:right w:w="95" w:type="dxa"/>
            </w:tcMar>
          </w:tcPr>
          <w:p>
            <w:pPr>
              <w:spacing w:before="40" w:after="40" w:line="245" w:lineRule="auto"/>
              <w:jc w:val="left"/>
            </w:pPr>
            <w:r>
              <w:rPr>
                <w:b w:val="0"/>
                <w:color w:val="000000"/>
                <w:sz w:val="21"/>
              </w:rPr>
              <w:t>Funciones</w:t>
            </w:r>
          </w:p>
        </w:tc>
        <w:tc>
          <w:tcPr>
            <w:tcW w:type="dxa" w:w="3456"/>
            <w:vAlign w:val="center"/>
            <w:shd w:fill="FFFFFF"/>
            <w:tcMar>
              <w:top w:w="95" w:type="dxa"/>
              <w:bottom w:w="95" w:type="dxa"/>
              <w:left w:w="95" w:type="dxa"/>
              <w:right w:w="95" w:type="dxa"/>
            </w:tcMar>
          </w:tcPr>
          <w:p>
            <w:pPr>
              <w:spacing w:before="40" w:after="40" w:line="245" w:lineRule="auto"/>
              <w:jc w:val="center"/>
            </w:pPr>
            <w:r>
              <w:rPr>
                <w:b w:val="0"/>
                <w:color w:val="000000"/>
                <w:sz w:val="21"/>
              </w:rPr>
              <w:t>431 de 434</w:t>
            </w:r>
          </w:p>
        </w:tc>
        <w:tc>
          <w:tcPr>
            <w:tcW w:type="dxa" w:w="2736"/>
            <w:vAlign w:val="center"/>
            <w:shd w:fill="FFFFFF"/>
            <w:tcMar>
              <w:top w:w="95" w:type="dxa"/>
              <w:bottom w:w="95" w:type="dxa"/>
              <w:left w:w="95" w:type="dxa"/>
              <w:right w:w="95" w:type="dxa"/>
            </w:tcMar>
          </w:tcPr>
          <w:p>
            <w:pPr>
              <w:spacing w:before="40" w:after="40" w:line="245" w:lineRule="auto"/>
              <w:jc w:val="center"/>
            </w:pPr>
            <w:r>
              <w:rPr>
                <w:b w:val="0"/>
                <w:color w:val="000000"/>
                <w:sz w:val="21"/>
              </w:rPr>
              <w:t>99,30%</w:t>
            </w:r>
          </w:p>
        </w:tc>
      </w:tr>
      <w:tr>
        <w:trPr>
          <w:cantSplit/>
        </w:trPr>
        <w:tc>
          <w:tcPr>
            <w:tcW w:type="dxa" w:w="3888"/>
            <w:vAlign w:val="center"/>
            <w:shd w:fill="F3F3F3"/>
            <w:tcMar>
              <w:top w:w="95" w:type="dxa"/>
              <w:bottom w:w="95" w:type="dxa"/>
              <w:left w:w="95" w:type="dxa"/>
              <w:right w:w="95" w:type="dxa"/>
            </w:tcMar>
          </w:tcPr>
          <w:p>
            <w:pPr>
              <w:spacing w:before="40" w:after="40" w:line="245" w:lineRule="auto"/>
              <w:jc w:val="left"/>
            </w:pPr>
            <w:r>
              <w:rPr>
                <w:b w:val="0"/>
                <w:color w:val="000000"/>
                <w:sz w:val="21"/>
              </w:rPr>
              <w:t>Líneas</w:t>
            </w:r>
          </w:p>
        </w:tc>
        <w:tc>
          <w:tcPr>
            <w:tcW w:type="dxa" w:w="3456"/>
            <w:vAlign w:val="center"/>
            <w:shd w:fill="F3F3F3"/>
            <w:tcMar>
              <w:top w:w="95" w:type="dxa"/>
              <w:bottom w:w="95" w:type="dxa"/>
              <w:left w:w="95" w:type="dxa"/>
              <w:right w:w="95" w:type="dxa"/>
            </w:tcMar>
          </w:tcPr>
          <w:p>
            <w:pPr>
              <w:spacing w:before="40" w:after="40" w:line="245" w:lineRule="auto"/>
              <w:jc w:val="center"/>
            </w:pPr>
            <w:r>
              <w:rPr>
                <w:b w:val="0"/>
                <w:color w:val="000000"/>
                <w:sz w:val="21"/>
              </w:rPr>
              <w:t>1077 de 1088</w:t>
            </w:r>
          </w:p>
        </w:tc>
        <w:tc>
          <w:tcPr>
            <w:tcW w:type="dxa" w:w="2736"/>
            <w:vAlign w:val="center"/>
            <w:shd w:fill="F3F3F3"/>
            <w:tcMar>
              <w:top w:w="95" w:type="dxa"/>
              <w:bottom w:w="95" w:type="dxa"/>
              <w:left w:w="95" w:type="dxa"/>
              <w:right w:w="95" w:type="dxa"/>
            </w:tcMar>
          </w:tcPr>
          <w:p>
            <w:pPr>
              <w:spacing w:before="40" w:after="40" w:line="245" w:lineRule="auto"/>
              <w:jc w:val="center"/>
            </w:pPr>
            <w:r>
              <w:rPr>
                <w:b w:val="0"/>
                <w:color w:val="000000"/>
                <w:sz w:val="21"/>
              </w:rPr>
              <w:t>98,98%</w:t>
            </w:r>
          </w:p>
        </w:tc>
      </w:tr>
    </w:tbl>
    <w:p>
      <w:pPr>
        <w:spacing w:after="40" w:before="0" w:line="40" w:lineRule="exact"/>
      </w:pPr>
      <w:r>
        <w:rPr>
          <w:sz w:val="4"/>
        </w:rPr>
      </w:r>
    </w:p>
    <w:p>
      <w:pPr>
        <w:widowControl/>
      </w:pPr>
      <w:r>
        <w:t>Las líneas indican instrucciones alcanzadas; las ramas distinguen alternativas de decisión. El análisis conjunto evita interpretar una cobertura alta de líneas como verificación completa de todos los comportamientos posibles.</w:t>
      </w:r>
    </w:p>
    <w:p>
      <w:pPr>
        <w:pStyle w:val="Heading1"/>
      </w:pPr>
      <w:r>
        <w:t>Entorno de evaluación</w:t>
      </w:r>
    </w:p>
    <w:p>
      <w:pPr>
        <w:widowControl/>
      </w:pPr>
      <w:r>
        <w:t>La ejecución utilizó Windows, Node.js 24.22.1, npm 11.19.1, Vitest 5.0.5 y jsdom 30.1.3. React Testing Library y userEvent permitieron comprobar el contenido visible y las interacciones. La medición se realizó con el proveedor V8.</w:t>
      </w:r>
    </w:p>
    <w:p>
      <w:pPr>
        <w:pStyle w:val="Heading1"/>
        <w:pageBreakBefore/>
      </w:pPr>
      <w:r>
        <w:t>Alcance y metodología</w:t>
      </w:r>
    </w:p>
    <w:p>
      <w:pPr>
        <w:widowControl/>
      </w:pPr>
      <w:r>
        <w:t>La estrategia combina pruebas unitarias de componentes y reglas de negocio con pruebas de integración de navegación, proveedores de estado y servicios. Los casos verifican datos válidos e inválidos, eventos, permisos, persistencia, sincronización y recuperación ante errores.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0"/>
        <w:gridCol w:w="2160"/>
      </w:tblGrid>
      <w:tr>
        <w:trPr>
          <w:cantSplit/>
          <w:tblHeader/>
        </w:trPr>
        <w:tc>
          <w:tcPr>
            <w:tcW w:type="dxa" w:w="7920"/>
            <w:vAlign w:val="center"/>
            <w:shd w:fill="333333"/>
            <w:tcMar>
              <w:top w:w="95" w:type="dxa"/>
              <w:bottom w:w="95" w:type="dxa"/>
              <w:left w:w="95" w:type="dxa"/>
              <w:right w:w="95" w:type="dxa"/>
            </w:tcMar>
          </w:tcPr>
          <w:p>
            <w:pPr>
              <w:spacing w:before="40" w:after="40" w:line="245" w:lineRule="auto"/>
              <w:jc w:val="left"/>
            </w:pPr>
            <w:r>
              <w:rPr>
                <w:b/>
                <w:color w:val="FFFFFF"/>
                <w:sz w:val="21"/>
              </w:rPr>
              <w:t>Área de verificación</w:t>
            </w:r>
          </w:p>
        </w:tc>
        <w:tc>
          <w:tcPr>
            <w:tcW w:type="dxa" w:w="2160"/>
            <w:vAlign w:val="center"/>
            <w:shd w:fill="333333"/>
            <w:tcMar>
              <w:top w:w="95" w:type="dxa"/>
              <w:bottom w:w="95" w:type="dxa"/>
              <w:left w:w="95" w:type="dxa"/>
              <w:right w:w="95" w:type="dxa"/>
            </w:tcMar>
          </w:tcPr>
          <w:p>
            <w:pPr>
              <w:spacing w:before="40" w:after="40" w:line="245" w:lineRule="auto"/>
              <w:jc w:val="center"/>
            </w:pPr>
            <w:r>
              <w:rPr>
                <w:b/>
                <w:color w:val="FFFFFF"/>
                <w:sz w:val="21"/>
              </w:rPr>
              <w:t>Pruebas</w:t>
            </w:r>
          </w:p>
        </w:tc>
      </w:tr>
      <w:tr>
        <w:trPr>
          <w:cantSplit/>
        </w:trPr>
        <w:tc>
          <w:tcPr>
            <w:tcW w:type="dxa" w:w="7920"/>
            <w:vAlign w:val="center"/>
            <w:shd w:fill="FFFFFF"/>
            <w:tcMar>
              <w:top w:w="95" w:type="dxa"/>
              <w:bottom w:w="95" w:type="dxa"/>
              <w:left w:w="95" w:type="dxa"/>
              <w:right w:w="95" w:type="dxa"/>
            </w:tcMar>
          </w:tcPr>
          <w:p>
            <w:pPr>
              <w:spacing w:before="40" w:after="40" w:line="245" w:lineRule="auto"/>
              <w:jc w:val="left"/>
            </w:pPr>
            <w:r>
              <w:rPr>
                <w:b w:val="0"/>
                <w:color w:val="000000"/>
                <w:sz w:val="21"/>
              </w:rPr>
              <w:t>Componentes de interfaz y plantillas</w:t>
            </w:r>
          </w:p>
        </w:tc>
        <w:tc>
          <w:tcPr>
            <w:tcW w:type="dxa" w:w="2160"/>
            <w:vAlign w:val="center"/>
            <w:shd w:fill="FFFFFF"/>
            <w:tcMar>
              <w:top w:w="95" w:type="dxa"/>
              <w:bottom w:w="95" w:type="dxa"/>
              <w:left w:w="95" w:type="dxa"/>
              <w:right w:w="95" w:type="dxa"/>
            </w:tcMar>
          </w:tcPr>
          <w:p>
            <w:pPr>
              <w:spacing w:before="40" w:after="40" w:line="245" w:lineRule="auto"/>
              <w:jc w:val="center"/>
            </w:pPr>
            <w:r>
              <w:rPr>
                <w:b w:val="0"/>
                <w:color w:val="000000"/>
                <w:sz w:val="21"/>
              </w:rPr>
              <w:t>140</w:t>
            </w:r>
          </w:p>
        </w:tc>
      </w:tr>
      <w:tr>
        <w:trPr>
          <w:cantSplit/>
        </w:trPr>
        <w:tc>
          <w:tcPr>
            <w:tcW w:type="dxa" w:w="7920"/>
            <w:vAlign w:val="center"/>
            <w:shd w:fill="F3F3F3"/>
            <w:tcMar>
              <w:top w:w="95" w:type="dxa"/>
              <w:bottom w:w="95" w:type="dxa"/>
              <w:left w:w="95" w:type="dxa"/>
              <w:right w:w="95" w:type="dxa"/>
            </w:tcMar>
          </w:tcPr>
          <w:p>
            <w:pPr>
              <w:spacing w:before="40" w:after="40" w:line="245" w:lineRule="auto"/>
              <w:jc w:val="left"/>
            </w:pPr>
            <w:r>
              <w:rPr>
                <w:b w:val="0"/>
                <w:color w:val="000000"/>
                <w:sz w:val="21"/>
              </w:rPr>
              <w:t>Páginas</w:t>
            </w:r>
          </w:p>
        </w:tc>
        <w:tc>
          <w:tcPr>
            <w:tcW w:type="dxa" w:w="2160"/>
            <w:vAlign w:val="center"/>
            <w:shd w:fill="F3F3F3"/>
            <w:tcMar>
              <w:top w:w="95" w:type="dxa"/>
              <w:bottom w:w="95" w:type="dxa"/>
              <w:left w:w="95" w:type="dxa"/>
              <w:right w:w="95" w:type="dxa"/>
            </w:tcMar>
          </w:tcPr>
          <w:p>
            <w:pPr>
              <w:spacing w:before="40" w:after="40" w:line="245" w:lineRule="auto"/>
              <w:jc w:val="center"/>
            </w:pPr>
            <w:r>
              <w:rPr>
                <w:b w:val="0"/>
                <w:color w:val="000000"/>
                <w:sz w:val="21"/>
              </w:rPr>
              <w:t>35</w:t>
            </w:r>
          </w:p>
        </w:tc>
      </w:tr>
      <w:tr>
        <w:trPr>
          <w:cantSplit/>
        </w:trPr>
        <w:tc>
          <w:tcPr>
            <w:tcW w:type="dxa" w:w="7920"/>
            <w:vAlign w:val="center"/>
            <w:shd w:fill="FFFFFF"/>
            <w:tcMar>
              <w:top w:w="95" w:type="dxa"/>
              <w:bottom w:w="95" w:type="dxa"/>
              <w:left w:w="95" w:type="dxa"/>
              <w:right w:w="95" w:type="dxa"/>
            </w:tcMar>
          </w:tcPr>
          <w:p>
            <w:pPr>
              <w:spacing w:before="40" w:after="40" w:line="245" w:lineRule="auto"/>
              <w:jc w:val="left"/>
            </w:pPr>
            <w:r>
              <w:rPr>
                <w:b w:val="0"/>
                <w:color w:val="000000"/>
                <w:sz w:val="21"/>
              </w:rPr>
              <w:t>Estado compartido</w:t>
            </w:r>
          </w:p>
        </w:tc>
        <w:tc>
          <w:tcPr>
            <w:tcW w:type="dxa" w:w="2160"/>
            <w:vAlign w:val="center"/>
            <w:shd w:fill="FFFFFF"/>
            <w:tcMar>
              <w:top w:w="95" w:type="dxa"/>
              <w:bottom w:w="95" w:type="dxa"/>
              <w:left w:w="95" w:type="dxa"/>
              <w:right w:w="95" w:type="dxa"/>
            </w:tcMar>
          </w:tcPr>
          <w:p>
            <w:pPr>
              <w:spacing w:before="40" w:after="40" w:line="245" w:lineRule="auto"/>
              <w:jc w:val="center"/>
            </w:pPr>
            <w:r>
              <w:rPr>
                <w:b w:val="0"/>
                <w:color w:val="000000"/>
                <w:sz w:val="21"/>
              </w:rPr>
              <w:t>27</w:t>
            </w:r>
          </w:p>
        </w:tc>
      </w:tr>
      <w:tr>
        <w:trPr>
          <w:cantSplit/>
        </w:trPr>
        <w:tc>
          <w:tcPr>
            <w:tcW w:type="dxa" w:w="7920"/>
            <w:vAlign w:val="center"/>
            <w:shd w:fill="F3F3F3"/>
            <w:tcMar>
              <w:top w:w="95" w:type="dxa"/>
              <w:bottom w:w="95" w:type="dxa"/>
              <w:left w:w="95" w:type="dxa"/>
              <w:right w:w="95" w:type="dxa"/>
            </w:tcMar>
          </w:tcPr>
          <w:p>
            <w:pPr>
              <w:spacing w:before="40" w:after="40" w:line="245" w:lineRule="auto"/>
              <w:jc w:val="left"/>
            </w:pPr>
            <w:r>
              <w:rPr>
                <w:b w:val="0"/>
                <w:color w:val="000000"/>
                <w:sz w:val="21"/>
              </w:rPr>
              <w:t>Control de rutas</w:t>
            </w:r>
          </w:p>
        </w:tc>
        <w:tc>
          <w:tcPr>
            <w:tcW w:type="dxa" w:w="2160"/>
            <w:vAlign w:val="center"/>
            <w:shd w:fill="F3F3F3"/>
            <w:tcMar>
              <w:top w:w="95" w:type="dxa"/>
              <w:bottom w:w="95" w:type="dxa"/>
              <w:left w:w="95" w:type="dxa"/>
              <w:right w:w="95" w:type="dxa"/>
            </w:tcMar>
          </w:tcPr>
          <w:p>
            <w:pPr>
              <w:spacing w:before="40" w:after="40" w:line="245" w:lineRule="auto"/>
              <w:jc w:val="center"/>
            </w:pPr>
            <w:r>
              <w:rPr>
                <w:b w:val="0"/>
                <w:color w:val="000000"/>
                <w:sz w:val="21"/>
              </w:rPr>
              <w:t>15</w:t>
            </w:r>
          </w:p>
        </w:tc>
      </w:tr>
      <w:tr>
        <w:trPr>
          <w:cantSplit/>
        </w:trPr>
        <w:tc>
          <w:tcPr>
            <w:tcW w:type="dxa" w:w="7920"/>
            <w:vAlign w:val="center"/>
            <w:shd w:fill="FFFFFF"/>
            <w:tcMar>
              <w:top w:w="95" w:type="dxa"/>
              <w:bottom w:w="95" w:type="dxa"/>
              <w:left w:w="95" w:type="dxa"/>
              <w:right w:w="95" w:type="dxa"/>
            </w:tcMar>
          </w:tcPr>
          <w:p>
            <w:pPr>
              <w:spacing w:before="40" w:after="40" w:line="245" w:lineRule="auto"/>
              <w:jc w:val="left"/>
            </w:pPr>
            <w:r>
              <w:rPr>
                <w:b w:val="0"/>
                <w:color w:val="000000"/>
                <w:sz w:val="21"/>
              </w:rPr>
              <w:t>Servicios de datos</w:t>
            </w:r>
          </w:p>
        </w:tc>
        <w:tc>
          <w:tcPr>
            <w:tcW w:type="dxa" w:w="2160"/>
            <w:vAlign w:val="center"/>
            <w:shd w:fill="FFFFFF"/>
            <w:tcMar>
              <w:top w:w="95" w:type="dxa"/>
              <w:bottom w:w="95" w:type="dxa"/>
              <w:left w:w="95" w:type="dxa"/>
              <w:right w:w="95" w:type="dxa"/>
            </w:tcMar>
          </w:tcPr>
          <w:p>
            <w:pPr>
              <w:spacing w:before="40" w:after="40" w:line="245" w:lineRule="auto"/>
              <w:jc w:val="center"/>
            </w:pPr>
            <w:r>
              <w:rPr>
                <w:b w:val="0"/>
                <w:color w:val="000000"/>
                <w:sz w:val="21"/>
              </w:rPr>
              <w:t>115</w:t>
            </w:r>
          </w:p>
        </w:tc>
      </w:tr>
      <w:tr>
        <w:trPr>
          <w:cantSplit/>
        </w:trPr>
        <w:tc>
          <w:tcPr>
            <w:tcW w:type="dxa" w:w="7920"/>
            <w:vAlign w:val="center"/>
            <w:shd w:fill="F3F3F3"/>
            <w:tcMar>
              <w:top w:w="95" w:type="dxa"/>
              <w:bottom w:w="95" w:type="dxa"/>
              <w:left w:w="95" w:type="dxa"/>
              <w:right w:w="95" w:type="dxa"/>
            </w:tcMar>
          </w:tcPr>
          <w:p>
            <w:pPr>
              <w:spacing w:before="40" w:after="40" w:line="245" w:lineRule="auto"/>
              <w:jc w:val="left"/>
            </w:pPr>
            <w:r>
              <w:rPr>
                <w:b w:val="0"/>
                <w:color w:val="000000"/>
                <w:sz w:val="21"/>
              </w:rPr>
              <w:t>Utilidades y validaciones</w:t>
            </w:r>
          </w:p>
        </w:tc>
        <w:tc>
          <w:tcPr>
            <w:tcW w:type="dxa" w:w="2160"/>
            <w:vAlign w:val="center"/>
            <w:shd w:fill="F3F3F3"/>
            <w:tcMar>
              <w:top w:w="95" w:type="dxa"/>
              <w:bottom w:w="95" w:type="dxa"/>
              <w:left w:w="95" w:type="dxa"/>
              <w:right w:w="95" w:type="dxa"/>
            </w:tcMar>
          </w:tcPr>
          <w:p>
            <w:pPr>
              <w:spacing w:before="40" w:after="40" w:line="245" w:lineRule="auto"/>
              <w:jc w:val="center"/>
            </w:pPr>
            <w:r>
              <w:rPr>
                <w:b w:val="0"/>
                <w:color w:val="000000"/>
                <w:sz w:val="21"/>
              </w:rPr>
              <w:t>96</w:t>
            </w:r>
          </w:p>
        </w:tc>
      </w:tr>
      <w:tr>
        <w:trPr>
          <w:cantSplit/>
        </w:trPr>
        <w:tc>
          <w:tcPr>
            <w:tcW w:type="dxa" w:w="7920"/>
            <w:vAlign w:val="center"/>
            <w:shd w:fill="FFFFFF"/>
            <w:tcMar>
              <w:top w:w="95" w:type="dxa"/>
              <w:bottom w:w="95" w:type="dxa"/>
              <w:left w:w="95" w:type="dxa"/>
              <w:right w:w="95" w:type="dxa"/>
            </w:tcMar>
          </w:tcPr>
          <w:p>
            <w:pPr>
              <w:spacing w:before="40" w:after="40" w:line="245" w:lineRule="auto"/>
              <w:jc w:val="left"/>
            </w:pPr>
            <w:r>
              <w:rPr>
                <w:b w:val="0"/>
                <w:color w:val="000000"/>
                <w:sz w:val="21"/>
              </w:rPr>
              <w:t>Recorridos integrados de la aplicación</w:t>
            </w:r>
          </w:p>
        </w:tc>
        <w:tc>
          <w:tcPr>
            <w:tcW w:type="dxa" w:w="2160"/>
            <w:vAlign w:val="center"/>
            <w:shd w:fill="FFFFFF"/>
            <w:tcMar>
              <w:top w:w="95" w:type="dxa"/>
              <w:bottom w:w="95" w:type="dxa"/>
              <w:left w:w="95" w:type="dxa"/>
              <w:right w:w="95" w:type="dxa"/>
            </w:tcMar>
          </w:tcPr>
          <w:p>
            <w:pPr>
              <w:spacing w:before="40" w:after="40" w:line="245" w:lineRule="auto"/>
              <w:jc w:val="center"/>
            </w:pPr>
            <w:r>
              <w:rPr>
                <w:b w:val="0"/>
                <w:color w:val="000000"/>
                <w:sz w:val="21"/>
              </w:rPr>
              <w:t>169</w:t>
            </w:r>
          </w:p>
        </w:tc>
      </w:tr>
      <w:tr>
        <w:trPr>
          <w:cantSplit/>
        </w:trPr>
        <w:tc>
          <w:tcPr>
            <w:tcW w:type="dxa" w:w="7920"/>
            <w:vAlign w:val="center"/>
            <w:shd w:fill="F3F3F3"/>
            <w:tcMar>
              <w:top w:w="95" w:type="dxa"/>
              <w:bottom w:w="95" w:type="dxa"/>
              <w:left w:w="95" w:type="dxa"/>
              <w:right w:w="95" w:type="dxa"/>
            </w:tcMar>
          </w:tcPr>
          <w:p>
            <w:pPr>
              <w:spacing w:before="40" w:after="40" w:line="245" w:lineRule="auto"/>
              <w:jc w:val="left"/>
            </w:pPr>
            <w:r>
              <w:rPr>
                <w:b w:val="0"/>
                <w:color w:val="000000"/>
                <w:sz w:val="21"/>
              </w:rPr>
              <w:t>Total</w:t>
            </w:r>
          </w:p>
        </w:tc>
        <w:tc>
          <w:tcPr>
            <w:tcW w:type="dxa" w:w="2160"/>
            <w:vAlign w:val="center"/>
            <w:shd w:fill="F3F3F3"/>
            <w:tcMar>
              <w:top w:w="95" w:type="dxa"/>
              <w:bottom w:w="95" w:type="dxa"/>
              <w:left w:w="95" w:type="dxa"/>
              <w:right w:w="95" w:type="dxa"/>
            </w:tcMar>
          </w:tcPr>
          <w:p>
            <w:pPr>
              <w:spacing w:before="40" w:after="40" w:line="245" w:lineRule="auto"/>
              <w:jc w:val="center"/>
            </w:pPr>
            <w:r>
              <w:rPr>
                <w:b w:val="0"/>
                <w:color w:val="000000"/>
                <w:sz w:val="21"/>
              </w:rPr>
              <w:t>597</w:t>
            </w:r>
          </w:p>
        </w:tc>
      </w:tr>
    </w:tbl>
    <w:p>
      <w:pPr>
        <w:spacing w:after="40" w:before="0" w:line="40" w:lineRule="exact"/>
      </w:pPr>
      <w:r>
        <w:rPr>
          <w:sz w:val="4"/>
        </w:rPr>
      </w:r>
    </w:p>
    <w:p>
      <w:pPr>
        <w:pStyle w:val="Heading2"/>
      </w:pPr>
      <w:r>
        <w:t>Ejecución y aislamiento</w:t>
      </w:r>
    </w:p>
    <w:p>
      <w:pPr>
        <w:widowControl/>
      </w:pPr>
      <w:r>
        <w:t>Cada caso organiza la preparación de datos, la acción y la comprobación del resultado. Los conjuntos con persistencia reinician el almacenamiento y restauran los dobles utilizados para evitar interferencias entre casos.</w:t>
      </w:r>
    </w:p>
    <w:p>
      <w:pPr>
        <w:pStyle w:val="Heading2"/>
      </w:pPr>
      <w:r>
        <w:t>Dobles de prueba</w:t>
      </w:r>
    </w:p>
    <w:p>
      <w:pPr>
        <w:widowControl/>
      </w:pPr>
      <w:r>
        <w:t>Los mocks registran llamadas y argumentos de los eventos. Los espías sobre el almacenamiento provocan fallos controlados para comprobar que una operación no deje datos parciales ni elimine información previa. El control de fechas permite resultados deterministas cuando los casos lo requieren.</w:t>
      </w:r>
    </w:p>
    <w:p>
      <w:pPr>
        <w:widowControl/>
      </w:pPr>
      <w:r>
        <w:t>El entorno simulado sustituye capacidades de desplazamiento y diálogos que no reproduce de forma nativa. Estas sustituciones permiten verificar estados y mensajes, mientras la apariencia y la interacción visual se comprueban por separado en navegador.</w:t>
      </w:r>
    </w:p>
    <w:p>
      <w:pPr>
        <w:pStyle w:val="Heading2"/>
      </w:pPr>
      <w:r>
        <w:t>Frecuencia de verificación</w:t>
      </w:r>
    </w:p>
    <w:p>
      <w:pPr>
        <w:widowControl/>
      </w:pPr>
      <w:r>
        <w:t>Durante una modificación se ejecutan las pruebas del área afectada. Los cambios compartidos y el cierre de una versión requieren regresión completa; la cobertura se vuelve a medir cuando se actualiza la evidencia de calidad.</w:t>
      </w:r>
    </w:p>
    <w:p>
      <w:pPr>
        <w:pStyle w:val="Heading1"/>
        <w:pageBreakBefore/>
      </w:pPr>
      <w:r>
        <w:t>Casos representativos y resultados</w:t>
      </w:r>
    </w:p>
    <w:p>
      <w:pPr>
        <w:widowControl/>
      </w:pPr>
      <w:r>
        <w:t>Los siguientes diez casos forman parte de la ejecución aprobada y muestran verificaciones de presentación, interacción, reglas y recuperación. La selección permite explicar qué condición se prepara, qué acción ocurre y qué resultado se espera.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6192"/>
        <w:gridCol w:w="1296"/>
      </w:tblGrid>
      <w:tr>
        <w:trPr>
          <w:cantSplit/>
          <w:tblHeader/>
        </w:trPr>
        <w:tc>
          <w:tcPr>
            <w:tcW w:type="dxa" w:w="2304"/>
            <w:vAlign w:val="center"/>
            <w:shd w:fill="333333"/>
            <w:tcMar>
              <w:top w:w="95" w:type="dxa"/>
              <w:bottom w:w="95" w:type="dxa"/>
              <w:left w:w="95" w:type="dxa"/>
              <w:right w:w="95" w:type="dxa"/>
            </w:tcMar>
          </w:tcPr>
          <w:p>
            <w:pPr>
              <w:spacing w:before="40" w:after="40" w:line="245" w:lineRule="auto"/>
              <w:jc w:val="left"/>
            </w:pPr>
            <w:r>
              <w:rPr>
                <w:b/>
                <w:color w:val="FFFFFF"/>
                <w:sz w:val="21"/>
              </w:rPr>
              <w:t>Caso</w:t>
            </w:r>
          </w:p>
        </w:tc>
        <w:tc>
          <w:tcPr>
            <w:tcW w:type="dxa" w:w="6192"/>
            <w:vAlign w:val="center"/>
            <w:shd w:fill="333333"/>
            <w:tcMar>
              <w:top w:w="95" w:type="dxa"/>
              <w:bottom w:w="95" w:type="dxa"/>
              <w:left w:w="95" w:type="dxa"/>
              <w:right w:w="95" w:type="dxa"/>
            </w:tcMar>
          </w:tcPr>
          <w:p>
            <w:pPr>
              <w:spacing w:before="40" w:after="40" w:line="245" w:lineRule="auto"/>
              <w:jc w:val="left"/>
            </w:pPr>
            <w:r>
              <w:rPr>
                <w:b/>
                <w:color w:val="FFFFFF"/>
                <w:sz w:val="21"/>
              </w:rPr>
              <w:t>Comportamiento comprobado</w:t>
            </w:r>
          </w:p>
        </w:tc>
        <w:tc>
          <w:tcPr>
            <w:tcW w:type="dxa" w:w="1296"/>
            <w:vAlign w:val="center"/>
            <w:shd w:fill="333333"/>
            <w:tcMar>
              <w:top w:w="95" w:type="dxa"/>
              <w:bottom w:w="95" w:type="dxa"/>
              <w:left w:w="95" w:type="dxa"/>
              <w:right w:w="95" w:type="dxa"/>
            </w:tcMar>
          </w:tcPr>
          <w:p>
            <w:pPr>
              <w:spacing w:before="40" w:after="40" w:line="245" w:lineRule="auto"/>
              <w:jc w:val="center"/>
            </w:pPr>
            <w:r>
              <w:rPr>
                <w:b/>
                <w:color w:val="FFFFFF"/>
                <w:sz w:val="21"/>
              </w:rPr>
              <w:t>Resultado</w:t>
            </w:r>
          </w:p>
        </w:tc>
      </w:tr>
      <w:tr>
        <w:trPr>
          <w:cantSplit/>
        </w:trPr>
        <w:tc>
          <w:tcPr>
            <w:tcW w:type="dxa" w:w="2304"/>
            <w:vAlign w:val="center"/>
            <w:shd w:fill="FFFFFF"/>
            <w:tcMar>
              <w:top w:w="95" w:type="dxa"/>
              <w:bottom w:w="95" w:type="dxa"/>
              <w:left w:w="95" w:type="dxa"/>
              <w:right w:w="95" w:type="dxa"/>
            </w:tcMar>
          </w:tcPr>
          <w:p>
            <w:pPr>
              <w:spacing w:before="40" w:after="40" w:line="245" w:lineRule="auto"/>
              <w:jc w:val="left"/>
            </w:pPr>
            <w:r>
              <w:rPr>
                <w:b w:val="0"/>
                <w:color w:val="000000"/>
                <w:sz w:val="21"/>
              </w:rPr>
              <w:t>1 · Datos del producto</w:t>
            </w:r>
          </w:p>
        </w:tc>
        <w:tc>
          <w:tcPr>
            <w:tcW w:type="dxa" w:w="6192"/>
            <w:vAlign w:val="center"/>
            <w:shd w:fill="FFFFFF"/>
            <w:tcMar>
              <w:top w:w="95" w:type="dxa"/>
              <w:bottom w:w="95" w:type="dxa"/>
              <w:left w:w="95" w:type="dxa"/>
              <w:right w:w="95" w:type="dxa"/>
            </w:tcMar>
          </w:tcPr>
          <w:p>
            <w:pPr>
              <w:spacing w:before="40" w:after="40" w:line="245" w:lineRule="auto"/>
              <w:jc w:val="left"/>
            </w:pPr>
            <w:r>
              <w:rPr>
                <w:b w:val="0"/>
                <w:color w:val="000000"/>
                <w:sz w:val="21"/>
              </w:rPr>
              <w:t>La tarjeta presenta nombre, categoría y precio recibidos mediante propiedades.</w:t>
            </w:r>
          </w:p>
        </w:tc>
        <w:tc>
          <w:tcPr>
            <w:tcW w:type="dxa" w:w="1296"/>
            <w:vAlign w:val="center"/>
            <w:shd w:fill="FFFFFF"/>
            <w:tcMar>
              <w:top w:w="95" w:type="dxa"/>
              <w:bottom w:w="95" w:type="dxa"/>
              <w:left w:w="95" w:type="dxa"/>
              <w:right w:w="95" w:type="dxa"/>
            </w:tcMar>
          </w:tcPr>
          <w:p>
            <w:pPr>
              <w:spacing w:before="40" w:after="40" w:line="245" w:lineRule="auto"/>
              <w:jc w:val="center"/>
            </w:pPr>
            <w:r>
              <w:rPr>
                <w:b w:val="0"/>
                <w:color w:val="000000"/>
                <w:sz w:val="21"/>
              </w:rPr>
              <w:t>Aprobado</w:t>
            </w:r>
          </w:p>
        </w:tc>
      </w:tr>
      <w:tr>
        <w:trPr>
          <w:cantSplit/>
        </w:trPr>
        <w:tc>
          <w:tcPr>
            <w:tcW w:type="dxa" w:w="2304"/>
            <w:vAlign w:val="center"/>
            <w:shd w:fill="F3F3F3"/>
            <w:tcMar>
              <w:top w:w="95" w:type="dxa"/>
              <w:bottom w:w="95" w:type="dxa"/>
              <w:left w:w="95" w:type="dxa"/>
              <w:right w:w="95" w:type="dxa"/>
            </w:tcMar>
          </w:tcPr>
          <w:p>
            <w:pPr>
              <w:spacing w:before="40" w:after="40" w:line="245" w:lineRule="auto"/>
              <w:jc w:val="left"/>
            </w:pPr>
            <w:r>
              <w:rPr>
                <w:b w:val="0"/>
                <w:color w:val="000000"/>
                <w:sz w:val="21"/>
              </w:rPr>
              <w:t>2 · Acción de agregar</w:t>
            </w:r>
          </w:p>
        </w:tc>
        <w:tc>
          <w:tcPr>
            <w:tcW w:type="dxa" w:w="6192"/>
            <w:vAlign w:val="center"/>
            <w:shd w:fill="F3F3F3"/>
            <w:tcMar>
              <w:top w:w="95" w:type="dxa"/>
              <w:bottom w:w="95" w:type="dxa"/>
              <w:left w:w="95" w:type="dxa"/>
              <w:right w:w="95" w:type="dxa"/>
            </w:tcMar>
          </w:tcPr>
          <w:p>
            <w:pPr>
              <w:spacing w:before="40" w:after="40" w:line="245" w:lineRule="auto"/>
              <w:jc w:val="left"/>
            </w:pPr>
            <w:r>
              <w:rPr>
                <w:b w:val="0"/>
                <w:color w:val="000000"/>
                <w:sz w:val="21"/>
              </w:rPr>
              <w:t>El evento entrega el producto correcto al callback asociado al carrito.</w:t>
            </w:r>
          </w:p>
        </w:tc>
        <w:tc>
          <w:tcPr>
            <w:tcW w:type="dxa" w:w="1296"/>
            <w:vAlign w:val="center"/>
            <w:shd w:fill="F3F3F3"/>
            <w:tcMar>
              <w:top w:w="95" w:type="dxa"/>
              <w:bottom w:w="95" w:type="dxa"/>
              <w:left w:w="95" w:type="dxa"/>
              <w:right w:w="95" w:type="dxa"/>
            </w:tcMar>
          </w:tcPr>
          <w:p>
            <w:pPr>
              <w:spacing w:before="40" w:after="40" w:line="245" w:lineRule="auto"/>
              <w:jc w:val="center"/>
            </w:pPr>
            <w:r>
              <w:rPr>
                <w:b w:val="0"/>
                <w:color w:val="000000"/>
                <w:sz w:val="21"/>
              </w:rPr>
              <w:t>Aprobado</w:t>
            </w:r>
          </w:p>
        </w:tc>
      </w:tr>
      <w:tr>
        <w:trPr>
          <w:cantSplit/>
        </w:trPr>
        <w:tc>
          <w:tcPr>
            <w:tcW w:type="dxa" w:w="2304"/>
            <w:vAlign w:val="center"/>
            <w:shd w:fill="FFFFFF"/>
            <w:tcMar>
              <w:top w:w="95" w:type="dxa"/>
              <w:bottom w:w="95" w:type="dxa"/>
              <w:left w:w="95" w:type="dxa"/>
              <w:right w:w="95" w:type="dxa"/>
            </w:tcMar>
          </w:tcPr>
          <w:p>
            <w:pPr>
              <w:spacing w:before="40" w:after="40" w:line="245" w:lineRule="auto"/>
              <w:jc w:val="left"/>
            </w:pPr>
            <w:r>
              <w:rPr>
                <w:b w:val="0"/>
                <w:color w:val="000000"/>
                <w:sz w:val="21"/>
              </w:rPr>
              <w:t>3 · Producto agotado</w:t>
            </w:r>
          </w:p>
        </w:tc>
        <w:tc>
          <w:tcPr>
            <w:tcW w:type="dxa" w:w="6192"/>
            <w:vAlign w:val="center"/>
            <w:shd w:fill="FFFFFF"/>
            <w:tcMar>
              <w:top w:w="95" w:type="dxa"/>
              <w:bottom w:w="95" w:type="dxa"/>
              <w:left w:w="95" w:type="dxa"/>
              <w:right w:w="95" w:type="dxa"/>
            </w:tcMar>
          </w:tcPr>
          <w:p>
            <w:pPr>
              <w:spacing w:before="40" w:after="40" w:line="245" w:lineRule="auto"/>
              <w:jc w:val="left"/>
            </w:pPr>
            <w:r>
              <w:rPr>
                <w:b w:val="0"/>
                <w:color w:val="000000"/>
                <w:sz w:val="21"/>
              </w:rPr>
              <w:t>Un stock de cero muestra el estado Sin stock, por encima de la alerta de stock crítico.</w:t>
            </w:r>
          </w:p>
        </w:tc>
        <w:tc>
          <w:tcPr>
            <w:tcW w:type="dxa" w:w="1296"/>
            <w:vAlign w:val="center"/>
            <w:shd w:fill="FFFFFF"/>
            <w:tcMar>
              <w:top w:w="95" w:type="dxa"/>
              <w:bottom w:w="95" w:type="dxa"/>
              <w:left w:w="95" w:type="dxa"/>
              <w:right w:w="95" w:type="dxa"/>
            </w:tcMar>
          </w:tcPr>
          <w:p>
            <w:pPr>
              <w:spacing w:before="40" w:after="40" w:line="245" w:lineRule="auto"/>
              <w:jc w:val="center"/>
            </w:pPr>
            <w:r>
              <w:rPr>
                <w:b w:val="0"/>
                <w:color w:val="000000"/>
                <w:sz w:val="21"/>
              </w:rPr>
              <w:t>Aprobado</w:t>
            </w:r>
          </w:p>
        </w:tc>
      </w:tr>
      <w:tr>
        <w:trPr>
          <w:cantSplit/>
        </w:trPr>
        <w:tc>
          <w:tcPr>
            <w:tcW w:type="dxa" w:w="2304"/>
            <w:vAlign w:val="center"/>
            <w:shd w:fill="F3F3F3"/>
            <w:tcMar>
              <w:top w:w="95" w:type="dxa"/>
              <w:bottom w:w="95" w:type="dxa"/>
              <w:left w:w="95" w:type="dxa"/>
              <w:right w:w="95" w:type="dxa"/>
            </w:tcMar>
          </w:tcPr>
          <w:p>
            <w:pPr>
              <w:spacing w:before="40" w:after="40" w:line="245" w:lineRule="auto"/>
              <w:jc w:val="left"/>
            </w:pPr>
            <w:r>
              <w:rPr>
                <w:b w:val="0"/>
                <w:color w:val="000000"/>
                <w:sz w:val="21"/>
              </w:rPr>
              <w:t>4 · Cantidades bloqueadas</w:t>
            </w:r>
          </w:p>
        </w:tc>
        <w:tc>
          <w:tcPr>
            <w:tcW w:type="dxa" w:w="6192"/>
            <w:vAlign w:val="center"/>
            <w:shd w:fill="F3F3F3"/>
            <w:tcMar>
              <w:top w:w="95" w:type="dxa"/>
              <w:bottom w:w="95" w:type="dxa"/>
              <w:left w:w="95" w:type="dxa"/>
              <w:right w:w="95" w:type="dxa"/>
            </w:tcMar>
          </w:tcPr>
          <w:p>
            <w:pPr>
              <w:spacing w:before="40" w:after="40" w:line="245" w:lineRule="auto"/>
              <w:jc w:val="left"/>
            </w:pPr>
            <w:r>
              <w:rPr>
                <w:b w:val="0"/>
                <w:color w:val="000000"/>
                <w:sz w:val="21"/>
              </w:rPr>
              <w:t>Los controles deshabilitados no ejecutan callbacks de aumento o disminución.</w:t>
            </w:r>
          </w:p>
        </w:tc>
        <w:tc>
          <w:tcPr>
            <w:tcW w:type="dxa" w:w="1296"/>
            <w:vAlign w:val="center"/>
            <w:shd w:fill="F3F3F3"/>
            <w:tcMar>
              <w:top w:w="95" w:type="dxa"/>
              <w:bottom w:w="95" w:type="dxa"/>
              <w:left w:w="95" w:type="dxa"/>
              <w:right w:w="95" w:type="dxa"/>
            </w:tcMar>
          </w:tcPr>
          <w:p>
            <w:pPr>
              <w:spacing w:before="40" w:after="40" w:line="245" w:lineRule="auto"/>
              <w:jc w:val="center"/>
            </w:pPr>
            <w:r>
              <w:rPr>
                <w:b w:val="0"/>
                <w:color w:val="000000"/>
                <w:sz w:val="21"/>
              </w:rPr>
              <w:t>Aprobado</w:t>
            </w:r>
          </w:p>
        </w:tc>
      </w:tr>
      <w:tr>
        <w:trPr>
          <w:cantSplit/>
        </w:trPr>
        <w:tc>
          <w:tcPr>
            <w:tcW w:type="dxa" w:w="2304"/>
            <w:vAlign w:val="center"/>
            <w:shd w:fill="FFFFFF"/>
            <w:tcMar>
              <w:top w:w="95" w:type="dxa"/>
              <w:bottom w:w="95" w:type="dxa"/>
              <w:left w:w="95" w:type="dxa"/>
              <w:right w:w="95" w:type="dxa"/>
            </w:tcMar>
          </w:tcPr>
          <w:p>
            <w:pPr>
              <w:spacing w:before="40" w:after="40" w:line="245" w:lineRule="auto"/>
              <w:jc w:val="left"/>
            </w:pPr>
            <w:r>
              <w:rPr>
                <w:b w:val="0"/>
                <w:color w:val="000000"/>
                <w:sz w:val="21"/>
              </w:rPr>
              <w:t>5 · Despacho gratuito</w:t>
            </w:r>
          </w:p>
        </w:tc>
        <w:tc>
          <w:tcPr>
            <w:tcW w:type="dxa" w:w="6192"/>
            <w:vAlign w:val="center"/>
            <w:shd w:fill="FFFFFF"/>
            <w:tcMar>
              <w:top w:w="95" w:type="dxa"/>
              <w:bottom w:w="95" w:type="dxa"/>
              <w:left w:w="95" w:type="dxa"/>
              <w:right w:w="95" w:type="dxa"/>
            </w:tcMar>
          </w:tcPr>
          <w:p>
            <w:pPr>
              <w:spacing w:before="40" w:after="40" w:line="245" w:lineRule="auto"/>
              <w:jc w:val="left"/>
            </w:pPr>
            <w:r>
              <w:rPr>
                <w:b w:val="0"/>
                <w:color w:val="000000"/>
                <w:sz w:val="21"/>
              </w:rPr>
              <w:t>Dos unidades de $39.990 generan despacho cero y total de $79.980.</w:t>
            </w:r>
          </w:p>
        </w:tc>
        <w:tc>
          <w:tcPr>
            <w:tcW w:type="dxa" w:w="1296"/>
            <w:vAlign w:val="center"/>
            <w:shd w:fill="FFFFFF"/>
            <w:tcMar>
              <w:top w:w="95" w:type="dxa"/>
              <w:bottom w:w="95" w:type="dxa"/>
              <w:left w:w="95" w:type="dxa"/>
              <w:right w:w="95" w:type="dxa"/>
            </w:tcMar>
          </w:tcPr>
          <w:p>
            <w:pPr>
              <w:spacing w:before="40" w:after="40" w:line="245" w:lineRule="auto"/>
              <w:jc w:val="center"/>
            </w:pPr>
            <w:r>
              <w:rPr>
                <w:b w:val="0"/>
                <w:color w:val="000000"/>
                <w:sz w:val="21"/>
              </w:rPr>
              <w:t>Aprobado</w:t>
            </w:r>
          </w:p>
        </w:tc>
      </w:tr>
      <w:tr>
        <w:trPr>
          <w:cantSplit/>
        </w:trPr>
        <w:tc>
          <w:tcPr>
            <w:tcW w:type="dxa" w:w="2304"/>
            <w:vAlign w:val="center"/>
            <w:shd w:fill="F3F3F3"/>
            <w:tcMar>
              <w:top w:w="95" w:type="dxa"/>
              <w:bottom w:w="95" w:type="dxa"/>
              <w:left w:w="95" w:type="dxa"/>
              <w:right w:w="95" w:type="dxa"/>
            </w:tcMar>
          </w:tcPr>
          <w:p>
            <w:pPr>
              <w:spacing w:before="40" w:after="40" w:line="245" w:lineRule="auto"/>
              <w:jc w:val="left"/>
            </w:pPr>
            <w:r>
              <w:rPr>
                <w:b w:val="0"/>
                <w:color w:val="000000"/>
                <w:sz w:val="21"/>
              </w:rPr>
              <w:t>6 · Búsqueda de catálogo</w:t>
            </w:r>
          </w:p>
        </w:tc>
        <w:tc>
          <w:tcPr>
            <w:tcW w:type="dxa" w:w="6192"/>
            <w:vAlign w:val="center"/>
            <w:shd w:fill="F3F3F3"/>
            <w:tcMar>
              <w:top w:w="95" w:type="dxa"/>
              <w:bottom w:w="95" w:type="dxa"/>
              <w:left w:w="95" w:type="dxa"/>
              <w:right w:w="95" w:type="dxa"/>
            </w:tcMar>
          </w:tcPr>
          <w:p>
            <w:pPr>
              <w:spacing w:before="40" w:after="40" w:line="245" w:lineRule="auto"/>
              <w:jc w:val="left"/>
            </w:pPr>
            <w:r>
              <w:rPr>
                <w:b w:val="0"/>
                <w:color w:val="000000"/>
                <w:sz w:val="21"/>
              </w:rPr>
              <w:t>La escritura en el buscador muestra coincidencias y retira productos ajenos al criterio.</w:t>
            </w:r>
          </w:p>
        </w:tc>
        <w:tc>
          <w:tcPr>
            <w:tcW w:type="dxa" w:w="1296"/>
            <w:vAlign w:val="center"/>
            <w:shd w:fill="F3F3F3"/>
            <w:tcMar>
              <w:top w:w="95" w:type="dxa"/>
              <w:bottom w:w="95" w:type="dxa"/>
              <w:left w:w="95" w:type="dxa"/>
              <w:right w:w="95" w:type="dxa"/>
            </w:tcMar>
          </w:tcPr>
          <w:p>
            <w:pPr>
              <w:spacing w:before="40" w:after="40" w:line="245" w:lineRule="auto"/>
              <w:jc w:val="center"/>
            </w:pPr>
            <w:r>
              <w:rPr>
                <w:b w:val="0"/>
                <w:color w:val="000000"/>
                <w:sz w:val="21"/>
              </w:rPr>
              <w:t>Aprobado</w:t>
            </w:r>
          </w:p>
        </w:tc>
      </w:tr>
      <w:tr>
        <w:trPr>
          <w:cantSplit/>
        </w:trPr>
        <w:tc>
          <w:tcPr>
            <w:tcW w:type="dxa" w:w="2304"/>
            <w:vAlign w:val="center"/>
            <w:shd w:fill="FFFFFF"/>
            <w:tcMar>
              <w:top w:w="95" w:type="dxa"/>
              <w:bottom w:w="95" w:type="dxa"/>
              <w:left w:w="95" w:type="dxa"/>
              <w:right w:w="95" w:type="dxa"/>
            </w:tcMar>
          </w:tcPr>
          <w:p>
            <w:pPr>
              <w:spacing w:before="40" w:after="40" w:line="245" w:lineRule="auto"/>
              <w:jc w:val="left"/>
            </w:pPr>
            <w:r>
              <w:rPr>
                <w:b w:val="0"/>
                <w:color w:val="000000"/>
                <w:sz w:val="21"/>
              </w:rPr>
              <w:t>7 · Menú móvil</w:t>
            </w:r>
          </w:p>
        </w:tc>
        <w:tc>
          <w:tcPr>
            <w:tcW w:type="dxa" w:w="6192"/>
            <w:vAlign w:val="center"/>
            <w:shd w:fill="FFFFFF"/>
            <w:tcMar>
              <w:top w:w="95" w:type="dxa"/>
              <w:bottom w:w="95" w:type="dxa"/>
              <w:left w:w="95" w:type="dxa"/>
              <w:right w:w="95" w:type="dxa"/>
            </w:tcMar>
          </w:tcPr>
          <w:p>
            <w:pPr>
              <w:spacing w:before="40" w:after="40" w:line="245" w:lineRule="auto"/>
              <w:jc w:val="left"/>
            </w:pPr>
            <w:r>
              <w:rPr>
                <w:b w:val="0"/>
                <w:color w:val="000000"/>
                <w:sz w:val="21"/>
              </w:rPr>
              <w:t>La apertura y el cierre actualizan el estado accesible; la navegación cierra el menú.</w:t>
            </w:r>
          </w:p>
        </w:tc>
        <w:tc>
          <w:tcPr>
            <w:tcW w:type="dxa" w:w="1296"/>
            <w:vAlign w:val="center"/>
            <w:shd w:fill="FFFFFF"/>
            <w:tcMar>
              <w:top w:w="95" w:type="dxa"/>
              <w:bottom w:w="95" w:type="dxa"/>
              <w:left w:w="95" w:type="dxa"/>
              <w:right w:w="95" w:type="dxa"/>
            </w:tcMar>
          </w:tcPr>
          <w:p>
            <w:pPr>
              <w:spacing w:before="40" w:after="40" w:line="245" w:lineRule="auto"/>
              <w:jc w:val="center"/>
            </w:pPr>
            <w:r>
              <w:rPr>
                <w:b w:val="0"/>
                <w:color w:val="000000"/>
                <w:sz w:val="21"/>
              </w:rPr>
              <w:t>Aprobado</w:t>
            </w:r>
          </w:p>
        </w:tc>
      </w:tr>
      <w:tr>
        <w:trPr>
          <w:cantSplit/>
        </w:trPr>
        <w:tc>
          <w:tcPr>
            <w:tcW w:type="dxa" w:w="2304"/>
            <w:vAlign w:val="center"/>
            <w:shd w:fill="F3F3F3"/>
            <w:tcMar>
              <w:top w:w="95" w:type="dxa"/>
              <w:bottom w:w="95" w:type="dxa"/>
              <w:left w:w="95" w:type="dxa"/>
              <w:right w:w="95" w:type="dxa"/>
            </w:tcMar>
          </w:tcPr>
          <w:p>
            <w:pPr>
              <w:spacing w:before="40" w:after="40" w:line="245" w:lineRule="auto"/>
              <w:jc w:val="left"/>
            </w:pPr>
            <w:r>
              <w:rPr>
                <w:b w:val="0"/>
                <w:color w:val="000000"/>
                <w:sz w:val="21"/>
              </w:rPr>
              <w:t>8 · Región y comuna</w:t>
            </w:r>
          </w:p>
        </w:tc>
        <w:tc>
          <w:tcPr>
            <w:tcW w:type="dxa" w:w="6192"/>
            <w:vAlign w:val="center"/>
            <w:shd w:fill="F3F3F3"/>
            <w:tcMar>
              <w:top w:w="95" w:type="dxa"/>
              <w:bottom w:w="95" w:type="dxa"/>
              <w:left w:w="95" w:type="dxa"/>
              <w:right w:w="95" w:type="dxa"/>
            </w:tcMar>
          </w:tcPr>
          <w:p>
            <w:pPr>
              <w:spacing w:before="40" w:after="40" w:line="245" w:lineRule="auto"/>
              <w:jc w:val="left"/>
            </w:pPr>
            <w:r>
              <w:rPr>
                <w:b w:val="0"/>
                <w:color w:val="000000"/>
                <w:sz w:val="21"/>
              </w:rPr>
              <w:t>Cambiar la región reinicia la comuna y limita las opciones a la nueva selección.</w:t>
            </w:r>
          </w:p>
        </w:tc>
        <w:tc>
          <w:tcPr>
            <w:tcW w:type="dxa" w:w="1296"/>
            <w:vAlign w:val="center"/>
            <w:shd w:fill="F3F3F3"/>
            <w:tcMar>
              <w:top w:w="95" w:type="dxa"/>
              <w:bottom w:w="95" w:type="dxa"/>
              <w:left w:w="95" w:type="dxa"/>
              <w:right w:w="95" w:type="dxa"/>
            </w:tcMar>
          </w:tcPr>
          <w:p>
            <w:pPr>
              <w:spacing w:before="40" w:after="40" w:line="245" w:lineRule="auto"/>
              <w:jc w:val="center"/>
            </w:pPr>
            <w:r>
              <w:rPr>
                <w:b w:val="0"/>
                <w:color w:val="000000"/>
                <w:sz w:val="21"/>
              </w:rPr>
              <w:t>Aprobado</w:t>
            </w:r>
          </w:p>
        </w:tc>
      </w:tr>
      <w:tr>
        <w:trPr>
          <w:cantSplit/>
        </w:trPr>
        <w:tc>
          <w:tcPr>
            <w:tcW w:type="dxa" w:w="2304"/>
            <w:vAlign w:val="center"/>
            <w:shd w:fill="FFFFFF"/>
            <w:tcMar>
              <w:top w:w="95" w:type="dxa"/>
              <w:bottom w:w="95" w:type="dxa"/>
              <w:left w:w="95" w:type="dxa"/>
              <w:right w:w="95" w:type="dxa"/>
            </w:tcMar>
          </w:tcPr>
          <w:p>
            <w:pPr>
              <w:spacing w:before="40" w:after="40" w:line="245" w:lineRule="auto"/>
              <w:jc w:val="left"/>
            </w:pPr>
            <w:r>
              <w:rPr>
                <w:b w:val="0"/>
                <w:color w:val="000000"/>
                <w:sz w:val="21"/>
              </w:rPr>
              <w:t>9 · Acceso protegido</w:t>
            </w:r>
          </w:p>
        </w:tc>
        <w:tc>
          <w:tcPr>
            <w:tcW w:type="dxa" w:w="6192"/>
            <w:vAlign w:val="center"/>
            <w:shd w:fill="FFFFFF"/>
            <w:tcMar>
              <w:top w:w="95" w:type="dxa"/>
              <w:bottom w:w="95" w:type="dxa"/>
              <w:left w:w="95" w:type="dxa"/>
              <w:right w:w="95" w:type="dxa"/>
            </w:tcMar>
          </w:tcPr>
          <w:p>
            <w:pPr>
              <w:spacing w:before="40" w:after="40" w:line="245" w:lineRule="auto"/>
              <w:jc w:val="left"/>
            </w:pPr>
            <w:r>
              <w:rPr>
                <w:b w:val="0"/>
                <w:color w:val="000000"/>
                <w:sz w:val="21"/>
              </w:rPr>
              <w:t>Una visita sin sesión recibe acceso a autenticación y no monta el contenido privado.</w:t>
            </w:r>
          </w:p>
        </w:tc>
        <w:tc>
          <w:tcPr>
            <w:tcW w:type="dxa" w:w="1296"/>
            <w:vAlign w:val="center"/>
            <w:shd w:fill="FFFFFF"/>
            <w:tcMar>
              <w:top w:w="95" w:type="dxa"/>
              <w:bottom w:w="95" w:type="dxa"/>
              <w:left w:w="95" w:type="dxa"/>
              <w:right w:w="95" w:type="dxa"/>
            </w:tcMar>
          </w:tcPr>
          <w:p>
            <w:pPr>
              <w:spacing w:before="40" w:after="40" w:line="245" w:lineRule="auto"/>
              <w:jc w:val="center"/>
            </w:pPr>
            <w:r>
              <w:rPr>
                <w:b w:val="0"/>
                <w:color w:val="000000"/>
                <w:sz w:val="21"/>
              </w:rPr>
              <w:t>Aprobado</w:t>
            </w:r>
          </w:p>
        </w:tc>
      </w:tr>
      <w:tr>
        <w:trPr>
          <w:cantSplit/>
        </w:trPr>
        <w:tc>
          <w:tcPr>
            <w:tcW w:type="dxa" w:w="2304"/>
            <w:vAlign w:val="center"/>
            <w:shd w:fill="F3F3F3"/>
            <w:tcMar>
              <w:top w:w="95" w:type="dxa"/>
              <w:bottom w:w="95" w:type="dxa"/>
              <w:left w:w="95" w:type="dxa"/>
              <w:right w:w="95" w:type="dxa"/>
            </w:tcMar>
          </w:tcPr>
          <w:p>
            <w:pPr>
              <w:spacing w:before="40" w:after="40" w:line="245" w:lineRule="auto"/>
              <w:jc w:val="left"/>
            </w:pPr>
            <w:r>
              <w:rPr>
                <w:b w:val="0"/>
                <w:color w:val="000000"/>
                <w:sz w:val="21"/>
              </w:rPr>
              <w:t>10 · Fallo de almacenamiento</w:t>
            </w:r>
          </w:p>
        </w:tc>
        <w:tc>
          <w:tcPr>
            <w:tcW w:type="dxa" w:w="6192"/>
            <w:vAlign w:val="center"/>
            <w:shd w:fill="F3F3F3"/>
            <w:tcMar>
              <w:top w:w="95" w:type="dxa"/>
              <w:bottom w:w="95" w:type="dxa"/>
              <w:left w:w="95" w:type="dxa"/>
              <w:right w:w="95" w:type="dxa"/>
            </w:tcMar>
          </w:tcPr>
          <w:p>
            <w:pPr>
              <w:spacing w:before="40" w:after="40" w:line="245" w:lineRule="auto"/>
              <w:jc w:val="left"/>
            </w:pPr>
            <w:r>
              <w:rPr>
                <w:b w:val="0"/>
                <w:color w:val="000000"/>
                <w:sz w:val="21"/>
              </w:rPr>
              <w:t>Un error al guardar el perfil propio conserva los usuarios y revierte la sesión anterior.</w:t>
            </w:r>
          </w:p>
        </w:tc>
        <w:tc>
          <w:tcPr>
            <w:tcW w:type="dxa" w:w="1296"/>
            <w:vAlign w:val="center"/>
            <w:shd w:fill="F3F3F3"/>
            <w:tcMar>
              <w:top w:w="95" w:type="dxa"/>
              <w:bottom w:w="95" w:type="dxa"/>
              <w:left w:w="95" w:type="dxa"/>
              <w:right w:w="95" w:type="dxa"/>
            </w:tcMar>
          </w:tcPr>
          <w:p>
            <w:pPr>
              <w:spacing w:before="40" w:after="40" w:line="245" w:lineRule="auto"/>
              <w:jc w:val="center"/>
            </w:pPr>
            <w:r>
              <w:rPr>
                <w:b w:val="0"/>
                <w:color w:val="000000"/>
                <w:sz w:val="21"/>
              </w:rPr>
              <w:t>Aprobado</w:t>
            </w:r>
          </w:p>
        </w:tc>
      </w:tr>
    </w:tbl>
    <w:p>
      <w:pPr>
        <w:spacing w:after="40" w:before="0" w:line="40" w:lineRule="exact"/>
      </w:pPr>
      <w:r>
        <w:rPr>
          <w:sz w:val="4"/>
        </w:rPr>
      </w:r>
    </w:p>
    <w:p>
      <w:pPr>
        <w:pStyle w:val="Heading1"/>
      </w:pPr>
      <w:r>
        <w:t>Corrección de las imágenes del carrito</w:t>
      </w:r>
    </w:p>
    <w:p>
      <w:pPr>
        <w:widowControl/>
      </w:pPr>
      <w:r>
        <w:t>La verificación detectó que el carrito utilizaba un ícono fijo. La corrección incorporó el componente compartido de imágenes y ajustó la miniatura a su contenedor. Dos aserciones reprodujeron el fallo antes del cambio; después aprobaron los nueve casos relacionados y la regresión completa.</w:t>
      </w:r>
    </w:p>
    <w:p>
      <w:pPr>
        <w:widowControl/>
      </w:pPr>
      <w:r>
        <w:t>La revisión de navegador confirmó la fotografía después de recargar, tanto en 1280 × 900 como en 390 × 844 píxeles, sin desbordamiento horizontal ni errores de consola en ese recorrido.</w:t>
      </w:r>
    </w:p>
    <w:p>
      <w:pPr>
        <w:pStyle w:val="Heading1"/>
        <w:pageBreakBefore/>
      </w:pPr>
      <w:r>
        <w:t>Evaluación de resultados y límites</w:t>
      </w:r>
    </w:p>
    <w:p>
      <w:pPr>
        <w:pStyle w:val="Heading1"/>
      </w:pPr>
      <w:r>
        <w:t>Revisión funcional en navegador</w:t>
      </w:r>
    </w:p>
    <w:p>
      <w:pPr>
        <w:widowControl/>
      </w:pPr>
      <w:r>
        <w:t>La revisión transversal cubrió 22 rutas y variantes de las 20 pantallas, en tres tamaños de pantalla. Las 66 comprobaciones no detectaron desbordamiento horizontal de página ni errores en imágenes que habían terminado de cargar. También se revisaron cinco destinos inexistentes, permisos por perfil, formularios, menú móvil y persistencia de carrito y rutina.</w:t>
      </w:r>
    </w:p>
    <w:p>
      <w:pPr>
        <w:widowControl/>
      </w:pPr>
      <w:r>
        <w:t>La revisión administrativa comprobó creación, edición y eliminación de un producto de prueba, incluida la cancelación previa del borrado. La aplicación conservó compra y rutina al recargar y cerrar sesión. Estas observaciones corresponden a los estados recorridos en un navegador basado en Chromium.</w:t>
      </w:r>
    </w:p>
    <w:p>
      <w:pPr>
        <w:pStyle w:val="Heading1"/>
      </w:pPr>
      <w:r>
        <w:t>Riesgos residuales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2592"/>
        <w:gridCol w:w="5040"/>
      </w:tblGrid>
      <w:tr>
        <w:trPr>
          <w:cantSplit/>
          <w:tblHeader/>
        </w:trPr>
        <w:tc>
          <w:tcPr>
            <w:tcW w:type="dxa" w:w="2448"/>
            <w:vAlign w:val="center"/>
            <w:shd w:fill="333333"/>
            <w:tcMar>
              <w:top w:w="95" w:type="dxa"/>
              <w:bottom w:w="95" w:type="dxa"/>
              <w:left w:w="95" w:type="dxa"/>
              <w:right w:w="95" w:type="dxa"/>
            </w:tcMar>
          </w:tcPr>
          <w:p>
            <w:pPr>
              <w:spacing w:before="40" w:after="40" w:line="245" w:lineRule="auto"/>
              <w:jc w:val="left"/>
            </w:pPr>
            <w:r>
              <w:rPr>
                <w:b/>
                <w:color w:val="FFFFFF"/>
                <w:sz w:val="21"/>
              </w:rPr>
              <w:t>Zona</w:t>
            </w:r>
          </w:p>
        </w:tc>
        <w:tc>
          <w:tcPr>
            <w:tcW w:type="dxa" w:w="2592"/>
            <w:vAlign w:val="center"/>
            <w:shd w:fill="333333"/>
            <w:tcMar>
              <w:top w:w="95" w:type="dxa"/>
              <w:bottom w:w="95" w:type="dxa"/>
              <w:left w:w="95" w:type="dxa"/>
              <w:right w:w="95" w:type="dxa"/>
            </w:tcMar>
          </w:tcPr>
          <w:p>
            <w:pPr>
              <w:spacing w:before="40" w:after="40" w:line="245" w:lineRule="auto"/>
              <w:jc w:val="center"/>
            </w:pPr>
            <w:r>
              <w:rPr>
                <w:b/>
                <w:color w:val="FFFFFF"/>
                <w:sz w:val="21"/>
              </w:rPr>
              <w:t>Cobertura de ramas</w:t>
            </w:r>
          </w:p>
        </w:tc>
        <w:tc>
          <w:tcPr>
            <w:tcW w:type="dxa" w:w="5040"/>
            <w:vAlign w:val="center"/>
            <w:shd w:fill="333333"/>
            <w:tcMar>
              <w:top w:w="95" w:type="dxa"/>
              <w:bottom w:w="95" w:type="dxa"/>
              <w:left w:w="95" w:type="dxa"/>
              <w:right w:w="95" w:type="dxa"/>
            </w:tcMar>
          </w:tcPr>
          <w:p>
            <w:pPr>
              <w:spacing w:before="40" w:after="40" w:line="245" w:lineRule="auto"/>
              <w:jc w:val="left"/>
            </w:pPr>
            <w:r>
              <w:rPr>
                <w:b/>
                <w:color w:val="FFFFFF"/>
                <w:sz w:val="21"/>
              </w:rPr>
              <w:t>Aspecto pendiente</w:t>
            </w:r>
          </w:p>
        </w:tc>
      </w:tr>
      <w:tr>
        <w:trPr>
          <w:cantSplit/>
        </w:trPr>
        <w:tc>
          <w:tcPr>
            <w:tcW w:type="dxa" w:w="2448"/>
            <w:vAlign w:val="center"/>
            <w:shd w:fill="FFFFFF"/>
            <w:tcMar>
              <w:top w:w="95" w:type="dxa"/>
              <w:bottom w:w="95" w:type="dxa"/>
              <w:left w:w="95" w:type="dxa"/>
              <w:right w:w="95" w:type="dxa"/>
            </w:tcMar>
          </w:tcPr>
          <w:p>
            <w:pPr>
              <w:spacing w:before="40" w:after="40" w:line="245" w:lineRule="auto"/>
              <w:jc w:val="left"/>
            </w:pPr>
            <w:r>
              <w:rPr>
                <w:b w:val="0"/>
                <w:color w:val="000000"/>
                <w:sz w:val="21"/>
              </w:rPr>
              <w:t>Reglas del carrito</w:t>
            </w:r>
          </w:p>
        </w:tc>
        <w:tc>
          <w:tcPr>
            <w:tcW w:type="dxa" w:w="2592"/>
            <w:vAlign w:val="center"/>
            <w:shd w:fill="FFFFFF"/>
            <w:tcMar>
              <w:top w:w="95" w:type="dxa"/>
              <w:bottom w:w="95" w:type="dxa"/>
              <w:left w:w="95" w:type="dxa"/>
              <w:right w:w="95" w:type="dxa"/>
            </w:tcMar>
          </w:tcPr>
          <w:p>
            <w:pPr>
              <w:spacing w:before="40" w:after="40" w:line="245" w:lineRule="auto"/>
              <w:jc w:val="center"/>
            </w:pPr>
            <w:r>
              <w:rPr>
                <w:b w:val="0"/>
                <w:color w:val="000000"/>
                <w:sz w:val="21"/>
              </w:rPr>
              <w:t>68,18%</w:t>
            </w:r>
          </w:p>
        </w:tc>
        <w:tc>
          <w:tcPr>
            <w:tcW w:type="dxa" w:w="5040"/>
            <w:vAlign w:val="center"/>
            <w:shd w:fill="FFFFFF"/>
            <w:tcMar>
              <w:top w:w="95" w:type="dxa"/>
              <w:bottom w:w="95" w:type="dxa"/>
              <w:left w:w="95" w:type="dxa"/>
              <w:right w:w="95" w:type="dxa"/>
            </w:tcMar>
          </w:tcPr>
          <w:p>
            <w:pPr>
              <w:spacing w:before="40" w:after="40" w:line="245" w:lineRule="auto"/>
              <w:jc w:val="left"/>
            </w:pPr>
            <w:r>
              <w:rPr>
                <w:b w:val="0"/>
                <w:color w:val="000000"/>
                <w:sz w:val="21"/>
              </w:rPr>
              <w:t>Combinaciones alternativas de entradas y normalización.</w:t>
            </w:r>
          </w:p>
        </w:tc>
      </w:tr>
      <w:tr>
        <w:trPr>
          <w:cantSplit/>
        </w:trPr>
        <w:tc>
          <w:tcPr>
            <w:tcW w:type="dxa" w:w="2448"/>
            <w:vAlign w:val="center"/>
            <w:shd w:fill="F3F3F3"/>
            <w:tcMar>
              <w:top w:w="95" w:type="dxa"/>
              <w:bottom w:w="95" w:type="dxa"/>
              <w:left w:w="95" w:type="dxa"/>
              <w:right w:w="95" w:type="dxa"/>
            </w:tcMar>
          </w:tcPr>
          <w:p>
            <w:pPr>
              <w:spacing w:before="40" w:after="40" w:line="245" w:lineRule="auto"/>
              <w:jc w:val="left"/>
            </w:pPr>
            <w:r>
              <w:rPr>
                <w:b w:val="0"/>
                <w:color w:val="000000"/>
                <w:sz w:val="21"/>
              </w:rPr>
              <w:t>Estado del carrito</w:t>
            </w:r>
          </w:p>
        </w:tc>
        <w:tc>
          <w:tcPr>
            <w:tcW w:type="dxa" w:w="2592"/>
            <w:vAlign w:val="center"/>
            <w:shd w:fill="F3F3F3"/>
            <w:tcMar>
              <w:top w:w="95" w:type="dxa"/>
              <w:bottom w:w="95" w:type="dxa"/>
              <w:left w:w="95" w:type="dxa"/>
              <w:right w:w="95" w:type="dxa"/>
            </w:tcMar>
          </w:tcPr>
          <w:p>
            <w:pPr>
              <w:spacing w:before="40" w:after="40" w:line="245" w:lineRule="auto"/>
              <w:jc w:val="center"/>
            </w:pPr>
            <w:r>
              <w:rPr>
                <w:b w:val="0"/>
                <w:color w:val="000000"/>
                <w:sz w:val="21"/>
              </w:rPr>
              <w:t>84,61%</w:t>
            </w:r>
          </w:p>
        </w:tc>
        <w:tc>
          <w:tcPr>
            <w:tcW w:type="dxa" w:w="5040"/>
            <w:vAlign w:val="center"/>
            <w:shd w:fill="F3F3F3"/>
            <w:tcMar>
              <w:top w:w="95" w:type="dxa"/>
              <w:bottom w:w="95" w:type="dxa"/>
              <w:left w:w="95" w:type="dxa"/>
              <w:right w:w="95" w:type="dxa"/>
            </w:tcMar>
          </w:tcPr>
          <w:p>
            <w:pPr>
              <w:spacing w:before="40" w:after="40" w:line="245" w:lineRule="auto"/>
              <w:jc w:val="left"/>
            </w:pPr>
            <w:r>
              <w:rPr>
                <w:b w:val="0"/>
                <w:color w:val="000000"/>
                <w:sz w:val="21"/>
              </w:rPr>
              <w:t>Variantes de decisión sobre datos y recuperación.</w:t>
            </w:r>
          </w:p>
        </w:tc>
      </w:tr>
      <w:tr>
        <w:trPr>
          <w:cantSplit/>
        </w:trPr>
        <w:tc>
          <w:tcPr>
            <w:tcW w:type="dxa" w:w="2448"/>
            <w:vAlign w:val="center"/>
            <w:shd w:fill="FFFFFF"/>
            <w:tcMar>
              <w:top w:w="95" w:type="dxa"/>
              <w:bottom w:w="95" w:type="dxa"/>
              <w:left w:w="95" w:type="dxa"/>
              <w:right w:w="95" w:type="dxa"/>
            </w:tcMar>
          </w:tcPr>
          <w:p>
            <w:pPr>
              <w:spacing w:before="40" w:after="40" w:line="245" w:lineRule="auto"/>
              <w:jc w:val="left"/>
            </w:pPr>
            <w:r>
              <w:rPr>
                <w:b w:val="0"/>
                <w:color w:val="000000"/>
                <w:sz w:val="21"/>
              </w:rPr>
              <w:t>Construcción de rutina</w:t>
            </w:r>
          </w:p>
        </w:tc>
        <w:tc>
          <w:tcPr>
            <w:tcW w:type="dxa" w:w="2592"/>
            <w:vAlign w:val="center"/>
            <w:shd w:fill="FFFFFF"/>
            <w:tcMar>
              <w:top w:w="95" w:type="dxa"/>
              <w:bottom w:w="95" w:type="dxa"/>
              <w:left w:w="95" w:type="dxa"/>
              <w:right w:w="95" w:type="dxa"/>
            </w:tcMar>
          </w:tcPr>
          <w:p>
            <w:pPr>
              <w:spacing w:before="40" w:after="40" w:line="245" w:lineRule="auto"/>
              <w:jc w:val="center"/>
            </w:pPr>
            <w:r>
              <w:rPr>
                <w:b w:val="0"/>
                <w:color w:val="000000"/>
                <w:sz w:val="21"/>
              </w:rPr>
              <w:t>78,94%</w:t>
            </w:r>
          </w:p>
        </w:tc>
        <w:tc>
          <w:tcPr>
            <w:tcW w:type="dxa" w:w="5040"/>
            <w:vAlign w:val="center"/>
            <w:shd w:fill="FFFFFF"/>
            <w:tcMar>
              <w:top w:w="95" w:type="dxa"/>
              <w:bottom w:w="95" w:type="dxa"/>
              <w:left w:w="95" w:type="dxa"/>
              <w:right w:w="95" w:type="dxa"/>
            </w:tcMar>
          </w:tcPr>
          <w:p>
            <w:pPr>
              <w:spacing w:before="40" w:after="40" w:line="245" w:lineRule="auto"/>
              <w:jc w:val="left"/>
            </w:pPr>
            <w:r>
              <w:rPr>
                <w:b w:val="0"/>
                <w:color w:val="000000"/>
                <w:sz w:val="21"/>
              </w:rPr>
              <w:t>Alternativas de error y recuperación en la interfaz.</w:t>
            </w:r>
          </w:p>
        </w:tc>
      </w:tr>
    </w:tbl>
    <w:p>
      <w:pPr>
        <w:spacing w:after="40" w:before="0" w:line="40" w:lineRule="exact"/>
      </w:pPr>
      <w:r>
        <w:rPr>
          <w:sz w:val="4"/>
        </w:rPr>
      </w:r>
    </w:p>
    <w:p>
      <w:pPr>
        <w:widowControl/>
      </w:pPr>
      <w:r>
        <w:t>Las próximas ampliaciones de pruebas deberán priorizar escenarios observables y límites de negocio. El aumento de un porcentaje, por sí solo, no demuestra una mejora de calidad.</w:t>
      </w:r>
    </w:p>
    <w:p>
      <w:pPr>
        <w:pStyle w:val="Heading1"/>
      </w:pPr>
      <w:r>
        <w:t>Exclusiones y aceptación pendiente</w:t>
      </w:r>
    </w:p>
    <w:p>
      <w:pPr>
        <w:widowControl/>
      </w:pPr>
      <w:r>
        <w:t>La instrumentación excluye el punto de arranque, los auxiliares de prueba y las propias pruebas. La medición no acredita estilos, servicios externos, rendimiento real ni comportamiento en todos los navegadores. El entorno simulado tampoco reproduce íntegramente el diseño visual o las tecnologías de asistencia.</w:t>
      </w:r>
    </w:p>
    <w:p>
      <w:pPr>
        <w:widowControl/>
      </w:pPr>
      <w:r>
        <w:t>Continúan pendientes la matriz Chrome, Edge, Firefox y Safari, las mediciones de carga de 3 segundos y respuesta inferior a 300 milisegundos, y la reproducción del video externo, cuyo proveedor mostró restricción con código 151.</w:t>
      </w:r>
    </w:p>
    <w:p>
      <w:pPr>
        <w:widowControl/>
      </w:pPr>
      <w:r>
        <w:t>La versión presenta resultados satisfactorios dentro del alcance académico Front End y de los escenarios evaluados. Su aceptación integral queda condicionada a completar las comprobaciones anteriores. La operación productiva requerirá servicios de servidor y controles adicionales de seguridad y persistencia.</w:t>
      </w:r>
    </w:p>
    <w:p>
      <w:pPr>
        <w:pStyle w:val="Heading1"/>
        <w:pageBreakBefore/>
      </w:pPr>
      <w:r>
        <w:t>Verificación tras la depuración</w:t>
      </w:r>
    </w:p>
    <w:p>
      <w:r>
        <w:t>La eliminación de 51 archivos antiguos se verificó mediante revisión de dependencias, regresión automatizada y comparación de la compilación. Las responsabilidades retiradas ya están cubiertas por la implementación React vigente.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080"/>
        <w:gridCol w:w="6624"/>
      </w:tblGrid>
      <w:tr>
        <w:trPr>
          <w:cantSplit/>
          <w:tblHeader/>
        </w:trPr>
        <w:tc>
          <w:tcPr>
            <w:tcW w:type="dxa" w:w="2376"/>
            <w:vAlign w:val="center"/>
            <w:shd w:fill="333333"/>
            <w:tcMar>
              <w:top w:w="95" w:type="dxa"/>
              <w:bottom w:w="95" w:type="dxa"/>
              <w:left w:w="95" w:type="dxa"/>
              <w:right w:w="95" w:type="dxa"/>
            </w:tcMar>
          </w:tcPr>
          <w:p>
            <w:pPr>
              <w:spacing w:before="40" w:after="40" w:line="245" w:lineRule="auto"/>
            </w:pPr>
            <w:r>
              <w:rPr>
                <w:b/>
                <w:color w:val="FFFFFF"/>
                <w:sz w:val="21"/>
              </w:rPr>
              <w:t>Elemento retirado</w:t>
            </w:r>
          </w:p>
        </w:tc>
        <w:tc>
          <w:tcPr>
            <w:tcW w:type="dxa" w:w="1080"/>
            <w:vAlign w:val="center"/>
            <w:shd w:fill="333333"/>
            <w:tcMar>
              <w:top w:w="95" w:type="dxa"/>
              <w:bottom w:w="95" w:type="dxa"/>
              <w:left w:w="95" w:type="dxa"/>
              <w:right w:w="95" w:type="dxa"/>
            </w:tcMar>
          </w:tcPr>
          <w:p>
            <w:pPr>
              <w:spacing w:before="40" w:after="40" w:line="245" w:lineRule="auto"/>
              <w:jc w:val="center"/>
            </w:pPr>
            <w:r>
              <w:rPr>
                <w:b/>
                <w:color w:val="FFFFFF"/>
                <w:sz w:val="21"/>
              </w:rPr>
              <w:t>Cantidad</w:t>
            </w:r>
          </w:p>
        </w:tc>
        <w:tc>
          <w:tcPr>
            <w:tcW w:type="dxa" w:w="6624"/>
            <w:vAlign w:val="center"/>
            <w:shd w:fill="333333"/>
            <w:tcMar>
              <w:top w:w="95" w:type="dxa"/>
              <w:bottom w:w="95" w:type="dxa"/>
              <w:left w:w="95" w:type="dxa"/>
              <w:right w:w="95" w:type="dxa"/>
            </w:tcMar>
          </w:tcPr>
          <w:p>
            <w:pPr>
              <w:spacing w:before="40" w:after="40" w:line="245" w:lineRule="auto"/>
            </w:pPr>
            <w:r>
              <w:rPr>
                <w:b/>
                <w:color w:val="FFFFFF"/>
                <w:sz w:val="21"/>
              </w:rPr>
              <w:t>Reemplazo vigente</w:t>
            </w:r>
          </w:p>
        </w:tc>
      </w:tr>
      <w:tr>
        <w:trPr>
          <w:cantSplit/>
        </w:trPr>
        <w:tc>
          <w:tcPr>
            <w:tcW w:type="dxa" w:w="2376"/>
            <w:vAlign w:val="center"/>
            <w:shd w:fill="FFFFFF"/>
            <w:tcMar>
              <w:top w:w="95" w:type="dxa"/>
              <w:bottom w:w="95" w:type="dxa"/>
              <w:left w:w="95" w:type="dxa"/>
              <w:right w:w="95" w:type="dxa"/>
            </w:tcMar>
          </w:tcPr>
          <w:p>
            <w:pPr>
              <w:spacing w:before="40" w:after="40" w:line="245" w:lineRule="auto"/>
            </w:pPr>
            <w:r>
              <w:rPr>
                <w:b w:val="0"/>
                <w:color w:val="000000"/>
                <w:sz w:val="21"/>
              </w:rPr>
              <w:t>Pantallas HTML</w:t>
            </w:r>
          </w:p>
        </w:tc>
        <w:tc>
          <w:tcPr>
            <w:tcW w:type="dxa" w:w="1080"/>
            <w:vAlign w:val="center"/>
            <w:shd w:fill="FFFFFF"/>
            <w:tcMar>
              <w:top w:w="95" w:type="dxa"/>
              <w:bottom w:w="95" w:type="dxa"/>
              <w:left w:w="95" w:type="dxa"/>
              <w:right w:w="95" w:type="dxa"/>
            </w:tcMar>
          </w:tcPr>
          <w:p>
            <w:pPr>
              <w:spacing w:before="40" w:after="40" w:line="245" w:lineRule="auto"/>
              <w:jc w:val="center"/>
            </w:pPr>
            <w:r>
              <w:rPr>
                <w:b w:val="0"/>
                <w:color w:val="000000"/>
                <w:sz w:val="21"/>
              </w:rPr>
              <w:t>19</w:t>
            </w:r>
          </w:p>
        </w:tc>
        <w:tc>
          <w:tcPr>
            <w:tcW w:type="dxa" w:w="6624"/>
            <w:vAlign w:val="center"/>
            <w:shd w:fill="FFFFFF"/>
            <w:tcMar>
              <w:top w:w="95" w:type="dxa"/>
              <w:bottom w:w="95" w:type="dxa"/>
              <w:left w:w="95" w:type="dxa"/>
              <w:right w:w="95" w:type="dxa"/>
            </w:tcMar>
          </w:tcPr>
          <w:p>
            <w:pPr>
              <w:spacing w:before="40" w:after="40" w:line="245" w:lineRule="auto"/>
            </w:pPr>
            <w:r>
              <w:rPr>
                <w:b w:val="0"/>
                <w:color w:val="000000"/>
                <w:sz w:val="21"/>
              </w:rPr>
              <w:t>Páginas React y navegación con React Router; plantillas públicas y administrativas compartidas.</w:t>
            </w:r>
          </w:p>
        </w:tc>
      </w:tr>
      <w:tr>
        <w:trPr>
          <w:cantSplit/>
        </w:trPr>
        <w:tc>
          <w:tcPr>
            <w:tcW w:type="dxa" w:w="2376"/>
            <w:vAlign w:val="center"/>
            <w:shd w:fill="F3F3F3"/>
            <w:tcMar>
              <w:top w:w="95" w:type="dxa"/>
              <w:bottom w:w="95" w:type="dxa"/>
              <w:left w:w="95" w:type="dxa"/>
              <w:right w:w="95" w:type="dxa"/>
            </w:tcMar>
          </w:tcPr>
          <w:p>
            <w:pPr>
              <w:spacing w:before="40" w:after="40" w:line="245" w:lineRule="auto"/>
            </w:pPr>
            <w:r>
              <w:rPr>
                <w:b w:val="0"/>
                <w:color w:val="000000"/>
                <w:sz w:val="21"/>
              </w:rPr>
              <w:t>Hojas de estilo CSS</w:t>
            </w:r>
          </w:p>
        </w:tc>
        <w:tc>
          <w:tcPr>
            <w:tcW w:type="dxa" w:w="1080"/>
            <w:vAlign w:val="center"/>
            <w:shd w:fill="F3F3F3"/>
            <w:tcMar>
              <w:top w:w="95" w:type="dxa"/>
              <w:bottom w:w="95" w:type="dxa"/>
              <w:left w:w="95" w:type="dxa"/>
              <w:right w:w="95" w:type="dxa"/>
            </w:tcMar>
          </w:tcPr>
          <w:p>
            <w:pPr>
              <w:spacing w:before="40" w:after="40" w:line="245" w:lineRule="auto"/>
              <w:jc w:val="center"/>
            </w:pPr>
            <w:r>
              <w:rPr>
                <w:b w:val="0"/>
                <w:color w:val="000000"/>
                <w:sz w:val="21"/>
              </w:rPr>
              <w:t>7</w:t>
            </w:r>
          </w:p>
        </w:tc>
        <w:tc>
          <w:tcPr>
            <w:tcW w:type="dxa" w:w="6624"/>
            <w:vAlign w:val="center"/>
            <w:shd w:fill="F3F3F3"/>
            <w:tcMar>
              <w:top w:w="95" w:type="dxa"/>
              <w:bottom w:w="95" w:type="dxa"/>
              <w:left w:w="95" w:type="dxa"/>
              <w:right w:w="95" w:type="dxa"/>
            </w:tcMar>
          </w:tcPr>
          <w:p>
            <w:pPr>
              <w:spacing w:before="40" w:after="40" w:line="245" w:lineRule="auto"/>
            </w:pPr>
            <w:r>
              <w:rPr>
                <w:b w:val="0"/>
                <w:color w:val="000000"/>
                <w:sz w:val="21"/>
              </w:rPr>
              <w:t>Estilos de la aplicación React y Bootstrap, manteniendo la identidad visual KYNEX.</w:t>
            </w:r>
          </w:p>
        </w:tc>
      </w:tr>
      <w:tr>
        <w:trPr>
          <w:cantSplit/>
        </w:trPr>
        <w:tc>
          <w:tcPr>
            <w:tcW w:type="dxa" w:w="2376"/>
            <w:vAlign w:val="center"/>
            <w:shd w:fill="FFFFFF"/>
            <w:tcMar>
              <w:top w:w="95" w:type="dxa"/>
              <w:bottom w:w="95" w:type="dxa"/>
              <w:left w:w="95" w:type="dxa"/>
              <w:right w:w="95" w:type="dxa"/>
            </w:tcMar>
          </w:tcPr>
          <w:p>
            <w:pPr>
              <w:spacing w:before="40" w:after="40" w:line="245" w:lineRule="auto"/>
            </w:pPr>
            <w:r>
              <w:rPr>
                <w:b w:val="0"/>
                <w:color w:val="000000"/>
                <w:sz w:val="21"/>
              </w:rPr>
              <w:t>Módulos JavaScript</w:t>
            </w:r>
          </w:p>
        </w:tc>
        <w:tc>
          <w:tcPr>
            <w:tcW w:type="dxa" w:w="1080"/>
            <w:vAlign w:val="center"/>
            <w:shd w:fill="FFFFFF"/>
            <w:tcMar>
              <w:top w:w="95" w:type="dxa"/>
              <w:bottom w:w="95" w:type="dxa"/>
              <w:left w:w="95" w:type="dxa"/>
              <w:right w:w="95" w:type="dxa"/>
            </w:tcMar>
          </w:tcPr>
          <w:p>
            <w:pPr>
              <w:spacing w:before="40" w:after="40" w:line="245" w:lineRule="auto"/>
              <w:jc w:val="center"/>
            </w:pPr>
            <w:r>
              <w:rPr>
                <w:b w:val="0"/>
                <w:color w:val="000000"/>
                <w:sz w:val="21"/>
              </w:rPr>
              <w:t>25</w:t>
            </w:r>
          </w:p>
        </w:tc>
        <w:tc>
          <w:tcPr>
            <w:tcW w:type="dxa" w:w="6624"/>
            <w:vAlign w:val="center"/>
            <w:shd w:fill="FFFFFF"/>
            <w:tcMar>
              <w:top w:w="95" w:type="dxa"/>
              <w:bottom w:w="95" w:type="dxa"/>
              <w:left w:w="95" w:type="dxa"/>
              <w:right w:w="95" w:type="dxa"/>
            </w:tcMar>
          </w:tcPr>
          <w:p>
            <w:pPr>
              <w:spacing w:before="40" w:after="40" w:line="245" w:lineRule="auto"/>
            </w:pPr>
            <w:r>
              <w:rPr>
                <w:b w:val="0"/>
                <w:color w:val="000000"/>
                <w:sz w:val="21"/>
              </w:rPr>
              <w:t>Componentes, estado compartido, hooks, servicios, validaciones y datos del catálogo React.</w:t>
            </w:r>
          </w:p>
        </w:tc>
      </w:tr>
    </w:tbl>
    <w:p>
      <w:pPr>
        <w:pStyle w:val="Heading2"/>
      </w:pPr>
      <w:r>
        <w:t>Preservación de la prueba del catálogo</w:t>
      </w:r>
    </w:p>
    <w:p>
      <w:r>
        <w:t>Una prueba todavía dependía del módulo antiguo de productos. Sus seis registros completos se conservaron como una referencia histórica independiente, exclusiva de testing. La prueba compara todos los campos con el catálogo vigente sin utilizar código de la implementación retirada.</w:t>
      </w:r>
    </w:p>
    <w:p>
      <w:pPr>
        <w:pStyle w:val="Heading2"/>
      </w:pPr>
      <w:r>
        <w:t>Resultados posteriores al retiro</w:t>
      </w:r>
    </w:p>
    <w:p>
      <w:r>
        <w:t>La regresión aprobó 597 pruebas distribuidas en 80 agrupaciones, sin fallos ni omisiones, en 109,92 segundos. La cobertura se mantiene en 97,91% de sentencias, 94,74% de ramas, 99,30% de funciones y 98,98% de líneas. Los archivos retirados no pertenecían al código instrumentado de la aplicación React.</w:t>
      </w:r>
    </w:p>
    <w:p>
      <w:r>
        <w:t>La compilación finalizó correctamente. Sus 24 archivos coinciden byte a byte con la salida previa a la limpieza. También se verificó la conservación de las 19 imágenes y la ausencia de dependencias hacia los módulos eliminados.</w:t>
      </w:r>
    </w:p>
    <w:p>
      <w:pPr>
        <w:pStyle w:val="Heading2"/>
      </w:pPr>
      <w:r>
        <w:t>Alcance de la evidencia</w:t>
      </w:r>
    </w:p>
    <w:p>
      <w:r>
        <w:t>La revisión visual anterior corresponde al mismo resultado compilado; la comparación no constituye una nueva evaluación de navegador. Permanecen las condiciones pendientes de rendimiento, compatibilidad y reproducción multimedia. El historial Git conserva la implementación retirada.</w:t>
      </w:r>
    </w:p>
    <w:sectPr w:rsidR="00FC693F" w:rsidRPr="0006063C" w:rsidSect="00034616">
      <w:footerReference w:type="default" r:id="rId9"/>
      <w:pgSz w:w="12240" w:h="15840"/>
      <w:pgMar w:top="936" w:right="1080" w:bottom="936"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KYNEX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Cobertura del testing</dc:title>
  <dc:subject>Informe ejecutivo de calidad</dc:subject>
  <dc:creator>Alexander Llantén Sepúlveda</dc:creator>
  <cp:keywords>KYNEX, React, Front End</cp:keywords>
  <dc:description/>
  <cp:lastModifiedBy>Alexander Llantén Sepúlveda</cp:lastModifiedBy>
  <cp:revision>1</cp:revision>
  <dcterms:created xsi:type="dcterms:W3CDTF">2013-12-23T23:15:00Z</dcterms:created>
  <dcterms:modified xsi:type="dcterms:W3CDTF">2013-12-23T23:15:00Z</dcterms:modified>
  <cp:category/>
  <cp:version>2</cp:version>
</cp:coreProperties>
</file>