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Response: First-Hour Checklist and Mini Tabletop</w:t>
      </w:r>
    </w:p>
    <w:p>
      <w:r>
        <w:rPr>
          <w:i/>
        </w:rPr>
        <w:t>For a small firm of 5 to 50 people with no dedicated security team. Print it, fill the blanks now, keep a copy offline.</w:t>
      </w:r>
    </w:p>
    <w:p>
      <w:r>
        <w:rPr>
          <w:sz w:val="20"/>
        </w:rPr>
        <w:t>Free sample. Not legal advice, not an audit, not a certification, and no guarantee of compliance or of any audit result. Not affiliated with or endorsed by NIST, ISO/IEC, CIS, SANS, AICPA, Notion, Microsoft, Google or any other standards body or vendor; product names such as Word, Excel and Google Sheets belong to their owners. Any paid standard (for example ISO/IEC 27001) must be obtained by you; none is included or reproduced. Company, people and data in this sample are fictional; adapt everything to your real practice. This sample was drafted by an AI (Claude). It has not been reviewed by a practitioner, certified security professional or auditor. References: NIST Cybersecurity Framework (CSF) 2.0 function and category IDs (NIST, February 2024) and NIST SP 800-61 Rev. 3 (April 2025). Only IDs and titles of NIST documents are used; all other wording is original and no NIST text is reprinted. License: free for personal and internal business use. Do not sell or repackage it. Unmodified copies may be shared with this notice kept. Version 1.1, drafted 2026-10-16, not yet reviewed.</w:t>
      </w:r>
    </w:p>
    <w:p>
      <w:r>
        <w:t>How to use this sheet: rows in Parts 1 and 2 that assume a tool, person or contact say what to do if you lack it. If a row does not, skip the step, write why in your log and keep going. The tabletop injects in Part 4 are fictional and assume those things exist; if you lack them, say so in the discussion and decide what you would do instead. The Owner column shows the role for each step; write the person's name next to it, and if you have no technical person, the incident lead takes those rows. Scope: this sheet covers the first hour of Respond and the start of Recover (CSF RS and RC). It does not cover detection setup (CSF DE), building a security program, or recovery communications in depth (CSF RC.CO). Two rows touch preparation (backups and lost devices) because they decide how the first hour goes. For fuller guidance see NIST SP 800-61 Rev. 3.</w:t>
      </w:r>
    </w:p>
    <w:p>
      <w:pPr>
        <w:pStyle w:val="Heading1"/>
      </w:pPr>
      <w:r>
        <w:t>Part 1. Fill in before anything happens (10 minutes)</w:t>
      </w:r>
    </w:p>
    <w:tbl>
      <w:tblPr>
        <w:tblStyle w:val="TableGrid"/>
        <w:tblW w:type="auto" w:w="0"/>
        <w:tblLayout w:type="fixed"/>
        <w:tblLook w:firstColumn="1" w:firstRow="1" w:lastColumn="0" w:lastRow="0" w:noHBand="0" w:noVBand="1" w:val="04A0"/>
      </w:tblPr>
      <w:tblGrid>
        <w:gridCol w:w="4176"/>
        <w:gridCol w:w="2160"/>
        <w:gridCol w:w="2304"/>
        <w:gridCol w:w="1584"/>
      </w:tblGrid>
      <w:tr>
        <w:trPr>
          <w:cantSplit/>
          <w:tblHeader/>
        </w:trPr>
        <w:tc>
          <w:tcPr>
            <w:tcW w:type="dxa" w:w="4176"/>
            <w:shd w:val="clear" w:color="auto" w:fill="D9E2F3"/>
          </w:tcPr>
          <w:p>
            <w:r>
              <w:rPr>
                <w:sz w:val="20"/>
              </w:rPr>
            </w:r>
            <w:r>
              <w:rPr>
                <w:b/>
                <w:sz w:val="20"/>
              </w:rPr>
              <w:t>Role</w:t>
            </w:r>
          </w:p>
        </w:tc>
        <w:tc>
          <w:tcPr>
            <w:tcW w:type="dxa" w:w="2160"/>
            <w:shd w:val="clear" w:color="auto" w:fill="D9E2F3"/>
          </w:tcPr>
          <w:p>
            <w:r>
              <w:rPr>
                <w:sz w:val="20"/>
              </w:rPr>
            </w:r>
            <w:r>
              <w:rPr>
                <w:b/>
                <w:sz w:val="20"/>
              </w:rPr>
              <w:t>Name</w:t>
            </w:r>
          </w:p>
        </w:tc>
        <w:tc>
          <w:tcPr>
            <w:tcW w:type="dxa" w:w="2304"/>
            <w:shd w:val="clear" w:color="auto" w:fill="D9E2F3"/>
          </w:tcPr>
          <w:p>
            <w:r>
              <w:rPr>
                <w:sz w:val="20"/>
              </w:rPr>
            </w:r>
            <w:r>
              <w:rPr>
                <w:b/>
                <w:sz w:val="20"/>
              </w:rPr>
              <w:t>Phone (not email only)</w:t>
            </w:r>
          </w:p>
        </w:tc>
        <w:tc>
          <w:tcPr>
            <w:tcW w:type="dxa" w:w="1584"/>
            <w:shd w:val="clear" w:color="auto" w:fill="D9E2F3"/>
          </w:tcPr>
          <w:p>
            <w:r>
              <w:rPr>
                <w:sz w:val="20"/>
              </w:rPr>
            </w:r>
            <w:r>
              <w:rPr>
                <w:b/>
                <w:sz w:val="20"/>
              </w:rPr>
              <w:t>Backup person</w:t>
            </w:r>
          </w:p>
        </w:tc>
      </w:tr>
      <w:tr>
        <w:trPr>
          <w:cantSplit/>
          <w:trHeight w:val="440" w:hRule="atLeast"/>
        </w:trPr>
        <w:tc>
          <w:tcPr>
            <w:tcW w:type="dxa" w:w="4176"/>
          </w:tcPr>
          <w:p>
            <w:r>
              <w:rPr>
                <w:sz w:val="20"/>
              </w:rPr>
              <w:t>Incident lead (decides, keeps the log)</w:t>
            </w:r>
          </w:p>
        </w:tc>
        <w:tc>
          <w:tcPr>
            <w:tcW w:type="dxa" w:w="2160"/>
          </w:tcPr>
          <w:p>
            <w:r>
              <w:rPr>
                <w:sz w:val="20"/>
              </w:rPr>
            </w:r>
          </w:p>
        </w:tc>
        <w:tc>
          <w:tcPr>
            <w:tcW w:type="dxa" w:w="2304"/>
          </w:tcPr>
          <w:p>
            <w:r>
              <w:rPr>
                <w:sz w:val="20"/>
              </w:rPr>
            </w:r>
          </w:p>
        </w:tc>
        <w:tc>
          <w:tcPr>
            <w:tcW w:type="dxa" w:w="1584"/>
          </w:tcPr>
          <w:p>
            <w:r>
              <w:rPr>
                <w:sz w:val="20"/>
              </w:rPr>
            </w:r>
          </w:p>
        </w:tc>
      </w:tr>
      <w:tr>
        <w:trPr>
          <w:cantSplit/>
          <w:trHeight w:val="440" w:hRule="atLeast"/>
        </w:trPr>
        <w:tc>
          <w:tcPr>
            <w:tcW w:type="dxa" w:w="4176"/>
          </w:tcPr>
          <w:p>
            <w:r>
              <w:rPr>
                <w:sz w:val="20"/>
              </w:rPr>
              <w:t>Technical contact (IT person or provider; none? the Lead takes the technical steps and calls your software vendors' support)</w:t>
            </w:r>
          </w:p>
        </w:tc>
        <w:tc>
          <w:tcPr>
            <w:tcW w:type="dxa" w:w="2160"/>
          </w:tcPr>
          <w:p>
            <w:r>
              <w:rPr>
                <w:sz w:val="20"/>
              </w:rPr>
            </w:r>
          </w:p>
        </w:tc>
        <w:tc>
          <w:tcPr>
            <w:tcW w:type="dxa" w:w="2304"/>
          </w:tcPr>
          <w:p>
            <w:r>
              <w:rPr>
                <w:sz w:val="20"/>
              </w:rPr>
            </w:r>
          </w:p>
        </w:tc>
        <w:tc>
          <w:tcPr>
            <w:tcW w:type="dxa" w:w="1584"/>
          </w:tcPr>
          <w:p>
            <w:r>
              <w:rPr>
                <w:sz w:val="20"/>
              </w:rPr>
            </w:r>
          </w:p>
        </w:tc>
      </w:tr>
      <w:tr>
        <w:trPr>
          <w:cantSplit/>
          <w:trHeight w:val="440" w:hRule="atLeast"/>
        </w:trPr>
        <w:tc>
          <w:tcPr>
            <w:tcW w:type="dxa" w:w="4176"/>
          </w:tcPr>
          <w:p>
            <w:r>
              <w:rPr>
                <w:sz w:val="20"/>
              </w:rPr>
              <w:t>Communications (staff, customers, press; none? the Lead)</w:t>
            </w:r>
          </w:p>
        </w:tc>
        <w:tc>
          <w:tcPr>
            <w:tcW w:type="dxa" w:w="2160"/>
          </w:tcPr>
          <w:p>
            <w:r>
              <w:rPr>
                <w:sz w:val="20"/>
              </w:rPr>
            </w:r>
          </w:p>
        </w:tc>
        <w:tc>
          <w:tcPr>
            <w:tcW w:type="dxa" w:w="2304"/>
          </w:tcPr>
          <w:p>
            <w:r>
              <w:rPr>
                <w:sz w:val="20"/>
              </w:rPr>
            </w:r>
          </w:p>
        </w:tc>
        <w:tc>
          <w:tcPr>
            <w:tcW w:type="dxa" w:w="1584"/>
          </w:tcPr>
          <w:p>
            <w:r>
              <w:rPr>
                <w:sz w:val="20"/>
              </w:rPr>
            </w:r>
          </w:p>
        </w:tc>
      </w:tr>
      <w:tr>
        <w:trPr>
          <w:cantSplit/>
          <w:trHeight w:val="440" w:hRule="atLeast"/>
        </w:trPr>
        <w:tc>
          <w:tcPr>
            <w:tcW w:type="dxa" w:w="4176"/>
          </w:tcPr>
          <w:p>
            <w:r>
              <w:rPr>
                <w:sz w:val="20"/>
              </w:rPr>
              <w:t>Executive who can approve spending and shutdowns (none? the Lead decides)</w:t>
            </w:r>
          </w:p>
        </w:tc>
        <w:tc>
          <w:tcPr>
            <w:tcW w:type="dxa" w:w="2160"/>
          </w:tcPr>
          <w:p>
            <w:r>
              <w:rPr>
                <w:sz w:val="20"/>
              </w:rPr>
            </w:r>
          </w:p>
        </w:tc>
        <w:tc>
          <w:tcPr>
            <w:tcW w:type="dxa" w:w="2304"/>
          </w:tcPr>
          <w:p>
            <w:r>
              <w:rPr>
                <w:sz w:val="20"/>
              </w:rPr>
            </w:r>
          </w:p>
        </w:tc>
        <w:tc>
          <w:tcPr>
            <w:tcW w:type="dxa" w:w="1584"/>
          </w:tcPr>
          <w:p>
            <w:r>
              <w:rPr>
                <w:sz w:val="20"/>
              </w:rPr>
            </w:r>
          </w:p>
        </w:tc>
      </w:tr>
      <w:tr>
        <w:trPr>
          <w:cantSplit/>
          <w:trHeight w:val="440" w:hRule="atLeast"/>
        </w:trPr>
        <w:tc>
          <w:tcPr>
            <w:tcW w:type="dxa" w:w="4176"/>
          </w:tcPr>
          <w:p>
            <w:r>
              <w:rPr>
                <w:sz w:val="20"/>
              </w:rPr>
              <w:t>External: cyber insurer claims line (after hours) and policy number (no insurer? write none and skip that call)</w:t>
            </w:r>
          </w:p>
        </w:tc>
        <w:tc>
          <w:tcPr>
            <w:tcW w:type="dxa" w:w="2160"/>
          </w:tcPr>
          <w:p>
            <w:r>
              <w:rPr>
                <w:sz w:val="20"/>
              </w:rPr>
            </w:r>
          </w:p>
        </w:tc>
        <w:tc>
          <w:tcPr>
            <w:tcW w:type="dxa" w:w="2304"/>
          </w:tcPr>
          <w:p>
            <w:r>
              <w:rPr>
                <w:sz w:val="20"/>
              </w:rPr>
            </w:r>
          </w:p>
        </w:tc>
        <w:tc>
          <w:tcPr>
            <w:tcW w:type="dxa" w:w="1584"/>
          </w:tcPr>
          <w:p>
            <w:r>
              <w:rPr>
                <w:sz w:val="20"/>
              </w:rPr>
            </w:r>
          </w:p>
        </w:tc>
      </w:tr>
      <w:tr>
        <w:trPr>
          <w:cantSplit/>
          <w:trHeight w:val="440" w:hRule="atLeast"/>
        </w:trPr>
        <w:tc>
          <w:tcPr>
            <w:tcW w:type="dxa" w:w="4176"/>
          </w:tcPr>
          <w:p>
            <w:r>
              <w:rPr>
                <w:sz w:val="20"/>
              </w:rPr>
              <w:t>External: outside counsel (none? write your local bar association or legal aid referral line)</w:t>
            </w:r>
          </w:p>
        </w:tc>
        <w:tc>
          <w:tcPr>
            <w:tcW w:type="dxa" w:w="2160"/>
          </w:tcPr>
          <w:p>
            <w:r>
              <w:rPr>
                <w:sz w:val="20"/>
              </w:rPr>
            </w:r>
          </w:p>
        </w:tc>
        <w:tc>
          <w:tcPr>
            <w:tcW w:type="dxa" w:w="2304"/>
          </w:tcPr>
          <w:p>
            <w:r>
              <w:rPr>
                <w:sz w:val="20"/>
              </w:rPr>
            </w:r>
          </w:p>
        </w:tc>
        <w:tc>
          <w:tcPr>
            <w:tcW w:type="dxa" w:w="1584"/>
          </w:tcPr>
          <w:p>
            <w:r>
              <w:rPr>
                <w:sz w:val="20"/>
              </w:rPr>
            </w:r>
          </w:p>
        </w:tc>
      </w:tr>
      <w:tr>
        <w:trPr>
          <w:cantSplit/>
          <w:trHeight w:val="440" w:hRule="atLeast"/>
        </w:trPr>
        <w:tc>
          <w:tcPr>
            <w:tcW w:type="dxa" w:w="4176"/>
          </w:tcPr>
          <w:p>
            <w:r>
              <w:rPr>
                <w:sz w:val="20"/>
              </w:rPr>
              <w:t>External: IT provider emergency line (none? write each key software vendor's support line)</w:t>
            </w:r>
          </w:p>
        </w:tc>
        <w:tc>
          <w:tcPr>
            <w:tcW w:type="dxa" w:w="2160"/>
          </w:tcPr>
          <w:p>
            <w:r>
              <w:rPr>
                <w:sz w:val="20"/>
              </w:rPr>
            </w:r>
          </w:p>
        </w:tc>
        <w:tc>
          <w:tcPr>
            <w:tcW w:type="dxa" w:w="2304"/>
          </w:tcPr>
          <w:p>
            <w:r>
              <w:rPr>
                <w:sz w:val="20"/>
              </w:rPr>
            </w:r>
          </w:p>
        </w:tc>
        <w:tc>
          <w:tcPr>
            <w:tcW w:type="dxa" w:w="1584"/>
          </w:tcPr>
          <w:p>
            <w:r>
              <w:rPr>
                <w:sz w:val="20"/>
              </w:rPr>
            </w:r>
          </w:p>
        </w:tc>
      </w:tr>
      <w:tr>
        <w:trPr>
          <w:cantSplit/>
          <w:trHeight w:val="440" w:hRule="atLeast"/>
        </w:trPr>
        <w:tc>
          <w:tcPr>
            <w:tcW w:type="dxa" w:w="4176"/>
          </w:tcPr>
          <w:p>
            <w:r>
              <w:rPr>
                <w:sz w:val="20"/>
              </w:rPr>
              <w:t>External: bank contact and account to call about payment recalls (no named contact? write the fraud number on your card or statement)</w:t>
            </w:r>
          </w:p>
        </w:tc>
        <w:tc>
          <w:tcPr>
            <w:tcW w:type="dxa" w:w="2160"/>
          </w:tcPr>
          <w:p>
            <w:r>
              <w:rPr>
                <w:sz w:val="20"/>
              </w:rPr>
            </w:r>
          </w:p>
        </w:tc>
        <w:tc>
          <w:tcPr>
            <w:tcW w:type="dxa" w:w="2304"/>
          </w:tcPr>
          <w:p>
            <w:r>
              <w:rPr>
                <w:sz w:val="20"/>
              </w:rPr>
            </w:r>
          </w:p>
        </w:tc>
        <w:tc>
          <w:tcPr>
            <w:tcW w:type="dxa" w:w="1584"/>
          </w:tcPr>
          <w:p>
            <w:r>
              <w:rPr>
                <w:sz w:val="20"/>
              </w:rPr>
            </w:r>
          </w:p>
        </w:tc>
      </w:tr>
      <w:tr>
        <w:trPr>
          <w:cantSplit/>
          <w:trHeight w:val="440" w:hRule="atLeast"/>
        </w:trPr>
        <w:tc>
          <w:tcPr>
            <w:tcW w:type="dxa" w:w="4176"/>
          </w:tcPr>
          <w:p>
            <w:r>
              <w:rPr>
                <w:sz w:val="20"/>
              </w:rPr>
              <w:t>Backups: where they are kept and who can restore them (if none, write 'no backups')</w:t>
            </w:r>
          </w:p>
        </w:tc>
        <w:tc>
          <w:tcPr>
            <w:tcW w:type="dxa" w:w="2160"/>
          </w:tcPr>
          <w:p>
            <w:r>
              <w:rPr>
                <w:sz w:val="20"/>
              </w:rPr>
            </w:r>
          </w:p>
        </w:tc>
        <w:tc>
          <w:tcPr>
            <w:tcW w:type="dxa" w:w="2304"/>
          </w:tcPr>
          <w:p>
            <w:r>
              <w:rPr>
                <w:sz w:val="20"/>
              </w:rPr>
            </w:r>
          </w:p>
        </w:tc>
        <w:tc>
          <w:tcPr>
            <w:tcW w:type="dxa" w:w="1584"/>
          </w:tcPr>
          <w:p>
            <w:r>
              <w:rPr>
                <w:sz w:val="20"/>
              </w:rPr>
            </w:r>
          </w:p>
        </w:tc>
      </w:tr>
      <w:tr>
        <w:trPr>
          <w:cantSplit/>
          <w:trHeight w:val="440" w:hRule="atLeast"/>
        </w:trPr>
        <w:tc>
          <w:tcPr>
            <w:tcW w:type="dxa" w:w="4176"/>
          </w:tcPr>
          <w:p>
            <w:r>
              <w:rPr>
                <w:sz w:val="20"/>
              </w:rPr>
              <w:t>Admin for email and cloud: who can reset passwords and sign out sessions (if unsure, write your email or cloud provider's support number)</w:t>
            </w:r>
          </w:p>
        </w:tc>
        <w:tc>
          <w:tcPr>
            <w:tcW w:type="dxa" w:w="2160"/>
          </w:tcPr>
          <w:p>
            <w:r>
              <w:rPr>
                <w:sz w:val="20"/>
              </w:rPr>
            </w:r>
          </w:p>
        </w:tc>
        <w:tc>
          <w:tcPr>
            <w:tcW w:type="dxa" w:w="2304"/>
          </w:tcPr>
          <w:p>
            <w:r>
              <w:rPr>
                <w:sz w:val="20"/>
              </w:rPr>
            </w:r>
          </w:p>
        </w:tc>
        <w:tc>
          <w:tcPr>
            <w:tcW w:type="dxa" w:w="1584"/>
          </w:tcPr>
          <w:p>
            <w:r>
              <w:rPr>
                <w:sz w:val="20"/>
              </w:rPr>
            </w:r>
          </w:p>
        </w:tc>
      </w:tr>
      <w:tr>
        <w:trPr>
          <w:cantSplit/>
          <w:trHeight w:val="440" w:hRule="atLeast"/>
        </w:trPr>
        <w:tc>
          <w:tcPr>
            <w:tcW w:type="dxa" w:w="4176"/>
          </w:tcPr>
          <w:p>
            <w:r>
              <w:rPr>
                <w:sz w:val="20"/>
              </w:rPr>
              <w:t>Backup channel if email is down: phone or text group (who is in it)</w:t>
            </w:r>
          </w:p>
        </w:tc>
        <w:tc>
          <w:tcPr>
            <w:tcW w:type="dxa" w:w="2160"/>
          </w:tcPr>
          <w:p>
            <w:r>
              <w:rPr>
                <w:sz w:val="20"/>
              </w:rPr>
            </w:r>
          </w:p>
        </w:tc>
        <w:tc>
          <w:tcPr>
            <w:tcW w:type="dxa" w:w="2304"/>
          </w:tcPr>
          <w:p>
            <w:r>
              <w:rPr>
                <w:sz w:val="20"/>
              </w:rPr>
            </w:r>
          </w:p>
        </w:tc>
        <w:tc>
          <w:tcPr>
            <w:tcW w:type="dxa" w:w="1584"/>
          </w:tcPr>
          <w:p>
            <w:r>
              <w:rPr>
                <w:sz w:val="20"/>
              </w:rPr>
            </w:r>
          </w:p>
        </w:tc>
      </w:tr>
    </w:tbl>
    <w:p>
      <w:r>
        <w:t>If your firm is too small to have a backup person for a role, write 'none' and name someone you trust outside the firm (a partner, advisor or family member) who can be phoned (share only what they need to act on, and no client data). Also write down where this sheet is stored offline, and who can open the password manager's emergency access (no password manager? write where the master password list or recovery codes are kept). If Part 1 is blank when you need it: the insurer's number is on the policy declarations page or the broker's last email; your IT provider's emergency line is in the contract or on its invoices.</w:t>
      </w:r>
    </w:p>
    <w:p>
      <w:pPr>
        <w:pStyle w:val="Heading1"/>
      </w:pPr>
      <w:r>
        <w:t>Part 2. The first hour</w:t>
      </w:r>
    </w:p>
    <w:p>
      <w:r>
        <w:t>Rows are numbered. Find your situation in the routing table below and do those rows in that order. Times are a guide, and rows with the same time window can be done in parallel by different people. Do not pay or contact an attacker (if a payment is ever considered, only through counsel and your insurer), and do not announce a cause before you know it.</w:t>
      </w:r>
    </w:p>
    <w:tbl>
      <w:tblPr>
        <w:tblStyle w:val="TableGrid"/>
        <w:tblW w:type="auto" w:w="0"/>
        <w:tblLayout w:type="fixed"/>
        <w:tblLook w:firstColumn="1" w:firstRow="1" w:lastColumn="0" w:lastRow="0" w:noHBand="0" w:noVBand="1" w:val="04A0"/>
      </w:tblPr>
      <w:tblGrid>
        <w:gridCol w:w="3311"/>
        <w:gridCol w:w="6912"/>
      </w:tblGrid>
      <w:tr>
        <w:trPr>
          <w:cantSplit/>
          <w:tblHeader/>
        </w:trPr>
        <w:tc>
          <w:tcPr>
            <w:tcW w:type="dxa" w:w="3312"/>
            <w:shd w:val="clear" w:color="auto" w:fill="D9E2F3"/>
          </w:tcPr>
          <w:p>
            <w:r>
              <w:rPr>
                <w:sz w:val="20"/>
              </w:rPr>
            </w:r>
            <w:r>
              <w:rPr>
                <w:b/>
                <w:sz w:val="20"/>
              </w:rPr>
              <w:t>If this happened</w:t>
            </w:r>
          </w:p>
        </w:tc>
        <w:tc>
          <w:tcPr>
            <w:tcW w:type="dxa" w:w="6912"/>
            <w:shd w:val="clear" w:color="auto" w:fill="D9E2F3"/>
          </w:tcPr>
          <w:p>
            <w:r>
              <w:rPr>
                <w:sz w:val="20"/>
              </w:rPr>
            </w:r>
            <w:r>
              <w:rPr>
                <w:b/>
                <w:sz w:val="20"/>
              </w:rPr>
              <w:t>Do these rows in this order</w:t>
            </w:r>
          </w:p>
        </w:tc>
      </w:tr>
      <w:tr>
        <w:trPr>
          <w:cantSplit/>
        </w:trPr>
        <w:tc>
          <w:tcPr>
            <w:tcW w:type="dxa" w:w="3312"/>
          </w:tcPr>
          <w:p>
            <w:r>
              <w:rPr>
                <w:sz w:val="20"/>
              </w:rPr>
              <w:t>Not sure what happened</w:t>
            </w:r>
          </w:p>
        </w:tc>
        <w:tc>
          <w:tcPr>
            <w:tcW w:type="dxa" w:w="6912"/>
          </w:tcPr>
          <w:p>
            <w:r>
              <w:rPr>
                <w:sz w:val="20"/>
              </w:rPr>
              <w:t>Rows 1, then 7 (decide the type), then the line below for the type you chose. Treat it as an incident for the first 15 minutes.</w:t>
            </w:r>
          </w:p>
        </w:tc>
      </w:tr>
      <w:tr>
        <w:trPr>
          <w:cantSplit/>
        </w:trPr>
        <w:tc>
          <w:tcPr>
            <w:tcW w:type="dxa" w:w="3312"/>
          </w:tcPr>
          <w:p>
            <w:r>
              <w:rPr>
                <w:sz w:val="20"/>
              </w:rPr>
              <w:t>Ransomware or spreading malware</w:t>
            </w:r>
          </w:p>
        </w:tc>
        <w:tc>
          <w:tcPr>
            <w:tcW w:type="dxa" w:w="6912"/>
          </w:tcPr>
          <w:p>
            <w:r>
              <w:rPr>
                <w:sz w:val="20"/>
              </w:rPr>
              <w:t>Rows 1, 2, 3, then 10, 11, 12, 13, 14. If a phished or hijacked account was involved, do row 5 right after row 3, then row 9.</w:t>
            </w:r>
          </w:p>
        </w:tc>
      </w:tr>
      <w:tr>
        <w:trPr>
          <w:cantSplit/>
        </w:trPr>
        <w:tc>
          <w:tcPr>
            <w:tcW w:type="dxa" w:w="3312"/>
          </w:tcPr>
          <w:p>
            <w:r>
              <w:rPr>
                <w:sz w:val="20"/>
              </w:rPr>
              <w:t>Hijacked email or cloud account (also a phishing click or an odd sign-in)</w:t>
            </w:r>
          </w:p>
        </w:tc>
        <w:tc>
          <w:tcPr>
            <w:tcW w:type="dxa" w:w="6912"/>
          </w:tcPr>
          <w:p>
            <w:r>
              <w:rPr>
                <w:sz w:val="20"/>
              </w:rPr>
              <w:t>Rows 1, then 5 (screenshots before you change anything). If an attacker is using the account right now, take one quick screenshot and do row 4 first, then row 5. Then rows 9, 11, 12, 13, 14. If the attacker has emailed clients or vendors, also do only the phone-warning sentence of row 8.</w:t>
            </w:r>
          </w:p>
        </w:tc>
      </w:tr>
      <w:tr>
        <w:trPr>
          <w:cantSplit/>
        </w:trPr>
        <w:tc>
          <w:tcPr>
            <w:tcW w:type="dxa" w:w="3312"/>
          </w:tcPr>
          <w:p>
            <w:r>
              <w:rPr>
                <w:sz w:val="20"/>
              </w:rPr>
              <w:t>Payment fraud (someone paid a changed request)</w:t>
            </w:r>
          </w:p>
        </w:tc>
        <w:tc>
          <w:tcPr>
            <w:tcW w:type="dxa" w:w="6912"/>
          </w:tcPr>
          <w:p>
            <w:r>
              <w:rPr>
                <w:sz w:val="20"/>
              </w:rPr>
              <w:t>Rows 1, 8, then 11, 12, 13, 14. If the request came from an account an attacker is using right now, do row 4 first, then row 8, then the rest of the hijacked account line.</w:t>
            </w:r>
          </w:p>
        </w:tc>
      </w:tr>
      <w:tr>
        <w:trPr>
          <w:cantSplit/>
        </w:trPr>
        <w:tc>
          <w:tcPr>
            <w:tcW w:type="dxa" w:w="3312"/>
          </w:tcPr>
          <w:p>
            <w:r>
              <w:rPr>
                <w:sz w:val="20"/>
              </w:rPr>
              <w:t>Lost or stolen device</w:t>
            </w:r>
          </w:p>
        </w:tc>
        <w:tc>
          <w:tcPr>
            <w:tcW w:type="dxa" w:w="6912"/>
          </w:tcPr>
          <w:p>
            <w:r>
              <w:rPr>
                <w:sz w:val="20"/>
              </w:rPr>
              <w:t>Rows 1, then 5 (screenshot the sign-in history of accounts signed in on it, if you can reach them), then 6, then 14. Add row 9 only for accounts row 6 did not cover. Skip row 2 (do not wipe is about affected machines, not a lost one).</w:t>
            </w:r>
          </w:p>
        </w:tc>
      </w:tr>
    </w:tbl>
    <w:p/>
    <w:tbl>
      <w:tblPr>
        <w:tblStyle w:val="TableGrid"/>
        <w:tblW w:type="auto" w:w="0"/>
        <w:tblLayout w:type="fixed"/>
        <w:tblLook w:firstColumn="1" w:firstRow="1" w:lastColumn="0" w:lastRow="0" w:noHBand="0" w:noVBand="1" w:val="04A0"/>
      </w:tblPr>
      <w:tblGrid>
        <w:gridCol w:w="576"/>
        <w:gridCol w:w="1007"/>
        <w:gridCol w:w="5616"/>
        <w:gridCol w:w="1296"/>
        <w:gridCol w:w="1440"/>
      </w:tblGrid>
      <w:tr>
        <w:trPr>
          <w:cantSplit/>
          <w:tblHeader/>
        </w:trPr>
        <w:tc>
          <w:tcPr>
            <w:tcW w:type="dxa" w:w="576"/>
            <w:shd w:val="clear" w:color="auto" w:fill="D9E2F3"/>
          </w:tcPr>
          <w:p>
            <w:r>
              <w:rPr>
                <w:sz w:val="20"/>
              </w:rPr>
            </w:r>
            <w:r>
              <w:rPr>
                <w:b/>
                <w:sz w:val="20"/>
              </w:rPr>
              <w:t>Row</w:t>
            </w:r>
          </w:p>
        </w:tc>
        <w:tc>
          <w:tcPr>
            <w:tcW w:type="dxa" w:w="1008"/>
            <w:shd w:val="clear" w:color="auto" w:fill="D9E2F3"/>
          </w:tcPr>
          <w:p>
            <w:r>
              <w:rPr>
                <w:sz w:val="20"/>
              </w:rPr>
            </w:r>
            <w:r>
              <w:rPr>
                <w:b/>
                <w:sz w:val="20"/>
              </w:rPr>
              <w:t>When</w:t>
            </w:r>
          </w:p>
        </w:tc>
        <w:tc>
          <w:tcPr>
            <w:tcW w:type="dxa" w:w="5616"/>
            <w:shd w:val="clear" w:color="auto" w:fill="D9E2F3"/>
          </w:tcPr>
          <w:p>
            <w:r>
              <w:rPr>
                <w:sz w:val="20"/>
              </w:rPr>
            </w:r>
            <w:r>
              <w:rPr>
                <w:b/>
                <w:sz w:val="20"/>
              </w:rPr>
              <w:t>Action</w:t>
            </w:r>
          </w:p>
        </w:tc>
        <w:tc>
          <w:tcPr>
            <w:tcW w:type="dxa" w:w="1296"/>
            <w:shd w:val="clear" w:color="auto" w:fill="D9E2F3"/>
          </w:tcPr>
          <w:p>
            <w:r>
              <w:rPr>
                <w:sz w:val="20"/>
              </w:rPr>
            </w:r>
            <w:r>
              <w:rPr>
                <w:b/>
                <w:sz w:val="20"/>
              </w:rPr>
              <w:t>Owner</w:t>
            </w:r>
          </w:p>
        </w:tc>
        <w:tc>
          <w:tcPr>
            <w:tcW w:type="dxa" w:w="1440"/>
            <w:shd w:val="clear" w:color="auto" w:fill="D9E2F3"/>
          </w:tcPr>
          <w:p>
            <w:r>
              <w:rPr>
                <w:sz w:val="20"/>
              </w:rPr>
            </w:r>
            <w:r>
              <w:rPr>
                <w:b/>
                <w:sz w:val="20"/>
              </w:rPr>
              <w:t>Maps to (CSF 2.0)</w:t>
            </w:r>
          </w:p>
        </w:tc>
      </w:tr>
      <w:tr>
        <w:trPr>
          <w:cantSplit/>
        </w:trPr>
        <w:tc>
          <w:tcPr>
            <w:tcW w:type="dxa" w:w="576"/>
          </w:tcPr>
          <w:p>
            <w:r>
              <w:rPr>
                <w:sz w:val="20"/>
              </w:rPr>
              <w:t>1</w:t>
            </w:r>
          </w:p>
        </w:tc>
        <w:tc>
          <w:tcPr>
            <w:tcW w:type="dxa" w:w="1008"/>
          </w:tcPr>
          <w:p>
            <w:r>
              <w:rPr>
                <w:sz w:val="20"/>
              </w:rPr>
              <w:t>0 to 5 min</w:t>
            </w:r>
          </w:p>
        </w:tc>
        <w:tc>
          <w:tcPr>
            <w:tcW w:type="dxa" w:w="5616"/>
          </w:tcPr>
          <w:p>
            <w:r>
              <w:rPr>
                <w:sz w:val="20"/>
              </w:rPr>
              <w:t>Name the incident lead. Start a written log of facts only (time, who, what was seen, what was done). No guesses about cause. Coordinate by phone call or in person, not email or chat, if an attacker may be reading your accounts, so you do not tip them off while you contain; use paper or a phone for the log. If you have no phone tree, call each person directly and keep the log on paper.</w:t>
            </w:r>
          </w:p>
        </w:tc>
        <w:tc>
          <w:tcPr>
            <w:tcW w:type="dxa" w:w="1296"/>
          </w:tcPr>
          <w:p>
            <w:r>
              <w:rPr>
                <w:sz w:val="20"/>
              </w:rPr>
              <w:t>Lead</w:t>
            </w:r>
          </w:p>
        </w:tc>
        <w:tc>
          <w:tcPr>
            <w:tcW w:type="dxa" w:w="1440"/>
          </w:tcPr>
          <w:p>
            <w:r>
              <w:rPr>
                <w:sz w:val="20"/>
              </w:rPr>
              <w:t>RS.MA</w:t>
            </w:r>
          </w:p>
        </w:tc>
      </w:tr>
      <w:tr>
        <w:trPr>
          <w:cantSplit/>
        </w:trPr>
        <w:tc>
          <w:tcPr>
            <w:tcW w:type="dxa" w:w="576"/>
          </w:tcPr>
          <w:p>
            <w:r>
              <w:rPr>
                <w:sz w:val="20"/>
              </w:rPr>
              <w:t>2</w:t>
            </w:r>
          </w:p>
        </w:tc>
        <w:tc>
          <w:tcPr>
            <w:tcW w:type="dxa" w:w="1008"/>
          </w:tcPr>
          <w:p>
            <w:r>
              <w:rPr>
                <w:sz w:val="20"/>
              </w:rPr>
              <w:t>0 to 5 min</w:t>
            </w:r>
          </w:p>
        </w:tc>
        <w:tc>
          <w:tcPr>
            <w:tcW w:type="dxa" w:w="5616"/>
          </w:tcPr>
          <w:p>
            <w:r>
              <w:rPr>
                <w:sz w:val="20"/>
              </w:rPr>
              <w:t>Do not delete files, wipe machines or reboot affected systems yet. Do disconnect an obviously affected device from the network (unplug the cable or turn off Wi-Fi). Keep it powered on (the ransomware row below has the one exception, a machine you cannot disconnect). If you have no technical person, the Lead does this.</w:t>
            </w:r>
          </w:p>
        </w:tc>
        <w:tc>
          <w:tcPr>
            <w:tcW w:type="dxa" w:w="1296"/>
          </w:tcPr>
          <w:p>
            <w:r>
              <w:rPr>
                <w:sz w:val="20"/>
              </w:rPr>
              <w:t>Technical, else Lead</w:t>
            </w:r>
          </w:p>
        </w:tc>
        <w:tc>
          <w:tcPr>
            <w:tcW w:type="dxa" w:w="1440"/>
          </w:tcPr>
          <w:p>
            <w:r>
              <w:rPr>
                <w:sz w:val="20"/>
              </w:rPr>
              <w:t>RS.MI</w:t>
            </w:r>
          </w:p>
        </w:tc>
      </w:tr>
      <w:tr>
        <w:trPr>
          <w:cantSplit/>
        </w:trPr>
        <w:tc>
          <w:tcPr>
            <w:tcW w:type="dxa" w:w="576"/>
          </w:tcPr>
          <w:p>
            <w:r>
              <w:rPr>
                <w:sz w:val="20"/>
              </w:rPr>
              <w:t>3</w:t>
            </w:r>
          </w:p>
        </w:tc>
        <w:tc>
          <w:tcPr>
            <w:tcW w:type="dxa" w:w="1008"/>
          </w:tcPr>
          <w:p>
            <w:r>
              <w:rPr>
                <w:sz w:val="20"/>
              </w:rPr>
              <w:t>0 to 15 min</w:t>
            </w:r>
          </w:p>
        </w:tc>
        <w:tc>
          <w:tcPr>
            <w:tcW w:type="dxa" w:w="5616"/>
          </w:tcPr>
          <w:p>
            <w:r>
              <w:rPr>
                <w:sz w:val="20"/>
              </w:rPr>
              <w:t>Ransomware or spreading malware (files renamed, ransom note, many machines acting oddly): unplug the affected machines AND the file server from the network (cable or Wi-Fi), leave them powered on, photograph the ransom note with a phone, do not pay or contact the attacker. If the affected machine is the file server, also tell staff to stop saving to shared folders. Pause cloud sync (OneDrive, Dropbox, Google Drive) and unplug any attached backup drive now. Only if you cannot disconnect a machine, power it off by holding the power button and do not restart it. If you have none of these (no file server, no cloud sync, no backup drive), skip those parts and do the rest.</w:t>
            </w:r>
          </w:p>
        </w:tc>
        <w:tc>
          <w:tcPr>
            <w:tcW w:type="dxa" w:w="1296"/>
          </w:tcPr>
          <w:p>
            <w:r>
              <w:rPr>
                <w:sz w:val="20"/>
              </w:rPr>
              <w:t>Technical, else Lead</w:t>
            </w:r>
          </w:p>
        </w:tc>
        <w:tc>
          <w:tcPr>
            <w:tcW w:type="dxa" w:w="1440"/>
          </w:tcPr>
          <w:p>
            <w:r>
              <w:rPr>
                <w:sz w:val="20"/>
              </w:rPr>
              <w:t>RS.MI</w:t>
            </w:r>
          </w:p>
        </w:tc>
      </w:tr>
      <w:tr>
        <w:trPr>
          <w:cantSplit/>
        </w:trPr>
        <w:tc>
          <w:tcPr>
            <w:tcW w:type="dxa" w:w="576"/>
          </w:tcPr>
          <w:p>
            <w:r>
              <w:rPr>
                <w:sz w:val="20"/>
              </w:rPr>
              <w:t>4</w:t>
            </w:r>
          </w:p>
        </w:tc>
        <w:tc>
          <w:tcPr>
            <w:tcW w:type="dxa" w:w="1008"/>
          </w:tcPr>
          <w:p>
            <w:r>
              <w:rPr>
                <w:sz w:val="20"/>
              </w:rPr>
              <w:t>5 to 10 min</w:t>
            </w:r>
          </w:p>
        </w:tc>
        <w:tc>
          <w:tcPr>
            <w:tcW w:type="dxa" w:w="5616"/>
          </w:tcPr>
          <w:p>
            <w:r>
              <w:rPr>
                <w:sz w:val="20"/>
              </w:rPr>
              <w:t>If an attacker is using an account right now (for example, clients are getting odd emails from it): after one quick screenshot of the sign-in history and mailbox rules, reset the password from a clean device first, then sign out all sessions, then remove only the multi-factor methods, recovery phone numbers and app permissions that you did not add (keep your own), and delete any forwarding or inbox rules you did not create, now. Do not wait for the rest of the list. If you have no clean device, use a phone on mobile data. If the account has no multi-factor methods, skip that part. If you cannot reset it yourself, call your email or cloud provider's support line now.</w:t>
            </w:r>
          </w:p>
        </w:tc>
        <w:tc>
          <w:tcPr>
            <w:tcW w:type="dxa" w:w="1296"/>
          </w:tcPr>
          <w:p>
            <w:r>
              <w:rPr>
                <w:sz w:val="20"/>
              </w:rPr>
              <w:t>Technical, else Lead</w:t>
            </w:r>
          </w:p>
        </w:tc>
        <w:tc>
          <w:tcPr>
            <w:tcW w:type="dxa" w:w="1440"/>
          </w:tcPr>
          <w:p>
            <w:r>
              <w:rPr>
                <w:sz w:val="20"/>
              </w:rPr>
              <w:t>RS.MI</w:t>
            </w:r>
          </w:p>
        </w:tc>
      </w:tr>
      <w:tr>
        <w:trPr>
          <w:cantSplit/>
        </w:trPr>
        <w:tc>
          <w:tcPr>
            <w:tcW w:type="dxa" w:w="576"/>
          </w:tcPr>
          <w:p>
            <w:r>
              <w:rPr>
                <w:sz w:val="20"/>
              </w:rPr>
              <w:t>5</w:t>
            </w:r>
          </w:p>
        </w:tc>
        <w:tc>
          <w:tcPr>
            <w:tcW w:type="dxa" w:w="1008"/>
          </w:tcPr>
          <w:p>
            <w:r>
              <w:rPr>
                <w:sz w:val="20"/>
              </w:rPr>
              <w:t>5 to 15 min</w:t>
            </w:r>
          </w:p>
        </w:tc>
        <w:tc>
          <w:tcPr>
            <w:tcW w:type="dxa" w:w="5616"/>
          </w:tcPr>
          <w:p>
            <w:r>
              <w:rPr>
                <w:sz w:val="20"/>
              </w:rPr>
              <w:t>Write down what you know: what was noticed, by whom, when, which systems and accounts, any odd message (photograph the screen). If email or cloud login is involved, screenshot the sign-in history and the mailbox rules and forwarding settings BEFORE you change anything (unless row 4 applies).</w:t>
            </w:r>
          </w:p>
        </w:tc>
        <w:tc>
          <w:tcPr>
            <w:tcW w:type="dxa" w:w="1296"/>
          </w:tcPr>
          <w:p>
            <w:r>
              <w:rPr>
                <w:sz w:val="20"/>
              </w:rPr>
              <w:t>Lead, plus Technical if you have one</w:t>
            </w:r>
          </w:p>
        </w:tc>
        <w:tc>
          <w:tcPr>
            <w:tcW w:type="dxa" w:w="1440"/>
          </w:tcPr>
          <w:p>
            <w:r>
              <w:rPr>
                <w:sz w:val="20"/>
              </w:rPr>
              <w:t>RS.AN</w:t>
            </w:r>
          </w:p>
        </w:tc>
      </w:tr>
      <w:tr>
        <w:trPr>
          <w:cantSplit/>
        </w:trPr>
        <w:tc>
          <w:tcPr>
            <w:tcW w:type="dxa" w:w="576"/>
          </w:tcPr>
          <w:p>
            <w:r>
              <w:rPr>
                <w:sz w:val="20"/>
              </w:rPr>
              <w:t>6</w:t>
            </w:r>
          </w:p>
        </w:tc>
        <w:tc>
          <w:tcPr>
            <w:tcW w:type="dxa" w:w="1008"/>
          </w:tcPr>
          <w:p>
            <w:r>
              <w:rPr>
                <w:sz w:val="20"/>
              </w:rPr>
              <w:t>5 to 15 min</w:t>
            </w:r>
          </w:p>
        </w:tc>
        <w:tc>
          <w:tcPr>
            <w:tcW w:type="dxa" w:w="5616"/>
          </w:tcPr>
          <w:p>
            <w:r>
              <w:rPr>
                <w:sz w:val="20"/>
              </w:rPr>
              <w:t>Lost or stolen device: tell the Lead and note what data it held first. Then use remote lock or wipe if it was set up (this is the one case where wiping is right), reset the passwords of accounts that were signed in on it from a clean device, and then sign out that device's sessions. If it held an authenticator app, use each service's recovery steps. Remove that device's authenticator entries and trusted-device status from each account, and report a theft to the police (keep the report number for your insurer), and call your insurer if the device held client data. If remote lock or wipe was never set up, change those passwords from a clean device, then sign out that device from each account's security page, and list the data at risk.</w:t>
            </w:r>
          </w:p>
        </w:tc>
        <w:tc>
          <w:tcPr>
            <w:tcW w:type="dxa" w:w="1296"/>
          </w:tcPr>
          <w:p>
            <w:r>
              <w:rPr>
                <w:sz w:val="20"/>
              </w:rPr>
              <w:t>Technical, else Lead</w:t>
            </w:r>
          </w:p>
        </w:tc>
        <w:tc>
          <w:tcPr>
            <w:tcW w:type="dxa" w:w="1440"/>
          </w:tcPr>
          <w:p>
            <w:r>
              <w:rPr>
                <w:sz w:val="20"/>
              </w:rPr>
              <w:t>PR.DS (preparation)</w:t>
            </w:r>
          </w:p>
        </w:tc>
      </w:tr>
      <w:tr>
        <w:trPr>
          <w:cantSplit/>
        </w:trPr>
        <w:tc>
          <w:tcPr>
            <w:tcW w:type="dxa" w:w="576"/>
          </w:tcPr>
          <w:p>
            <w:r>
              <w:rPr>
                <w:sz w:val="20"/>
              </w:rPr>
              <w:t>7</w:t>
            </w:r>
          </w:p>
        </w:tc>
        <w:tc>
          <w:tcPr>
            <w:tcW w:type="dxa" w:w="1008"/>
          </w:tcPr>
          <w:p>
            <w:r>
              <w:rPr>
                <w:sz w:val="20"/>
              </w:rPr>
              <w:t>5 to 15 min</w:t>
            </w:r>
          </w:p>
        </w:tc>
        <w:tc>
          <w:tcPr>
            <w:tcW w:type="dxa" w:w="5616"/>
          </w:tcPr>
          <w:p>
            <w:r>
              <w:rPr>
                <w:sz w:val="20"/>
              </w:rPr>
              <w:t>Decide the type: lost or stolen device, suspicious login or phishing click or email account takeover, malware or ransomware, payment fraud, other. Then follow the matching line of the routing table; for 'other', stay with rows 1 and 7 and ask your IT provider, insurer or counsel (row 11 lists fallbacks).</w:t>
            </w:r>
          </w:p>
        </w:tc>
        <w:tc>
          <w:tcPr>
            <w:tcW w:type="dxa" w:w="1296"/>
          </w:tcPr>
          <w:p>
            <w:r>
              <w:rPr>
                <w:sz w:val="20"/>
              </w:rPr>
              <w:t>Lead</w:t>
            </w:r>
          </w:p>
        </w:tc>
        <w:tc>
          <w:tcPr>
            <w:tcW w:type="dxa" w:w="1440"/>
          </w:tcPr>
          <w:p>
            <w:r>
              <w:rPr>
                <w:sz w:val="20"/>
              </w:rPr>
              <w:t>RS.AN</w:t>
            </w:r>
          </w:p>
        </w:tc>
      </w:tr>
      <w:tr>
        <w:trPr>
          <w:cantSplit/>
        </w:trPr>
        <w:tc>
          <w:tcPr>
            <w:tcW w:type="dxa" w:w="576"/>
          </w:tcPr>
          <w:p>
            <w:r>
              <w:rPr>
                <w:sz w:val="20"/>
              </w:rPr>
              <w:t>8</w:t>
            </w:r>
          </w:p>
        </w:tc>
        <w:tc>
          <w:tcPr>
            <w:tcW w:type="dxa" w:w="1008"/>
          </w:tcPr>
          <w:p>
            <w:r>
              <w:rPr>
                <w:sz w:val="20"/>
              </w:rPr>
              <w:t>5 to 15 min</w:t>
            </w:r>
          </w:p>
        </w:tc>
        <w:tc>
          <w:tcPr>
            <w:tcW w:type="dxa" w:w="5616"/>
          </w:tcPr>
          <w:p>
            <w:r>
              <w:rPr>
                <w:sz w:val="20"/>
              </w:rPr>
              <w:t>If anyone paid or may have paid a changed-payment request: first keep the request email, the payment confirmation and the receiving account details (do not delete or reply to the request), then call the bank now to ask for a recall of the payment. Ask whether your bank has a wire or ACH cutoff and call before it. Report to law enforcement (in the US, the FBI's IC3 site; elsewhere, your national police or fraud reporting line). Time matters most here. Also phone any clients or vendors who received or sent a changed payment request and tell them not to act on it; counsel can review a fuller notice later. If the request came from a hijacked account, also do rows 5 and 9 (row 4 first if the attacker is using the account right now). If you have no named bank contact, use the number on your bank card or statement and ask for the fraud team. If no executive can approve, the Lead decides.</w:t>
            </w:r>
          </w:p>
        </w:tc>
        <w:tc>
          <w:tcPr>
            <w:tcW w:type="dxa" w:w="1296"/>
          </w:tcPr>
          <w:p>
            <w:r>
              <w:rPr>
                <w:sz w:val="20"/>
              </w:rPr>
              <w:t>Executive, else Lead</w:t>
            </w:r>
          </w:p>
        </w:tc>
        <w:tc>
          <w:tcPr>
            <w:tcW w:type="dxa" w:w="1440"/>
          </w:tcPr>
          <w:p>
            <w:r>
              <w:rPr>
                <w:sz w:val="20"/>
              </w:rPr>
              <w:t>RS.CO</w:t>
            </w:r>
          </w:p>
        </w:tc>
      </w:tr>
      <w:tr>
        <w:trPr>
          <w:cantSplit/>
        </w:trPr>
        <w:tc>
          <w:tcPr>
            <w:tcW w:type="dxa" w:w="576"/>
          </w:tcPr>
          <w:p>
            <w:r>
              <w:rPr>
                <w:sz w:val="20"/>
              </w:rPr>
              <w:t>9</w:t>
            </w:r>
          </w:p>
        </w:tc>
        <w:tc>
          <w:tcPr>
            <w:tcW w:type="dxa" w:w="1008"/>
          </w:tcPr>
          <w:p>
            <w:r>
              <w:rPr>
                <w:sz w:val="20"/>
              </w:rPr>
              <w:t>10 to 30 min</w:t>
            </w:r>
          </w:p>
        </w:tc>
        <w:tc>
          <w:tcPr>
            <w:tcW w:type="dxa" w:w="5616"/>
          </w:tcPr>
          <w:p>
            <w:r>
              <w:rPr>
                <w:sz w:val="20"/>
              </w:rPr>
              <w:t>Contain accounts (only after the screenshots in the 5 to 15 min write-down row): from a clean device reset passwords for affected accounts, sign out all sessions, remove any mailbox rules or forwarding you did not create, revoke unknown app access, remove only the multi-factor methods and recovery phone numbers you did not add (keep your own), require multi-factor sign-in, block the sender or address if known. A password reset alone does not remove an attacker's forwarding rules. If you have no multi-factor sign-in, turn it on now (most mail and cloud services offer it free); if you cannot, say so in the log and ask your provider.</w:t>
            </w:r>
          </w:p>
        </w:tc>
        <w:tc>
          <w:tcPr>
            <w:tcW w:type="dxa" w:w="1296"/>
          </w:tcPr>
          <w:p>
            <w:r>
              <w:rPr>
                <w:sz w:val="20"/>
              </w:rPr>
              <w:t>Admin (Part 1), else Lead</w:t>
            </w:r>
          </w:p>
        </w:tc>
        <w:tc>
          <w:tcPr>
            <w:tcW w:type="dxa" w:w="1440"/>
          </w:tcPr>
          <w:p>
            <w:r>
              <w:rPr>
                <w:sz w:val="20"/>
              </w:rPr>
              <w:t>RS.MI</w:t>
            </w:r>
          </w:p>
        </w:tc>
      </w:tr>
      <w:tr>
        <w:trPr>
          <w:cantSplit/>
        </w:trPr>
        <w:tc>
          <w:tcPr>
            <w:tcW w:type="dxa" w:w="576"/>
          </w:tcPr>
          <w:p>
            <w:r>
              <w:rPr>
                <w:sz w:val="20"/>
              </w:rPr>
              <w:t>10</w:t>
            </w:r>
          </w:p>
        </w:tc>
        <w:tc>
          <w:tcPr>
            <w:tcW w:type="dxa" w:w="1008"/>
          </w:tcPr>
          <w:p>
            <w:r>
              <w:rPr>
                <w:sz w:val="20"/>
              </w:rPr>
              <w:t>15 to 30 min</w:t>
            </w:r>
          </w:p>
        </w:tc>
        <w:tc>
          <w:tcPr>
            <w:tcW w:type="dxa" w:w="5616"/>
          </w:tcPr>
          <w:p>
            <w:r>
              <w:rPr>
                <w:sz w:val="20"/>
              </w:rPr>
              <w:t>Check that backups exist and are offline or separate from the affected systems. If backups are always connected (a NAS or a synced cloud drive), disconnect them now. Do not connect them to a network that may be infected. If you have no backups, write that down now, tell the Lead, and do not attempt recovery tools or pay anyone for 'recovery' until the calls in the 30 to 45 min row have been made. If nobody can judge whether a backup is clean, ask your IT provider or the backup software vendor's support before restoring anything. If you have no provider or vendor either, do not plug backups into any machine; keep them untouched and ask your insurer or a local IT professional (found through a business referral) first.</w:t>
            </w:r>
          </w:p>
        </w:tc>
        <w:tc>
          <w:tcPr>
            <w:tcW w:type="dxa" w:w="1296"/>
          </w:tcPr>
          <w:p>
            <w:r>
              <w:rPr>
                <w:sz w:val="20"/>
              </w:rPr>
              <w:t>Technical, else Lead</w:t>
            </w:r>
          </w:p>
        </w:tc>
        <w:tc>
          <w:tcPr>
            <w:tcW w:type="dxa" w:w="1440"/>
          </w:tcPr>
          <w:p>
            <w:r>
              <w:rPr>
                <w:sz w:val="20"/>
              </w:rPr>
              <w:t>PR.DS (preparation)</w:t>
            </w:r>
          </w:p>
        </w:tc>
      </w:tr>
      <w:tr>
        <w:trPr>
          <w:cantSplit/>
        </w:trPr>
        <w:tc>
          <w:tcPr>
            <w:tcW w:type="dxa" w:w="576"/>
          </w:tcPr>
          <w:p>
            <w:r>
              <w:rPr>
                <w:sz w:val="20"/>
              </w:rPr>
              <w:t>11</w:t>
            </w:r>
          </w:p>
        </w:tc>
        <w:tc>
          <w:tcPr>
            <w:tcW w:type="dxa" w:w="1008"/>
          </w:tcPr>
          <w:p>
            <w:r>
              <w:rPr>
                <w:sz w:val="20"/>
              </w:rPr>
              <w:t>30 to 45 min</w:t>
            </w:r>
          </w:p>
        </w:tc>
        <w:tc>
          <w:tcPr>
            <w:tcW w:type="dxa" w:w="5616"/>
          </w:tcPr>
          <w:p>
            <w:r>
              <w:rPr>
                <w:sz w:val="20"/>
              </w:rPr>
              <w:t>Call your IT provider and cyber insurer hotline and, if personal data may be involved, outside counsel. Many policies require early notice and approval before you hire a forensic firm; check yours now, not during the incident. If you have no IT provider, insurer or counsel: call your bank, your software vendors' support, and a local legal aid or bar association referral line, and write down who you reached.</w:t>
            </w:r>
          </w:p>
        </w:tc>
        <w:tc>
          <w:tcPr>
            <w:tcW w:type="dxa" w:w="1296"/>
          </w:tcPr>
          <w:p>
            <w:r>
              <w:rPr>
                <w:sz w:val="20"/>
              </w:rPr>
              <w:t>Executive, else Lead</w:t>
            </w:r>
          </w:p>
        </w:tc>
        <w:tc>
          <w:tcPr>
            <w:tcW w:type="dxa" w:w="1440"/>
          </w:tcPr>
          <w:p>
            <w:r>
              <w:rPr>
                <w:sz w:val="20"/>
              </w:rPr>
              <w:t>RS.CO</w:t>
            </w:r>
          </w:p>
        </w:tc>
      </w:tr>
      <w:tr>
        <w:trPr>
          <w:cantSplit/>
        </w:trPr>
        <w:tc>
          <w:tcPr>
            <w:tcW w:type="dxa" w:w="576"/>
          </w:tcPr>
          <w:p>
            <w:r>
              <w:rPr>
                <w:sz w:val="20"/>
              </w:rPr>
              <w:t>12</w:t>
            </w:r>
          </w:p>
        </w:tc>
        <w:tc>
          <w:tcPr>
            <w:tcW w:type="dxa" w:w="1008"/>
          </w:tcPr>
          <w:p>
            <w:r>
              <w:rPr>
                <w:sz w:val="20"/>
              </w:rPr>
              <w:t>30 to 45 min</w:t>
            </w:r>
          </w:p>
        </w:tc>
        <w:tc>
          <w:tcPr>
            <w:tcW w:type="dxa" w:w="5616"/>
          </w:tcPr>
          <w:p>
            <w:r>
              <w:rPr>
                <w:sz w:val="20"/>
              </w:rPr>
              <w:t>Tell staff in one short message: what to do (do not open the file, do not log in to the named system), what not to do (do not discuss on social media), who to call (if you have no IT provider, the Lead). Name the affected system in your message, for example 'do not log in to the client portal'. Send it by phone, text or a call, not email, if email may be compromised.</w:t>
            </w:r>
          </w:p>
        </w:tc>
        <w:tc>
          <w:tcPr>
            <w:tcW w:type="dxa" w:w="1296"/>
          </w:tcPr>
          <w:p>
            <w:r>
              <w:rPr>
                <w:sz w:val="20"/>
              </w:rPr>
              <w:t>Comms, else Lead</w:t>
            </w:r>
          </w:p>
        </w:tc>
        <w:tc>
          <w:tcPr>
            <w:tcW w:type="dxa" w:w="1440"/>
          </w:tcPr>
          <w:p>
            <w:r>
              <w:rPr>
                <w:sz w:val="20"/>
              </w:rPr>
              <w:t>RS.CO</w:t>
            </w:r>
          </w:p>
        </w:tc>
      </w:tr>
      <w:tr>
        <w:trPr>
          <w:cantSplit/>
        </w:trPr>
        <w:tc>
          <w:tcPr>
            <w:tcW w:type="dxa" w:w="576"/>
          </w:tcPr>
          <w:p>
            <w:r>
              <w:rPr>
                <w:sz w:val="20"/>
              </w:rPr>
              <w:t>13</w:t>
            </w:r>
          </w:p>
        </w:tc>
        <w:tc>
          <w:tcPr>
            <w:tcW w:type="dxa" w:w="1008"/>
          </w:tcPr>
          <w:p>
            <w:r>
              <w:rPr>
                <w:sz w:val="20"/>
              </w:rPr>
              <w:t>45 to 60 min</w:t>
            </w:r>
          </w:p>
        </w:tc>
        <w:tc>
          <w:tcPr>
            <w:tcW w:type="dxa" w:w="5616"/>
          </w:tcPr>
          <w:p>
            <w:r>
              <w:rPr>
                <w:sz w:val="20"/>
              </w:rPr>
              <w:t>Save evidence in a separate folder that affected accounts cannot reach: screenshots, suspicious emails as attachments, log exports, your time log. If you have no second location, use a USB drive kept offline; if you must use a personal account, put no client data in it; send nothing by email.</w:t>
            </w:r>
          </w:p>
        </w:tc>
        <w:tc>
          <w:tcPr>
            <w:tcW w:type="dxa" w:w="1296"/>
          </w:tcPr>
          <w:p>
            <w:r>
              <w:rPr>
                <w:sz w:val="20"/>
              </w:rPr>
              <w:t>Technical, else Lead</w:t>
            </w:r>
          </w:p>
        </w:tc>
        <w:tc>
          <w:tcPr>
            <w:tcW w:type="dxa" w:w="1440"/>
          </w:tcPr>
          <w:p>
            <w:r>
              <w:rPr>
                <w:sz w:val="20"/>
              </w:rPr>
              <w:t>RS.AN</w:t>
            </w:r>
          </w:p>
        </w:tc>
      </w:tr>
      <w:tr>
        <w:trPr>
          <w:cantSplit/>
        </w:trPr>
        <w:tc>
          <w:tcPr>
            <w:tcW w:type="dxa" w:w="576"/>
          </w:tcPr>
          <w:p>
            <w:r>
              <w:rPr>
                <w:sz w:val="20"/>
              </w:rPr>
              <w:t>14</w:t>
            </w:r>
          </w:p>
        </w:tc>
        <w:tc>
          <w:tcPr>
            <w:tcW w:type="dxa" w:w="1008"/>
          </w:tcPr>
          <w:p>
            <w:r>
              <w:rPr>
                <w:sz w:val="20"/>
              </w:rPr>
              <w:t>45 to 60 min</w:t>
            </w:r>
          </w:p>
        </w:tc>
        <w:tc>
          <w:tcPr>
            <w:tcW w:type="dxa" w:w="5616"/>
          </w:tcPr>
          <w:p>
            <w:r>
              <w:rPr>
                <w:sz w:val="20"/>
              </w:rPr>
              <w:t>Decide the next 24 hours: what is still down, who is on shift, when the next update is, and whether any legal or contract notification clock may have started (ask counsel, or your bar association's referral line if you have none; rules vary by place and contract).</w:t>
            </w:r>
          </w:p>
        </w:tc>
        <w:tc>
          <w:tcPr>
            <w:tcW w:type="dxa" w:w="1296"/>
          </w:tcPr>
          <w:p>
            <w:r>
              <w:rPr>
                <w:sz w:val="20"/>
              </w:rPr>
              <w:t>Lead</w:t>
            </w:r>
          </w:p>
        </w:tc>
        <w:tc>
          <w:tcPr>
            <w:tcW w:type="dxa" w:w="1440"/>
          </w:tcPr>
          <w:p>
            <w:r>
              <w:rPr>
                <w:sz w:val="20"/>
              </w:rPr>
              <w:t>RS.MA</w:t>
            </w:r>
          </w:p>
        </w:tc>
      </w:tr>
    </w:tbl>
    <w:p>
      <w:pPr>
        <w:pStyle w:val="Heading1"/>
      </w:pPr>
      <w:r>
        <w:t>Part 3. After the first hour</w:t>
      </w:r>
    </w:p>
    <w:p>
      <w:pPr>
        <w:pStyle w:val="ListBullet"/>
      </w:pPr>
      <w:r>
        <w:t>Keep the log going. Update staff on a set schedule even when there is nothing new.</w:t>
      </w:r>
    </w:p>
    <w:p>
      <w:pPr>
        <w:pStyle w:val="ListBullet"/>
      </w:pPr>
      <w:r>
        <w:t>Warn affected clients by phone right away not to act on any payment-change request. If client data may be involved, ask counsel before sending any fuller notice; when you do, call rather than email: say what happened, what you know and do not know, what they should do (for example confirm any payment details by phone), and when you will update them. Do not state a cause.</w:t>
      </w:r>
    </w:p>
    <w:p>
      <w:pPr>
        <w:pStyle w:val="ListBullet"/>
      </w:pPr>
      <w:r>
        <w:t>Restore from clean backups only after the way in is closed; test one system before restoring all (CSF RC.RP).</w:t>
      </w:r>
    </w:p>
    <w:p>
      <w:pPr>
        <w:pStyle w:val="ListBullet"/>
      </w:pPr>
      <w:r>
        <w:t>Within two weeks hold a 30 minute review: what happened, what slowed you down, what to change (CSF ID.IM). Record three actions with owners and dates.</w:t>
      </w:r>
    </w:p>
    <w:p>
      <w:pPr>
        <w:pStyle w:val="Heading1"/>
        <w:keepNext/>
      </w:pPr>
      <w:r>
        <w:t>Part 4. Mini tabletop exercise (30 minutes, 4 to 6 people)</w:t>
      </w:r>
    </w:p>
    <w:p>
      <w:pPr>
        <w:keepNext/>
      </w:pPr>
      <w:r>
        <w:t>Scenario (fictional): Brightwater Accounting LLC, 40 people. It is 4:40 pm on the Friday before a filing deadline. Read one inject at a time and discuss before reading the next.</w:t>
      </w:r>
    </w:p>
    <w:tbl>
      <w:tblPr>
        <w:tblStyle w:val="TableGrid"/>
        <w:tblW w:type="auto" w:w="0"/>
        <w:tblLayout w:type="fixed"/>
        <w:tblLook w:firstColumn="1" w:firstRow="1" w:lastColumn="0" w:lastRow="0" w:noHBand="0" w:noVBand="1" w:val="04A0"/>
      </w:tblPr>
      <w:tblGrid>
        <w:gridCol w:w="1152"/>
        <w:gridCol w:w="5040"/>
        <w:gridCol w:w="4031"/>
      </w:tblGrid>
      <w:tr>
        <w:trPr>
          <w:cantSplit/>
          <w:tblHeader/>
        </w:trPr>
        <w:tc>
          <w:tcPr>
            <w:tcW w:type="dxa" w:w="1152"/>
            <w:shd w:val="clear" w:color="auto" w:fill="D9E2F3"/>
          </w:tcPr>
          <w:p>
            <w:pPr>
              <w:keepNext/>
            </w:pPr>
            <w:r>
              <w:rPr>
                <w:sz w:val="20"/>
              </w:rPr>
            </w:r>
            <w:r>
              <w:rPr>
                <w:b/>
                <w:sz w:val="20"/>
              </w:rPr>
              <w:t>Step</w:t>
            </w:r>
          </w:p>
        </w:tc>
        <w:tc>
          <w:tcPr>
            <w:tcW w:type="dxa" w:w="5040"/>
            <w:shd w:val="clear" w:color="auto" w:fill="D9E2F3"/>
          </w:tcPr>
          <w:p>
            <w:pPr>
              <w:keepNext/>
            </w:pPr>
            <w:r>
              <w:rPr>
                <w:sz w:val="20"/>
              </w:rPr>
            </w:r>
            <w:r>
              <w:rPr>
                <w:b/>
                <w:sz w:val="20"/>
              </w:rPr>
              <w:t>What happens</w:t>
            </w:r>
          </w:p>
        </w:tc>
        <w:tc>
          <w:tcPr>
            <w:tcW w:type="dxa" w:w="4032"/>
            <w:shd w:val="clear" w:color="auto" w:fill="D9E2F3"/>
          </w:tcPr>
          <w:p>
            <w:pPr>
              <w:keepNext/>
            </w:pPr>
            <w:r>
              <w:rPr>
                <w:sz w:val="20"/>
              </w:rPr>
            </w:r>
            <w:r>
              <w:rPr>
                <w:b/>
                <w:sz w:val="20"/>
              </w:rPr>
              <w:t>Discuss</w:t>
            </w:r>
          </w:p>
        </w:tc>
      </w:tr>
      <w:tr>
        <w:trPr>
          <w:cantSplit/>
        </w:trPr>
        <w:tc>
          <w:tcPr>
            <w:tcW w:type="dxa" w:w="1152"/>
          </w:tcPr>
          <w:p>
            <w:r>
              <w:rPr>
                <w:sz w:val="20"/>
              </w:rPr>
              <w:t>Inject 1</w:t>
            </w:r>
          </w:p>
        </w:tc>
        <w:tc>
          <w:tcPr>
            <w:tcW w:type="dxa" w:w="5040"/>
          </w:tcPr>
          <w:p>
            <w:r>
              <w:rPr>
                <w:sz w:val="20"/>
              </w:rPr>
              <w:t>A staff member reports she clicked a link in an email that looked like a shared file from a client, then entered her password. Her mailbox now shows sent messages she did not write.</w:t>
            </w:r>
          </w:p>
        </w:tc>
        <w:tc>
          <w:tcPr>
            <w:tcW w:type="dxa" w:w="4032"/>
          </w:tcPr>
          <w:p>
            <w:r>
              <w:rPr>
                <w:sz w:val="20"/>
              </w:rPr>
              <w:t>Who is the lead? What do you do in the first 15 minutes? What do you capture before you reset anything? Who do you call?</w:t>
            </w:r>
          </w:p>
        </w:tc>
      </w:tr>
      <w:tr>
        <w:trPr>
          <w:cantSplit/>
        </w:trPr>
        <w:tc>
          <w:tcPr>
            <w:tcW w:type="dxa" w:w="1152"/>
          </w:tcPr>
          <w:p>
            <w:r>
              <w:rPr>
                <w:sz w:val="20"/>
              </w:rPr>
              <w:t>Inject 2</w:t>
            </w:r>
          </w:p>
        </w:tc>
        <w:tc>
          <w:tcPr>
            <w:tcW w:type="dxa" w:w="5040"/>
          </w:tcPr>
          <w:p>
            <w:r>
              <w:rPr>
                <w:sz w:val="20"/>
              </w:rPr>
              <w:t>The IT provider confirms the account was signed in from another country an hour ago. Two clients reply that they received a payment-change request from her address.</w:t>
            </w:r>
          </w:p>
        </w:tc>
        <w:tc>
          <w:tcPr>
            <w:tcW w:type="dxa" w:w="4032"/>
          </w:tcPr>
          <w:p>
            <w:r>
              <w:rPr>
                <w:sz w:val="20"/>
              </w:rPr>
              <w:t>How do you contain the account? Has anyone paid? Who calls the bank? Who tells the clients, and what do they say? Does your insurer need a call?</w:t>
            </w:r>
          </w:p>
        </w:tc>
      </w:tr>
      <w:tr>
        <w:trPr>
          <w:cantSplit/>
        </w:trPr>
        <w:tc>
          <w:tcPr>
            <w:tcW w:type="dxa" w:w="1152"/>
          </w:tcPr>
          <w:p>
            <w:r>
              <w:rPr>
                <w:sz w:val="20"/>
              </w:rPr>
              <w:t>Inject 3</w:t>
            </w:r>
          </w:p>
        </w:tc>
        <w:tc>
          <w:tcPr>
            <w:tcW w:type="dxa" w:w="5040"/>
          </w:tcPr>
          <w:p>
            <w:r>
              <w:rPr>
                <w:sz w:val="20"/>
              </w:rPr>
              <w:t>A shared drive shows files renamed with a strange extension. The deadline is Monday morning.</w:t>
            </w:r>
          </w:p>
        </w:tc>
        <w:tc>
          <w:tcPr>
            <w:tcW w:type="dxa" w:w="4032"/>
          </w:tcPr>
          <w:p>
            <w:r>
              <w:rPr>
                <w:sz w:val="20"/>
              </w:rPr>
              <w:t>Which backups can you trust? Who decides, and on what information, about shutting systems down before the deadline?</w:t>
            </w:r>
          </w:p>
        </w:tc>
      </w:tr>
      <w:tr>
        <w:trPr>
          <w:cantSplit/>
        </w:trPr>
        <w:tc>
          <w:tcPr>
            <w:tcW w:type="dxa" w:w="1152"/>
          </w:tcPr>
          <w:p>
            <w:r>
              <w:rPr>
                <w:sz w:val="20"/>
              </w:rPr>
              <w:t>Inject 4</w:t>
            </w:r>
          </w:p>
        </w:tc>
        <w:tc>
          <w:tcPr>
            <w:tcW w:type="dxa" w:w="5040"/>
          </w:tcPr>
          <w:p>
            <w:r>
              <w:rPr>
                <w:sz w:val="20"/>
              </w:rPr>
              <w:t>A local reporter emails asking whether client tax data was exposed.</w:t>
            </w:r>
          </w:p>
        </w:tc>
        <w:tc>
          <w:tcPr>
            <w:tcW w:type="dxa" w:w="4032"/>
          </w:tcPr>
          <w:p>
            <w:r>
              <w:rPr>
                <w:sz w:val="20"/>
              </w:rPr>
              <w:t>Who answers? What can you truthfully say right now? Who decides about notifying clients and regulators?</w:t>
            </w:r>
          </w:p>
        </w:tc>
      </w:tr>
    </w:tbl>
    <w:p>
      <w:r>
        <w:t>Facilitator note: one person reads the injects and keeps time, and does not answer for the group. A good answer to each inject names a person, a first action within 15 minutes, a phone call to make, and what not to do (for example do not wipe machines, do not pay, do not speculate about cause). For inject 4, ask counsel whether the FTC Safeguards Rule or state breach-notification laws apply to your firm; this sheet cannot tell you.</w:t>
      </w:r>
    </w:p>
    <w:p>
      <w:r>
        <w:t>Score the group (yes / partly / no): Did we know who leads? Could we reach everyone off email? Did we know where backups are? Did we know who to call at the insurer (no insurer: your fallback line) and the bank? Write the three biggest gaps and fix them within 30 days.</w:t>
      </w:r>
    </w:p>
    <w:p>
      <w:pPr>
        <w:pStyle w:val="Heading1"/>
      </w:pPr>
      <w:r>
        <w:t>Document control</w:t>
      </w:r>
    </w:p>
    <w:p>
      <w:r>
        <w:t>Purpose: a first-hour guide for small firms covering four common situations. Scope: see the top of this sheet. Roles: Part 1. Exceptions: you may skip or change any step; write the reason and date in your log so the next review can improve the sheet. Enforcement: none, this is a guide, not a policy; if you turn it into a policy, have your own counsel review it. Review cycle: re-check Part 1 phone numbers every 6 months and the whole sheet once a year or after any real incident or tabletop.</w:t>
      </w:r>
    </w:p>
    <w:tbl>
      <w:tblPr>
        <w:tblStyle w:val="TableGrid"/>
        <w:tblW w:type="auto" w:w="0"/>
        <w:tblLayout w:type="fixed"/>
        <w:tblLook w:firstColumn="1" w:firstRow="1" w:lastColumn="0" w:lastRow="0" w:noHBand="0" w:noVBand="1" w:val="04A0"/>
      </w:tblPr>
      <w:tblGrid>
        <w:gridCol w:w="1152"/>
        <w:gridCol w:w="1728"/>
        <w:gridCol w:w="5472"/>
        <w:gridCol w:w="1872"/>
      </w:tblGrid>
      <w:tr>
        <w:trPr>
          <w:cantSplit/>
          <w:tblHeader/>
        </w:trPr>
        <w:tc>
          <w:tcPr>
            <w:tcW w:type="dxa" w:w="1152"/>
            <w:shd w:val="clear" w:color="auto" w:fill="D9E2F3"/>
          </w:tcPr>
          <w:p>
            <w:r>
              <w:rPr>
                <w:sz w:val="20"/>
              </w:rPr>
            </w:r>
            <w:r>
              <w:rPr>
                <w:b/>
                <w:sz w:val="20"/>
              </w:rPr>
              <w:t>Version</w:t>
            </w:r>
          </w:p>
        </w:tc>
        <w:tc>
          <w:tcPr>
            <w:tcW w:type="dxa" w:w="1728"/>
            <w:shd w:val="clear" w:color="auto" w:fill="D9E2F3"/>
          </w:tcPr>
          <w:p>
            <w:r>
              <w:rPr>
                <w:sz w:val="20"/>
              </w:rPr>
            </w:r>
            <w:r>
              <w:rPr>
                <w:b/>
                <w:sz w:val="20"/>
              </w:rPr>
              <w:t>Date</w:t>
            </w:r>
          </w:p>
        </w:tc>
        <w:tc>
          <w:tcPr>
            <w:tcW w:type="dxa" w:w="5472"/>
            <w:shd w:val="clear" w:color="auto" w:fill="D9E2F3"/>
          </w:tcPr>
          <w:p>
            <w:r>
              <w:rPr>
                <w:sz w:val="20"/>
              </w:rPr>
            </w:r>
            <w:r>
              <w:rPr>
                <w:b/>
                <w:sz w:val="20"/>
              </w:rPr>
              <w:t>Change</w:t>
            </w:r>
          </w:p>
        </w:tc>
        <w:tc>
          <w:tcPr>
            <w:tcW w:type="dxa" w:w="1872"/>
            <w:shd w:val="clear" w:color="auto" w:fill="D9E2F3"/>
          </w:tcPr>
          <w:p>
            <w:r>
              <w:rPr>
                <w:sz w:val="20"/>
              </w:rPr>
            </w:r>
            <w:r>
              <w:rPr>
                <w:b/>
                <w:sz w:val="20"/>
              </w:rPr>
              <w:t>Next review</w:t>
            </w:r>
          </w:p>
        </w:tc>
      </w:tr>
      <w:tr>
        <w:trPr>
          <w:cantSplit/>
          <w:trHeight w:val="360" w:hRule="atLeast"/>
        </w:trPr>
        <w:tc>
          <w:tcPr>
            <w:tcW w:type="dxa" w:w="1152"/>
          </w:tcPr>
          <w:p>
            <w:r>
              <w:rPr>
                <w:sz w:val="20"/>
              </w:rPr>
              <w:t>1.1</w:t>
            </w:r>
          </w:p>
        </w:tc>
        <w:tc>
          <w:tcPr>
            <w:tcW w:type="dxa" w:w="1728"/>
          </w:tcPr>
          <w:p>
            <w:r>
              <w:rPr>
                <w:sz w:val="20"/>
              </w:rPr>
              <w:t>2026-10-16</w:t>
            </w:r>
          </w:p>
        </w:tc>
        <w:tc>
          <w:tcPr>
            <w:tcW w:type="dxa" w:w="5472"/>
          </w:tcPr>
          <w:p>
            <w:r>
              <w:rPr>
                <w:sz w:val="20"/>
              </w:rPr>
              <w:t>Numbered rows and routing table for four situations, per-row fallbacks, lost-device and payment route fixes, document control, 10 pt table text</w:t>
            </w:r>
          </w:p>
        </w:tc>
        <w:tc>
          <w:tcPr>
            <w:tcW w:type="dxa" w:w="1872"/>
          </w:tcPr>
          <w:p>
            <w:r>
              <w:rPr>
                <w:sz w:val="20"/>
              </w:rPr>
              <w:t>2027-04-16</w:t>
            </w:r>
          </w:p>
        </w:tc>
      </w:tr>
      <w:tr>
        <w:trPr>
          <w:cantSplit/>
          <w:trHeight w:val="360" w:hRule="atLeast"/>
        </w:trPr>
        <w:tc>
          <w:tcPr>
            <w:tcW w:type="dxa" w:w="1152"/>
          </w:tcPr>
          <w:p>
            <w:r>
              <w:rPr>
                <w:sz w:val="20"/>
              </w:rPr>
              <w:t>1.0</w:t>
            </w:r>
          </w:p>
        </w:tc>
        <w:tc>
          <w:tcPr>
            <w:tcW w:type="dxa" w:w="1728"/>
          </w:tcPr>
          <w:p>
            <w:r>
              <w:rPr>
                <w:sz w:val="20"/>
              </w:rPr>
              <w:t>2026-10-16</w:t>
            </w:r>
          </w:p>
        </w:tc>
        <w:tc>
          <w:tcPr>
            <w:tcW w:type="dxa" w:w="5472"/>
          </w:tcPr>
          <w:p>
            <w:r>
              <w:rPr>
                <w:sz w:val="20"/>
              </w:rPr>
              <w:t>First draft (AI-generated, not professionally reviewed)</w:t>
            </w:r>
          </w:p>
        </w:tc>
        <w:tc>
          <w:tcPr>
            <w:tcW w:type="dxa" w:w="1872"/>
          </w:tcPr>
          <w:p>
            <w:r>
              <w:rPr>
                <w:sz w:val="20"/>
              </w:rPr>
              <w:t>superseded</w:t>
            </w:r>
          </w:p>
        </w:tc>
      </w:tr>
    </w:tbl>
    <w:sectPr w:rsidR="00FC693F" w:rsidRPr="0006063C" w:rsidSect="00034616">
      <w:footerReference w:type="default" r:id="rId9"/>
      <w:head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Free sample, AI-generated draft, not reviewed.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CSF 2.0 (Feb 2024), SP 800-61 Rev. 3 (Apr 2025), v1.1, 2026-10-16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Response: First-Hour Checklist and Mini Tabletop</dc:title>
  <dc:subject/>
  <dc:creator>Claude (AI-generated)</dc:creator>
  <cp:keywords/>
  <dc:description>AI-generated free sample, version 1.1</dc:description>
  <cp:lastModifiedBy/>
  <cp:revision>1</cp:revision>
  <dcterms:created xsi:type="dcterms:W3CDTF">2026-10-16T00:00:00Z</dcterms:created>
  <dcterms:modified xsi:type="dcterms:W3CDTF">2026-10-16T00:00:00Z</dcterms:modified>
  <cp:category/>
</cp:coreProperties>
</file>