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Risk Register: Brightwater Accounting LLC (fictional)</w:t>
      </w:r>
    </w:p>
    <w:p>
      <w:r>
        <w:rPr>
          <w:i/>
        </w:rPr>
        <w:t>A filled example for a 40-person firm, a blank register and a one-page guide. Companion files: an XLSX with working formulas and validation, and two CSV files.</w:t>
      </w:r>
    </w:p>
    <w:p>
      <w:r>
        <w:rPr>
          <w:sz w:val="20"/>
        </w:rPr>
        <w:t>Free sample. Not legal advice, not an audit, not a certification, and no guarantee of compliance or of any audit result. Not affiliated with or endorsed by NIST, ISO/IEC, CIS, SANS, AICPA, Notion, Microsoft, Google or any other standards body or vendor; product names such as Word, Excel and Google Sheets belong to their owners. Any paid standard (for example ISO/IEC 27001) must be obtained by you; none is included or reproduced. Company, people and data in this sample are fictional; adapt everything to your real practice. This sample was drafted by an AI (Claude). It has not been reviewed by a practitioner, certified security professional or auditor. References: NIST Cybersecurity Framework (CSF) 2.0 function and category IDs (NIST, February 2024). Only IDs and titles of NIST documents are used; all other wording is original and no NIST text is reprinted. License: free for personal and internal business use. Do not sell or repackage it. Unmodified copies may be shared with this notice kept. Version 1.1, drafted 2026-10-16, not yet reviewed.</w:t>
      </w:r>
    </w:p>
    <w:p>
      <w:pPr>
        <w:pStyle w:val="Heading1"/>
      </w:pPr>
      <w:r>
        <w:t>How to use this (one page)</w:t>
      </w:r>
    </w:p>
    <w:p>
      <w:r>
        <w:t>Step 1. List what could go wrong in plain words, one row per risk. Name the asset it affects.</w:t>
      </w:r>
    </w:p>
    <w:p>
      <w:r>
        <w:t>Step 2. Score Likelihood and Impact from 1 (very low) to 5 (very high). Multiply for the score. 15 or more is High, 8 to 14 is Medium, under 8 is Low. These bands are a simple convention, not a standard; change them if you document why.</w:t>
      </w:r>
    </w:p>
    <w:p>
      <w:r>
        <w:t>Step 3. Give every risk one accountable person by role (an outside provider can help but should not be the only owner) and one planned treatment: reduce, transfer (insurance or contract), avoid, or accept with a named person approving.</w:t>
      </w:r>
    </w:p>
    <w:p>
      <w:r>
        <w:t>Step 4. Map each row to a NIST CSF 2.0 category ID so you can see gaps by function (Govern, Identify, Protect, Detect, Respond, Recover). Mapping is a judgment call; one risk can touch several categories, so pick the main one.</w:t>
      </w:r>
    </w:p>
    <w:p>
      <w:r>
        <w:t>Step 5. Review High risks about every 3 months and the rest at least twice a year, and after any incident. Change status and date; do not delete old rows.</w:t>
      </w:r>
    </w:p>
    <w:p>
      <w:r>
        <w:t>Limits: scores are judgment calls, not measurements. Treatments here are illustrative. A register helps you decide and explain; it does not prove your controls work.</w:t>
      </w:r>
    </w:p>
    <w:p>
      <w:r>
        <w:br w:type="page"/>
      </w:r>
    </w:p>
    <w:p>
      <w:pPr>
        <w:pStyle w:val="Heading1"/>
      </w:pPr>
      <w:r>
        <w:t>Filled example</w:t>
      </w:r>
    </w:p>
    <w:p>
      <w:r>
        <w:t>Sorted by score, highest first. L = likelihood, I = impact, CSF cat. = NIST CSF 2.0 category (the CSV uses the full names Likelihood (1-5), Impact (1-5) and CSF 2.0 category). Values are invented for illustration. In Excel or Sheets use Score = L x I (G2 = E2*F2) and Rating = IF(G2&gt;=15,"High",IF(G2&gt;=8,"Medium","Low")).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1368"/>
        <w:gridCol w:w="792"/>
        <w:gridCol w:w="720"/>
        <w:gridCol w:w="648"/>
        <w:gridCol w:w="720"/>
        <w:gridCol w:w="864"/>
        <w:gridCol w:w="1224"/>
        <w:gridCol w:w="2376"/>
        <w:gridCol w:w="1152"/>
        <w:gridCol w:w="1152"/>
      </w:tblGrid>
      <w:tr>
        <w:trPr>
          <w:cantSplit/>
          <w:tblHeader/>
        </w:trPr>
        <w:tc>
          <w:tcPr>
            <w:tcW w:type="dxa" w:w="576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 (what could go wrong)</w:t>
            </w:r>
          </w:p>
        </w:tc>
        <w:tc>
          <w:tcPr>
            <w:tcW w:type="dxa" w:w="1368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Asset</w:t>
            </w:r>
          </w:p>
        </w:tc>
        <w:tc>
          <w:tcPr>
            <w:tcW w:type="dxa" w:w="792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CSF cat.</w:t>
            </w:r>
          </w:p>
        </w:tc>
        <w:tc>
          <w:tcPr>
            <w:tcW w:type="dxa" w:w="720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 1-5</w:t>
            </w:r>
          </w:p>
        </w:tc>
        <w:tc>
          <w:tcPr>
            <w:tcW w:type="dxa" w:w="648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 1-5</w:t>
            </w:r>
          </w:p>
        </w:tc>
        <w:tc>
          <w:tcPr>
            <w:tcW w:type="dxa" w:w="720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Score</w:t>
            </w:r>
          </w:p>
        </w:tc>
        <w:tc>
          <w:tcPr>
            <w:tcW w:type="dxa" w:w="864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Rating</w:t>
            </w:r>
          </w:p>
        </w:tc>
        <w:tc>
          <w:tcPr>
            <w:tcW w:type="dxa" w:w="1224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 (role)</w:t>
            </w:r>
          </w:p>
        </w:tc>
        <w:tc>
          <w:tcPr>
            <w:tcW w:type="dxa" w:w="2376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Planned treatment</w:t>
            </w:r>
          </w:p>
        </w:tc>
        <w:tc>
          <w:tcPr>
            <w:tcW w:type="dxa" w:w="1152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152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Next review</w:t>
            </w:r>
          </w:p>
        </w:tc>
      </w:tr>
      <w:tr>
        <w:trPr>
          <w:cantSplit/>
        </w:trPr>
        <w:tc>
          <w:tcPr>
            <w:tcW w:type="dxa" w:w="576"/>
          </w:tcPr>
          <w:p>
            <w:r>
              <w:rPr>
                <w:sz w:val="18"/>
              </w:rPr>
              <w:t>R01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Staff enter passwords on a phishing page, giving an attacker mailbox access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Email accounts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PR.AA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Office manager</w:t>
            </w:r>
          </w:p>
        </w:tc>
        <w:tc>
          <w:tcPr>
            <w:tcW w:type="dxa" w:w="2376"/>
          </w:tcPr>
          <w:p>
            <w:r>
              <w:rPr>
                <w:sz w:val="18"/>
              </w:rPr>
              <w:t>Require multi-factor sign-in for all mail accounts; phishing awareness session twice a year; report-this-email button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2026-12-15</w:t>
            </w:r>
          </w:p>
        </w:tc>
      </w:tr>
      <w:tr>
        <w:trPr>
          <w:cantSplit/>
        </w:trPr>
        <w:tc>
          <w:tcPr>
            <w:tcW w:type="dxa" w:w="576"/>
          </w:tcPr>
          <w:p>
            <w:r>
              <w:rPr>
                <w:sz w:val="18"/>
              </w:rPr>
              <w:t>R08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one knows who leads during an incident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Incident response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GV.RR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Managing partner</w:t>
            </w:r>
          </w:p>
        </w:tc>
        <w:tc>
          <w:tcPr>
            <w:tcW w:type="dxa" w:w="2376"/>
          </w:tcPr>
          <w:p>
            <w:r>
              <w:rPr>
                <w:sz w:val="18"/>
              </w:rPr>
              <w:t>Adopt a written first-hour checklist; run a 30 minute tabletop each year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2026-12-15</w:t>
            </w:r>
          </w:p>
        </w:tc>
      </w:tr>
      <w:tr>
        <w:trPr>
          <w:cantSplit/>
        </w:trPr>
        <w:tc>
          <w:tcPr>
            <w:tcW w:type="dxa" w:w="576"/>
          </w:tcPr>
          <w:p>
            <w:r>
              <w:rPr>
                <w:sz w:val="18"/>
              </w:rPr>
              <w:t>R02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Ransomware encrypts the shared file server before the tax deadline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File server, client files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PR.DS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Office manager with IT provider</w:t>
            </w:r>
          </w:p>
        </w:tc>
        <w:tc>
          <w:tcPr>
            <w:tcW w:type="dxa" w:w="2376"/>
          </w:tcPr>
          <w:p>
            <w:r>
              <w:rPr>
                <w:sz w:val="18"/>
              </w:rPr>
              <w:t>Keep one offline or immutable backup copy; test a restore each quarter; limit who can write to shared folders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2026-12-15</w:t>
            </w:r>
          </w:p>
        </w:tc>
      </w:tr>
      <w:tr>
        <w:trPr>
          <w:cantSplit/>
        </w:trPr>
        <w:tc>
          <w:tcPr>
            <w:tcW w:type="dxa" w:w="576"/>
          </w:tcPr>
          <w:p>
            <w:r>
              <w:rPr>
                <w:sz w:val="18"/>
              </w:rPr>
              <w:t>R03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Laptop with client tax data is lost or stolen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Staff laptops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PR.DS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Office manager with IT provider</w:t>
            </w:r>
          </w:p>
        </w:tc>
        <w:tc>
          <w:tcPr>
            <w:tcW w:type="dxa" w:w="2376"/>
          </w:tcPr>
          <w:p>
            <w:r>
              <w:rPr>
                <w:sz w:val="18"/>
              </w:rPr>
              <w:t>Full-disk encryption on every laptop; remote wipe; no local storage of client files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2027-01-15</w:t>
            </w:r>
          </w:p>
        </w:tc>
      </w:tr>
      <w:tr>
        <w:trPr>
          <w:cantSplit/>
        </w:trPr>
        <w:tc>
          <w:tcPr>
            <w:tcW w:type="dxa" w:w="576"/>
          </w:tcPr>
          <w:p>
            <w:r>
              <w:rPr>
                <w:sz w:val="18"/>
              </w:rPr>
              <w:t>R06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Unpatched software on staff computers is exploited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Workstations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PR.PS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Office manager with IT provider</w:t>
            </w:r>
          </w:p>
        </w:tc>
        <w:tc>
          <w:tcPr>
            <w:tcW w:type="dxa" w:w="2376"/>
          </w:tcPr>
          <w:p>
            <w:r>
              <w:rPr>
                <w:sz w:val="18"/>
              </w:rPr>
              <w:t>Turn on automatic updates; monthly report of machines more than 30 days behind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2027-01-15</w:t>
            </w:r>
          </w:p>
        </w:tc>
      </w:tr>
      <w:tr>
        <w:trPr>
          <w:cantSplit/>
        </w:trPr>
        <w:tc>
          <w:tcPr>
            <w:tcW w:type="dxa" w:w="576"/>
          </w:tcPr>
          <w:p>
            <w:r>
              <w:rPr>
                <w:sz w:val="18"/>
              </w:rPr>
              <w:t>R07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 data emailed to the wrong recipient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Client records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PR.DS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Practice lead</w:t>
            </w:r>
          </w:p>
        </w:tc>
        <w:tc>
          <w:tcPr>
            <w:tcW w:type="dxa" w:w="2376"/>
          </w:tcPr>
          <w:p>
            <w:r>
              <w:rPr>
                <w:sz w:val="18"/>
              </w:rPr>
              <w:t>Use the secure client portal for tax documents; delay-send on outgoing mail for 60 seconds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2027-01-15</w:t>
            </w:r>
          </w:p>
        </w:tc>
      </w:tr>
      <w:tr>
        <w:trPr>
          <w:cantSplit/>
        </w:trPr>
        <w:tc>
          <w:tcPr>
            <w:tcW w:type="dxa" w:w="576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inventory of systems and cloud services in use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All assets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ID.AM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Office manager</w:t>
            </w:r>
          </w:p>
        </w:tc>
        <w:tc>
          <w:tcPr>
            <w:tcW w:type="dxa" w:w="2376"/>
          </w:tcPr>
          <w:p>
            <w:r>
              <w:rPr>
                <w:sz w:val="18"/>
              </w:rPr>
              <w:t>Build a simple list of systems, owners and where client data lives; review twice a year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2027-01-15</w:t>
            </w:r>
          </w:p>
        </w:tc>
      </w:tr>
      <w:tr>
        <w:trPr>
          <w:cantSplit/>
        </w:trPr>
        <w:tc>
          <w:tcPr>
            <w:tcW w:type="dxa" w:w="576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Suspicious sign-ins go unnoticed for days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Email and cloud accounts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DE.CM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Office manager with IT provider</w:t>
            </w:r>
          </w:p>
        </w:tc>
        <w:tc>
          <w:tcPr>
            <w:tcW w:type="dxa" w:w="2376"/>
          </w:tcPr>
          <w:p>
            <w:r>
              <w:rPr>
                <w:sz w:val="18"/>
              </w:rPr>
              <w:t>Turn on sign-in alerts for unusual location; one person receives them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2027-01-15</w:t>
            </w:r>
          </w:p>
        </w:tc>
      </w:tr>
      <w:tr>
        <w:trPr>
          <w:cantSplit/>
        </w:trPr>
        <w:tc>
          <w:tcPr>
            <w:tcW w:type="dxa" w:w="576"/>
          </w:tcPr>
          <w:p>
            <w:r>
              <w:rPr>
                <w:sz w:val="18"/>
              </w:rPr>
              <w:t>R05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 provider has broad admin access and suffers its own breach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Third-party IT provider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GV.SC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Managing partner</w:t>
            </w:r>
          </w:p>
        </w:tc>
        <w:tc>
          <w:tcPr>
            <w:tcW w:type="dxa" w:w="2376"/>
          </w:tcPr>
          <w:p>
            <w:r>
              <w:rPr>
                <w:sz w:val="18"/>
              </w:rPr>
              <w:t>Ask for the provider's security practices in writing; require separate admin accounts with multi-factor; put breach-notice time in the contract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2027-01-15</w:t>
            </w:r>
          </w:p>
        </w:tc>
      </w:tr>
      <w:tr>
        <w:trPr>
          <w:cantSplit/>
        </w:trPr>
        <w:tc>
          <w:tcPr>
            <w:tcW w:type="dxa" w:w="576"/>
          </w:tcPr>
          <w:p>
            <w:r>
              <w:rPr>
                <w:sz w:val="18"/>
              </w:rPr>
              <w:t>R04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departed employee's accounts stay active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User accounts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PR.AA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HR lead</w:t>
            </w:r>
          </w:p>
        </w:tc>
        <w:tc>
          <w:tcPr>
            <w:tcW w:type="dxa" w:w="2376"/>
          </w:tcPr>
          <w:p>
            <w:r>
              <w:rPr>
                <w:sz w:val="18"/>
              </w:rPr>
              <w:t>Same-day offboarding checklist; monthly list of active accounts compared to payroll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2027-01-15</w:t>
            </w:r>
          </w:p>
        </w:tc>
      </w:tr>
      <w:tr>
        <w:trPr>
          <w:cantSplit/>
        </w:trPr>
        <w:tc>
          <w:tcPr>
            <w:tcW w:type="dxa" w:w="576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Remote staff use personal devices without protection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Personal devices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PR.PS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Practice lead</w:t>
            </w:r>
          </w:p>
        </w:tc>
        <w:tc>
          <w:tcPr>
            <w:tcW w:type="dxa" w:w="2376"/>
          </w:tcPr>
          <w:p>
            <w:r>
              <w:rPr>
                <w:sz w:val="18"/>
              </w:rPr>
              <w:t>Written rule on personal devices; require screen lock and updates; prefer company laptops for client work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2027-01-15</w:t>
            </w:r>
          </w:p>
        </w:tc>
      </w:tr>
      <w:tr>
        <w:trPr>
          <w:cantSplit/>
        </w:trPr>
        <w:tc>
          <w:tcPr>
            <w:tcW w:type="dxa" w:w="576"/>
          </w:tcPr>
          <w:p>
            <w:r>
              <w:rPr>
                <w:sz w:val="18"/>
              </w:rPr>
              <w:t>R09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Cyber insurance does not cover a payment-redirect fraud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Insurance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GV.RM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Managing partner</w:t>
            </w:r>
          </w:p>
        </w:tc>
        <w:tc>
          <w:tcPr>
            <w:tcW w:type="dxa" w:w="2376"/>
          </w:tcPr>
          <w:p>
            <w:r>
              <w:rPr>
                <w:sz w:val="18"/>
              </w:rPr>
              <w:t>Read the policy exclusions with the broker; ask in writing about social engineering cover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2027-01-15</w:t>
            </w:r>
          </w:p>
        </w:tc>
      </w:tr>
      <w:tr>
        <w:trPr>
          <w:cantSplit/>
        </w:trPr>
        <w:tc>
          <w:tcPr>
            <w:tcW w:type="dxa" w:w="576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key person is unavailable and nobody else can restore systems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Operations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RC.RP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Managing partner</w:t>
            </w:r>
          </w:p>
        </w:tc>
        <w:tc>
          <w:tcPr>
            <w:tcW w:type="dxa" w:w="2376"/>
          </w:tcPr>
          <w:p>
            <w:r>
              <w:rPr>
                <w:sz w:val="18"/>
              </w:rPr>
              <w:t>Document restore steps; store admin recovery details in a sealed offline envelope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2027-01-15</w:t>
            </w:r>
          </w:p>
        </w:tc>
      </w:tr>
      <w:tr>
        <w:trPr>
          <w:cantSplit/>
        </w:trPr>
        <w:tc>
          <w:tcPr>
            <w:tcW w:type="dxa" w:w="576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Guest Wi-Fi shares a network with office computers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Office network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PR.IR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Office manager with IT provider</w:t>
            </w:r>
          </w:p>
        </w:tc>
        <w:tc>
          <w:tcPr>
            <w:tcW w:type="dxa" w:w="2376"/>
          </w:tcPr>
          <w:p>
            <w:r>
              <w:rPr>
                <w:sz w:val="18"/>
              </w:rPr>
              <w:t>Separate guest network; change the router admin password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2027-04-15</w:t>
            </w:r>
          </w:p>
        </w:tc>
      </w:tr>
    </w:tbl>
    <w:p>
      <w:pPr>
        <w:pStyle w:val="Heading1"/>
      </w:pPr>
      <w:r>
        <w:t>Coverage by CSF 2.0 function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0"/>
        <w:gridCol w:w="9360"/>
      </w:tblGrid>
      <w:tr>
        <w:trPr>
          <w:cantSplit/>
          <w:tblHeader/>
        </w:trPr>
        <w:tc>
          <w:tcPr>
            <w:tcW w:type="dxa" w:w="1872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Rows in this register</w:t>
            </w:r>
          </w:p>
        </w:tc>
        <w:tc>
          <w:tcPr>
            <w:tcW w:type="dxa" w:w="9360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Note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Govern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360"/>
          </w:tcPr>
          <w:p>
            <w:r>
              <w:rPr>
                <w:sz w:val="18"/>
              </w:rPr>
              <w:t>Roles, supplier and insurance risks only; no policy or oversight rows yet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Identify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360"/>
          </w:tcPr>
          <w:p>
            <w:r>
              <w:rPr>
                <w:sz w:val="18"/>
              </w:rPr>
              <w:t>One row (asset inventory); no risk-assessment process row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9360"/>
          </w:tcPr>
          <w:p>
            <w:r>
              <w:rPr>
                <w:sz w:val="18"/>
              </w:rPr>
              <w:t>Most rows; typical for a first register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Detect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360"/>
          </w:tcPr>
          <w:p>
            <w:r>
              <w:rPr>
                <w:sz w:val="18"/>
              </w:rPr>
              <w:t>One row; thin, consider adding log review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Respond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360"/>
          </w:tcPr>
          <w:p>
            <w:r>
              <w:rPr>
                <w:sz w:val="18"/>
              </w:rPr>
              <w:t>No row mapped here; incident response risk sits under GV.RR (R08). Ask whether that is a real gap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Recover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360"/>
          </w:tcPr>
          <w:p>
            <w:r>
              <w:rPr>
                <w:sz w:val="18"/>
              </w:rPr>
              <w:t>One row (restore capability); no recovery communications row</w:t>
            </w:r>
          </w:p>
        </w:tc>
      </w:tr>
    </w:tbl>
    <w:p>
      <w:r>
        <w:br w:type="page"/>
      </w:r>
    </w:p>
    <w:p>
      <w:pPr>
        <w:pStyle w:val="Heading1"/>
      </w:pPr>
      <w:r>
        <w:t>Blank register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160"/>
        <w:gridCol w:w="1368"/>
        <w:gridCol w:w="792"/>
        <w:gridCol w:w="720"/>
        <w:gridCol w:w="648"/>
        <w:gridCol w:w="720"/>
        <w:gridCol w:w="864"/>
        <w:gridCol w:w="1224"/>
        <w:gridCol w:w="2376"/>
        <w:gridCol w:w="1152"/>
        <w:gridCol w:w="1152"/>
      </w:tblGrid>
      <w:tr>
        <w:trPr>
          <w:cantSplit/>
          <w:tblHeader/>
        </w:trPr>
        <w:tc>
          <w:tcPr>
            <w:tcW w:type="dxa" w:w="576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 (what could go wrong)</w:t>
            </w:r>
          </w:p>
        </w:tc>
        <w:tc>
          <w:tcPr>
            <w:tcW w:type="dxa" w:w="1368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Asset</w:t>
            </w:r>
          </w:p>
        </w:tc>
        <w:tc>
          <w:tcPr>
            <w:tcW w:type="dxa" w:w="792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CSF cat.</w:t>
            </w:r>
          </w:p>
        </w:tc>
        <w:tc>
          <w:tcPr>
            <w:tcW w:type="dxa" w:w="720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 1-5</w:t>
            </w:r>
          </w:p>
        </w:tc>
        <w:tc>
          <w:tcPr>
            <w:tcW w:type="dxa" w:w="648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 1-5</w:t>
            </w:r>
          </w:p>
        </w:tc>
        <w:tc>
          <w:tcPr>
            <w:tcW w:type="dxa" w:w="720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Score</w:t>
            </w:r>
          </w:p>
        </w:tc>
        <w:tc>
          <w:tcPr>
            <w:tcW w:type="dxa" w:w="864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Rating</w:t>
            </w:r>
          </w:p>
        </w:tc>
        <w:tc>
          <w:tcPr>
            <w:tcW w:type="dxa" w:w="1224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 (role)</w:t>
            </w:r>
          </w:p>
        </w:tc>
        <w:tc>
          <w:tcPr>
            <w:tcW w:type="dxa" w:w="2376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Planned treatment</w:t>
            </w:r>
          </w:p>
        </w:tc>
        <w:tc>
          <w:tcPr>
            <w:tcW w:type="dxa" w:w="1152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152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Next review</w:t>
            </w:r>
          </w:p>
        </w:tc>
      </w:tr>
      <w:tr>
        <w:trPr>
          <w:cantSplit/>
          <w:trHeight w:val="480" w:hRule="atLeast"/>
        </w:trP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368"/>
          </w:tcPr>
          <w:p>
            <w:r>
              <w:rPr>
                <w:sz w:val="18"/>
              </w:rPr>
            </w:r>
          </w:p>
        </w:tc>
        <w:tc>
          <w:tcPr>
            <w:tcW w:type="dxa" w:w="792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</w:p>
        </w:tc>
        <w:tc>
          <w:tcPr>
            <w:tcW w:type="dxa" w:w="237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rPr>
          <w:cantSplit/>
          <w:trHeight w:val="480" w:hRule="atLeast"/>
        </w:trP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368"/>
          </w:tcPr>
          <w:p>
            <w:r>
              <w:rPr>
                <w:sz w:val="18"/>
              </w:rPr>
            </w:r>
          </w:p>
        </w:tc>
        <w:tc>
          <w:tcPr>
            <w:tcW w:type="dxa" w:w="792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</w:p>
        </w:tc>
        <w:tc>
          <w:tcPr>
            <w:tcW w:type="dxa" w:w="237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rPr>
          <w:cantSplit/>
          <w:trHeight w:val="480" w:hRule="atLeast"/>
        </w:trP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368"/>
          </w:tcPr>
          <w:p>
            <w:r>
              <w:rPr>
                <w:sz w:val="18"/>
              </w:rPr>
            </w:r>
          </w:p>
        </w:tc>
        <w:tc>
          <w:tcPr>
            <w:tcW w:type="dxa" w:w="792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</w:p>
        </w:tc>
        <w:tc>
          <w:tcPr>
            <w:tcW w:type="dxa" w:w="237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rPr>
          <w:cantSplit/>
          <w:trHeight w:val="480" w:hRule="atLeast"/>
        </w:trP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368"/>
          </w:tcPr>
          <w:p>
            <w:r>
              <w:rPr>
                <w:sz w:val="18"/>
              </w:rPr>
            </w:r>
          </w:p>
        </w:tc>
        <w:tc>
          <w:tcPr>
            <w:tcW w:type="dxa" w:w="792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</w:p>
        </w:tc>
        <w:tc>
          <w:tcPr>
            <w:tcW w:type="dxa" w:w="237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rPr>
          <w:cantSplit/>
          <w:trHeight w:val="480" w:hRule="atLeast"/>
        </w:trP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368"/>
          </w:tcPr>
          <w:p>
            <w:r>
              <w:rPr>
                <w:sz w:val="18"/>
              </w:rPr>
            </w:r>
          </w:p>
        </w:tc>
        <w:tc>
          <w:tcPr>
            <w:tcW w:type="dxa" w:w="792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</w:p>
        </w:tc>
        <w:tc>
          <w:tcPr>
            <w:tcW w:type="dxa" w:w="237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rPr>
          <w:cantSplit/>
          <w:trHeight w:val="480" w:hRule="atLeast"/>
        </w:trP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368"/>
          </w:tcPr>
          <w:p>
            <w:r>
              <w:rPr>
                <w:sz w:val="18"/>
              </w:rPr>
            </w:r>
          </w:p>
        </w:tc>
        <w:tc>
          <w:tcPr>
            <w:tcW w:type="dxa" w:w="792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</w:p>
        </w:tc>
        <w:tc>
          <w:tcPr>
            <w:tcW w:type="dxa" w:w="237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rPr>
          <w:cantSplit/>
          <w:trHeight w:val="480" w:hRule="atLeast"/>
        </w:trP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368"/>
          </w:tcPr>
          <w:p>
            <w:r>
              <w:rPr>
                <w:sz w:val="18"/>
              </w:rPr>
            </w:r>
          </w:p>
        </w:tc>
        <w:tc>
          <w:tcPr>
            <w:tcW w:type="dxa" w:w="792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</w:p>
        </w:tc>
        <w:tc>
          <w:tcPr>
            <w:tcW w:type="dxa" w:w="237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rPr>
          <w:cantSplit/>
          <w:trHeight w:val="480" w:hRule="atLeast"/>
        </w:trP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368"/>
          </w:tcPr>
          <w:p>
            <w:r>
              <w:rPr>
                <w:sz w:val="18"/>
              </w:rPr>
            </w:r>
          </w:p>
        </w:tc>
        <w:tc>
          <w:tcPr>
            <w:tcW w:type="dxa" w:w="792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</w:p>
        </w:tc>
        <w:tc>
          <w:tcPr>
            <w:tcW w:type="dxa" w:w="237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Free sample, AI-generated draft, not reviewed.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CSF 2.0 category IDs (Feb 2024), v1.1, 2026-10-16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Risk Register: Brightwater Accounting LLC (fictional)</dc:title>
  <dc:subject/>
  <dc:creator>Claude (AI-generated)</dc:creator>
  <cp:keywords/>
  <dc:description>AI-generated free sample, version 1.1</dc:description>
  <cp:lastModifiedBy/>
  <cp:revision>1</cp:revision>
  <dcterms:created xsi:type="dcterms:W3CDTF">2026-10-16T00:00:00Z</dcterms:created>
  <dcterms:modified xsi:type="dcterms:W3CDTF">2026-10-16T00:00:00Z</dcterms:modified>
  <cp:category/>
</cp:coreProperties>
</file>