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Банковская отчетность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РАСЧЕТ СОБСТВЕHНЫХ СРЕДСТВ (КАПИТАЛА) ("БАЗЕЛЬ III")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по состоянию на 01.06.2020 г.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АО Россельхозбанк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</w:t>
      </w:r>
      <w:r w:rsidR="00D22194">
        <w:rPr>
          <w:rFonts w:ascii="Courier New" w:hAnsi="Courier New" w:cs="Courier New"/>
          <w:b/>
          <w:sz w:val="12"/>
          <w:szCs w:val="12"/>
          <w:lang w:val="en-US"/>
        </w:rPr>
        <w:t xml:space="preserve">   </w:t>
      </w:r>
      <w:r w:rsidRPr="00D22194">
        <w:rPr>
          <w:rFonts w:ascii="Courier New" w:hAnsi="Courier New" w:cs="Courier New"/>
          <w:b/>
          <w:sz w:val="12"/>
          <w:szCs w:val="12"/>
        </w:rPr>
        <w:t xml:space="preserve"> Месячная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>.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493320194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449553039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439483000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100.1.1     | сформированный обыкновенными акциями                                              |      345683000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100.1.2.1   | выпущенными до 1 марта 2013 года                                                  |       93800000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100.1.3     | сформированный долями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100.2.1.1   | сформированный при размещении обыкновенных акций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100.2.1.2.1 | выпущенных до 1 марта 2013 года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100.2.2     | кредитной организации в организационно-правовой форме общества с ограниченной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100.5.2     | величина превышения стоимости активов, определенной кредитной организацией, над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том числе осуществляющих свою деятельность без образования юридического лица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100.5.4     | доходы, признанные в бухгалтерском учете на дату перехода прав на поставляемые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100.6.1.1   | Положением Банка России № 590-П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100.6.2     | величина превышения стоимости активов, определенной кредитной организацией, над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100.6.4     | доходы, признанные в бухгалтерском учете на дату перехода прав на поставляемые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125260362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7677698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101.6       | Вложения кредитной организации в организационно-правовой форме общества с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101.6.1     | перешедшие к кредитной организации доли участников, подавших заявление о выходе из|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104304136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101.7.4     | доходы, признанные в бухгалтерском учете на дату перехода прав на поставляемые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6984431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31454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31454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101.8.1.4   | Указанием Банка России № 2732-У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101.8.2     | величина превышения стоимости активов, определенной кредитной организацией,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101.8.4     | доходы, признанные в бухгалтерском учете на дату перехода прав на поставляемые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организаций и совокупная сумма отложенных налоговых активов, не зависящих от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кредитной организации, а также обязательства кредитной организации по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(сформированных) кредитной организацией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324292677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49408070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49408070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104.4.2.1   | предоставленные финансовым организациям - нерезидентам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104.4.3.1   | предоставленные финансовым организациям - нерезидентам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источники добавочного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105         | Добавочный капитал, итого                                                         |       49408070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373700747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119620885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200.2       | Часть уставного капитала кредитной организации, сформированного за счет внесения в|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средств при переоценке до выбытия основных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200.3.1     | сформированный при размещении привилегированных акций, выпущенных   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200.4       | Резервный фонд кредитной организации в части, сформированной за счет отчислений из|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200.5.2     | величина превышения стоимости активов, определенной кредитной организацией, над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200.5.4     | доходы, признанные в бухгалтерском учете на дату перехода прав на поставляемые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200.6.2     | величина превышения стоимости активов, определенной кредитной организацией, над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200.6.4     | доходы, признанные в бухгалтерском учете на дату перехода прав на поставляемые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118307076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200.8       | Прирост стоимости основных сре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1313809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организацией, над стоимостью активов, определенной Банком России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сформированного (сформированных) кредитной организацией, и величиной ожидаемых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lastRenderedPageBreak/>
        <w:t>|             | потерь, рассчитанной кредитной организацией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201.4.2.1   | предоставленные финансовым организациям - нерезидентам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201.4.3.1   | предоставленные финансовым организациям - нерезидентам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дополнительного капитала, включенные в расчет источников собственных средств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493320194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кредитной организации в организационно-правовой форме общества с ограниченной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ответственностью, над стоимостью, по которой доля была реализована другому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202.3.1     | справочно: совокупная сумма вложений в активы, указанные в подпункте 4.2.2        |               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52666875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119619447 |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Справочно.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   0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>.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приобретенных по сделкам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 xml:space="preserve">  0 </w:t>
      </w:r>
      <w:proofErr w:type="spellStart"/>
      <w:r w:rsidRPr="00D22194">
        <w:rPr>
          <w:rFonts w:ascii="Courier New" w:hAnsi="Courier New" w:cs="Courier New"/>
          <w:b/>
          <w:sz w:val="12"/>
          <w:szCs w:val="12"/>
        </w:rPr>
        <w:t>тыс</w:t>
      </w:r>
      <w:proofErr w:type="gramStart"/>
      <w:r w:rsidRPr="00D22194">
        <w:rPr>
          <w:rFonts w:ascii="Courier New" w:hAnsi="Courier New" w:cs="Courier New"/>
          <w:b/>
          <w:sz w:val="12"/>
          <w:szCs w:val="12"/>
        </w:rPr>
        <w:t>.р</w:t>
      </w:r>
      <w:proofErr w:type="gramEnd"/>
      <w:r w:rsidRPr="00D22194">
        <w:rPr>
          <w:rFonts w:ascii="Courier New" w:hAnsi="Courier New" w:cs="Courier New"/>
          <w:b/>
          <w:sz w:val="12"/>
          <w:szCs w:val="12"/>
        </w:rPr>
        <w:t>уб</w:t>
      </w:r>
      <w:proofErr w:type="spellEnd"/>
      <w:r w:rsidRPr="00D22194">
        <w:rPr>
          <w:rFonts w:ascii="Courier New" w:hAnsi="Courier New" w:cs="Courier New"/>
          <w:b/>
          <w:sz w:val="12"/>
          <w:szCs w:val="12"/>
        </w:rPr>
        <w:t>.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отраженный по строке 100.5, и (или) 101.8, и (или) 200.5 в составе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993EF5" w:rsidRPr="00D22194" w:rsidRDefault="00D22194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 xml:space="preserve">3.1. реализованный  </w:t>
      </w:r>
      <w:r w:rsidR="00993EF5" w:rsidRPr="00D22194">
        <w:rPr>
          <w:rFonts w:ascii="Courier New" w:hAnsi="Courier New" w:cs="Courier New"/>
          <w:b/>
          <w:sz w:val="12"/>
          <w:szCs w:val="12"/>
        </w:rPr>
        <w:t>-3</w:t>
      </w:r>
      <w:r w:rsidRPr="00D22194">
        <w:rPr>
          <w:rFonts w:ascii="Courier New" w:hAnsi="Courier New" w:cs="Courier New"/>
          <w:b/>
          <w:sz w:val="12"/>
          <w:szCs w:val="12"/>
        </w:rPr>
        <w:t xml:space="preserve"> </w:t>
      </w:r>
      <w:r w:rsidR="00993EF5" w:rsidRPr="00D22194">
        <w:rPr>
          <w:rFonts w:ascii="Courier New" w:hAnsi="Courier New" w:cs="Courier New"/>
          <w:b/>
          <w:sz w:val="12"/>
          <w:szCs w:val="12"/>
        </w:rPr>
        <w:t>599</w:t>
      </w:r>
      <w:r w:rsidRPr="00D22194">
        <w:rPr>
          <w:rFonts w:ascii="Courier New" w:hAnsi="Courier New" w:cs="Courier New"/>
          <w:b/>
          <w:sz w:val="12"/>
          <w:szCs w:val="12"/>
        </w:rPr>
        <w:t xml:space="preserve"> </w:t>
      </w:r>
      <w:r w:rsidR="00993EF5" w:rsidRPr="00D22194">
        <w:rPr>
          <w:rFonts w:ascii="Courier New" w:hAnsi="Courier New" w:cs="Courier New"/>
          <w:b/>
          <w:sz w:val="12"/>
          <w:szCs w:val="12"/>
        </w:rPr>
        <w:t>429 тыс. руб.;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3.2. нереализованный 2</w:t>
      </w:r>
      <w:r w:rsidR="00D22194" w:rsidRPr="00D22194">
        <w:rPr>
          <w:rFonts w:ascii="Courier New" w:hAnsi="Courier New" w:cs="Courier New"/>
          <w:b/>
          <w:sz w:val="12"/>
          <w:szCs w:val="12"/>
        </w:rPr>
        <w:t xml:space="preserve"> </w:t>
      </w:r>
      <w:r w:rsidRPr="00D22194">
        <w:rPr>
          <w:rFonts w:ascii="Courier New" w:hAnsi="Courier New" w:cs="Courier New"/>
          <w:b/>
          <w:sz w:val="12"/>
          <w:szCs w:val="12"/>
        </w:rPr>
        <w:t>637</w:t>
      </w:r>
      <w:r w:rsidR="00D22194" w:rsidRPr="00D22194">
        <w:rPr>
          <w:rFonts w:ascii="Courier New" w:hAnsi="Courier New" w:cs="Courier New"/>
          <w:b/>
          <w:sz w:val="12"/>
          <w:szCs w:val="12"/>
        </w:rPr>
        <w:t xml:space="preserve"> </w:t>
      </w:r>
      <w:r w:rsidRPr="00D22194">
        <w:rPr>
          <w:rFonts w:ascii="Courier New" w:hAnsi="Courier New" w:cs="Courier New"/>
          <w:b/>
          <w:sz w:val="12"/>
          <w:szCs w:val="12"/>
        </w:rPr>
        <w:t>763 тыс. руб.</w:t>
      </w: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Член Правления, Первый заместитель Председателя Правления                                         К.Ю. Лёвин</w:t>
      </w: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993EF5" w:rsidRPr="00D22194" w:rsidRDefault="00D22194" w:rsidP="00D22194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D22194">
        <w:rPr>
          <w:rFonts w:ascii="Courier New" w:hAnsi="Courier New" w:cs="Courier New"/>
          <w:b/>
          <w:sz w:val="12"/>
          <w:szCs w:val="12"/>
        </w:rPr>
        <w:t>главный бухгалтер                                                                                Е.А. Романькова</w:t>
      </w:r>
    </w:p>
    <w:p w:rsidR="00993EF5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22194" w:rsidRDefault="00D22194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93EF5" w:rsidRPr="00D22194" w:rsidRDefault="00993EF5" w:rsidP="00993EF5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993EF5" w:rsidRPr="00D22194" w:rsidSect="00D22194">
      <w:pgSz w:w="11906" w:h="16838"/>
      <w:pgMar w:top="1134" w:right="1332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3F"/>
    <w:rsid w:val="00993EF5"/>
    <w:rsid w:val="009D3BE5"/>
    <w:rsid w:val="00D22194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2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299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2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29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8815</Words>
  <Characters>50252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Кулешова Мария Владимировна</dc:creator>
  <cp:lastModifiedBy>Русакова Марина Павловна</cp:lastModifiedBy>
  <cp:revision>2</cp:revision>
  <dcterms:created xsi:type="dcterms:W3CDTF">2020-06-05T06:15:00Z</dcterms:created>
  <dcterms:modified xsi:type="dcterms:W3CDTF">2020-06-05T06:15:00Z</dcterms:modified>
</cp:coreProperties>
</file>