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896C1" w14:textId="00D4E18C" w:rsidR="00B61940" w:rsidRPr="00723134" w:rsidRDefault="00B61940" w:rsidP="00B61940">
      <w:pPr>
        <w:spacing w:after="200" w:line="240" w:lineRule="auto"/>
        <w:jc w:val="both"/>
        <w:rPr>
          <w:rFonts w:ascii="EB Garamond" w:eastAsia="EB Garamond" w:hAnsi="EB Garamond" w:cs="EB Garamond"/>
          <w:b/>
          <w:bCs/>
          <w:sz w:val="20"/>
          <w:szCs w:val="20"/>
        </w:rPr>
      </w:pPr>
      <w:r w:rsidRPr="00723134">
        <w:rPr>
          <w:rFonts w:ascii="EB Garamond" w:eastAsia="EB Garamond" w:hAnsi="EB Garamond" w:cs="EB Garamond"/>
          <w:b/>
          <w:bCs/>
          <w:sz w:val="20"/>
          <w:szCs w:val="20"/>
        </w:rPr>
        <w:t xml:space="preserve">Table </w:t>
      </w:r>
      <w:r w:rsidR="00353B91" w:rsidRPr="00723134">
        <w:rPr>
          <w:rFonts w:ascii="EB Garamond" w:eastAsia="EB Garamond" w:hAnsi="EB Garamond" w:cs="EB Garamond"/>
          <w:b/>
          <w:bCs/>
          <w:sz w:val="20"/>
          <w:szCs w:val="20"/>
        </w:rPr>
        <w:t>4</w:t>
      </w:r>
      <w:r w:rsidRPr="00723134">
        <w:rPr>
          <w:rFonts w:ascii="EB Garamond" w:eastAsia="EB Garamond" w:hAnsi="EB Garamond" w:cs="EB Garamond"/>
          <w:b/>
          <w:bCs/>
          <w:sz w:val="20"/>
          <w:szCs w:val="20"/>
        </w:rPr>
        <w:t>. Total number of clicks for each piece of news</w:t>
      </w:r>
    </w:p>
    <w:tbl>
      <w:tblPr>
        <w:tblW w:w="94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929"/>
        <w:gridCol w:w="1984"/>
        <w:gridCol w:w="1757"/>
        <w:gridCol w:w="2496"/>
      </w:tblGrid>
      <w:tr w:rsidR="00B61940" w:rsidRPr="000A652A" w14:paraId="77F2CFB2" w14:textId="77777777" w:rsidTr="000B7091">
        <w:trPr>
          <w:trHeight w:val="296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2C6D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</w:t>
            </w:r>
          </w:p>
        </w:tc>
        <w:tc>
          <w:tcPr>
            <w:tcW w:w="391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21EC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Headline 1</w:t>
            </w:r>
          </w:p>
        </w:tc>
        <w:tc>
          <w:tcPr>
            <w:tcW w:w="425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29C9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Headline 2</w:t>
            </w:r>
          </w:p>
        </w:tc>
      </w:tr>
      <w:tr w:rsidR="00B61940" w:rsidRPr="000A652A" w14:paraId="72686CE7" w14:textId="77777777" w:rsidTr="000B7091">
        <w:trPr>
          <w:trHeight w:val="326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6CB09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FD59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Honest, clicks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1A72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Clickbait, clicks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5C76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Honest, clicks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D48F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Clickbait, clicks</w:t>
            </w:r>
          </w:p>
        </w:tc>
      </w:tr>
      <w:tr w:rsidR="00B61940" w:rsidRPr="000A652A" w14:paraId="57899661" w14:textId="77777777" w:rsidTr="0008764B">
        <w:trPr>
          <w:trHeight w:val="2340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6DCF8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Politics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E419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261</w:t>
            </w:r>
          </w:p>
          <w:p w14:paraId="1CF649EF" w14:textId="77777777" w:rsidR="00B61940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France does not exclude the possibility of lifting the EU’s sanctions against Russia</w:t>
            </w:r>
          </w:p>
          <w:p w14:paraId="2F7F07CD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233B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289</w:t>
            </w:r>
          </w:p>
          <w:p w14:paraId="3E636D85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France spoke about lifting EU’s sanctions against Russia</w:t>
            </w:r>
          </w:p>
          <w:p w14:paraId="076D4E0D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</w:p>
          <w:p w14:paraId="07580E2F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Maxim of Manner</w:t>
            </w:r>
          </w:p>
          <w:p w14:paraId="5824E329" w14:textId="77777777" w:rsidR="00B61940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Factuality GCI</w:t>
            </w:r>
          </w:p>
          <w:p w14:paraId="1A2B7DAE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3143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49</w:t>
            </w:r>
          </w:p>
          <w:p w14:paraId="244BA1E5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proofErr w:type="spellStart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Matvienko</w:t>
            </w:r>
            <w:proofErr w:type="spellEnd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after all agreed to become the </w:t>
            </w:r>
            <w:proofErr w:type="spellStart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Governorof</w:t>
            </w:r>
            <w:proofErr w:type="spellEnd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Saint-Petersburg. Big interview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9DC5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56</w:t>
            </w:r>
          </w:p>
          <w:p w14:paraId="6E473E4B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proofErr w:type="spellStart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Matvienko</w:t>
            </w:r>
            <w:proofErr w:type="spellEnd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told about her refusal to Putin and recalled the best years of her life</w:t>
            </w:r>
          </w:p>
          <w:p w14:paraId="3E2DB822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</w:p>
          <w:p w14:paraId="7AFDD7F9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Maxims of Manner and Relevance</w:t>
            </w:r>
          </w:p>
          <w:p w14:paraId="775373AC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GCI based on lexical polysemy, actuality GCI </w:t>
            </w:r>
          </w:p>
        </w:tc>
      </w:tr>
      <w:tr w:rsidR="00B61940" w:rsidRPr="000A652A" w14:paraId="5212EB84" w14:textId="77777777" w:rsidTr="0008764B">
        <w:trPr>
          <w:trHeight w:val="1660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DBAE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Celebrities &amp; Beauty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9740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36</w:t>
            </w:r>
          </w:p>
          <w:p w14:paraId="77794172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Festival “</w:t>
            </w:r>
            <w:proofErr w:type="spellStart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Zhara</w:t>
            </w:r>
            <w:proofErr w:type="spellEnd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” invited both </w:t>
            </w:r>
            <w:proofErr w:type="spellStart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Pugachova</w:t>
            </w:r>
            <w:proofErr w:type="spellEnd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and </w:t>
            </w:r>
            <w:proofErr w:type="spellStart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Kirkorov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B265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128</w:t>
            </w:r>
          </w:p>
          <w:p w14:paraId="3E588975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proofErr w:type="spellStart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Pugacheva</w:t>
            </w:r>
            <w:proofErr w:type="spellEnd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and </w:t>
            </w:r>
            <w:proofErr w:type="spellStart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Kirkorov</w:t>
            </w:r>
            <w:proofErr w:type="spellEnd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reunited/ came together again after their divorce</w:t>
            </w:r>
          </w:p>
          <w:p w14:paraId="659E3342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</w:p>
          <w:p w14:paraId="01214F16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</w:p>
          <w:p w14:paraId="75E3A5E1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Maxim of Manner</w:t>
            </w:r>
          </w:p>
          <w:p w14:paraId="395F8CFF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GCI based on lexical polysemy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D301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118</w:t>
            </w:r>
          </w:p>
          <w:p w14:paraId="179B81F7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Brazilian model found a quick way/method to visually enlarge her breasts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5A7D6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80</w:t>
            </w:r>
          </w:p>
          <w:p w14:paraId="7694A50A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Model from Brazil discovered a new way/method of painless breast enlargement (implicature - the method would work for everybody)</w:t>
            </w:r>
          </w:p>
          <w:p w14:paraId="3F8C6AD7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Maxim of Quantity</w:t>
            </w:r>
          </w:p>
          <w:p w14:paraId="08EB9DD7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Universality GCI, </w:t>
            </w:r>
            <w:proofErr w:type="spellStart"/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referentility</w:t>
            </w:r>
            <w:proofErr w:type="spellEnd"/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 GCI </w:t>
            </w:r>
          </w:p>
        </w:tc>
      </w:tr>
      <w:tr w:rsidR="00B61940" w:rsidRPr="000A652A" w14:paraId="3BE51822" w14:textId="77777777" w:rsidTr="0008764B">
        <w:trPr>
          <w:trHeight w:val="1560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1F973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Society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8A18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289</w:t>
            </w:r>
          </w:p>
          <w:p w14:paraId="435D81FA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Burying people in coffins banned in China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23B1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235</w:t>
            </w:r>
          </w:p>
          <w:p w14:paraId="1E762F45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Burying the dead banned in China</w:t>
            </w:r>
          </w:p>
          <w:p w14:paraId="3700282F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Maxim of Manner</w:t>
            </w:r>
          </w:p>
          <w:p w14:paraId="1C125CCE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GCI based on lexical polysemy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F1A7D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102</w:t>
            </w:r>
          </w:p>
          <w:p w14:paraId="3227E41C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Immigrants will tell the Muscovites how to use public transportation for free and where to rent the cheapest flats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D093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427</w:t>
            </w:r>
          </w:p>
          <w:p w14:paraId="665C7F67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Russians will be taught how to use public transportation for free</w:t>
            </w:r>
          </w:p>
          <w:p w14:paraId="059070C2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Maxim of Quantity</w:t>
            </w:r>
          </w:p>
          <w:p w14:paraId="114269E4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Universality GCI </w:t>
            </w:r>
          </w:p>
        </w:tc>
      </w:tr>
      <w:tr w:rsidR="00B61940" w:rsidRPr="000A652A" w14:paraId="6911C871" w14:textId="77777777" w:rsidTr="0008764B">
        <w:trPr>
          <w:trHeight w:val="1700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B50E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Incidents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B8B9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211</w:t>
            </w:r>
          </w:p>
          <w:p w14:paraId="6264547E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American Airlines plane could not take off because of exceeded weight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A43F5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191</w:t>
            </w:r>
          </w:p>
          <w:p w14:paraId="2ADDF435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American Airlines Pilot kicked out 3 women because of excess weight</w:t>
            </w:r>
          </w:p>
          <w:p w14:paraId="1FEE65CE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</w:p>
          <w:p w14:paraId="17C44D6E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Maxim of Quantity</w:t>
            </w:r>
          </w:p>
          <w:p w14:paraId="60DB3446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 xml:space="preserve">Referentiality GCI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14DED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95</w:t>
            </w:r>
          </w:p>
          <w:p w14:paraId="19C7578A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The house of a retired woman from Khabarovsk burned down when she left to buy food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605D4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191</w:t>
            </w:r>
          </w:p>
          <w:p w14:paraId="3DCA4E70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A starving retired woman from Khabarovsk gained food but lost home</w:t>
            </w:r>
          </w:p>
          <w:p w14:paraId="152FEFEA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Maxim of Manner</w:t>
            </w:r>
          </w:p>
          <w:p w14:paraId="6B139396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Cause-effect GCI</w:t>
            </w:r>
          </w:p>
        </w:tc>
      </w:tr>
      <w:tr w:rsidR="00B61940" w:rsidRPr="000A652A" w14:paraId="11F03356" w14:textId="77777777" w:rsidTr="0008764B">
        <w:trPr>
          <w:trHeight w:val="2340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8711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Sports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18638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96</w:t>
            </w:r>
          </w:p>
          <w:p w14:paraId="3EA6F387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I cannot imagine playing for another country. Interview with </w:t>
            </w:r>
            <w:proofErr w:type="spellStart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Artyom</w:t>
            </w:r>
            <w:proofErr w:type="spellEnd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</w:t>
            </w:r>
            <w:proofErr w:type="spellStart"/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Dzjuba</w:t>
            </w:r>
            <w:proofErr w:type="spellEnd"/>
          </w:p>
          <w:p w14:paraId="25D94C13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83A10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193</w:t>
            </w:r>
          </w:p>
          <w:p w14:paraId="19E84464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Soccer player Dzyuba commented on his renunciation of Russian citizenship in favor of American (citizenship)</w:t>
            </w:r>
          </w:p>
          <w:p w14:paraId="7E947C3A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Maxim of Manner</w:t>
            </w:r>
          </w:p>
          <w:p w14:paraId="216EBD5A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Factuality GCI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D7F9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197</w:t>
            </w:r>
          </w:p>
          <w:p w14:paraId="5B0440B9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Cristiano Ronaldo published his best wishes in Russian for his fans on Instagram</w:t>
            </w:r>
          </w:p>
          <w:p w14:paraId="4D33EE2B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 xml:space="preserve"> 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D637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118</w:t>
            </w:r>
          </w:p>
          <w:p w14:paraId="57DAD9B7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sz w:val="20"/>
                <w:szCs w:val="20"/>
              </w:rPr>
              <w:t>Cristiano Ronaldo started speaking Russian after FIFA WC -2018</w:t>
            </w:r>
          </w:p>
          <w:p w14:paraId="01DF243D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</w:p>
          <w:p w14:paraId="687DFB12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b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Maxim of Quantity</w:t>
            </w:r>
          </w:p>
          <w:p w14:paraId="4415C33F" w14:textId="77777777" w:rsidR="00B61940" w:rsidRPr="000A652A" w:rsidRDefault="00B61940" w:rsidP="0008764B">
            <w:pPr>
              <w:spacing w:line="240" w:lineRule="auto"/>
              <w:rPr>
                <w:rFonts w:ascii="EB Garamond" w:eastAsia="EB Garamond" w:hAnsi="EB Garamond" w:cs="EB Garamond"/>
                <w:sz w:val="20"/>
                <w:szCs w:val="20"/>
              </w:rPr>
            </w:pPr>
            <w:r w:rsidRPr="000A652A">
              <w:rPr>
                <w:rFonts w:ascii="EB Garamond" w:eastAsia="EB Garamond" w:hAnsi="EB Garamond" w:cs="EB Garamond"/>
                <w:b/>
                <w:sz w:val="20"/>
                <w:szCs w:val="20"/>
              </w:rPr>
              <w:t>Quality GCI</w:t>
            </w:r>
          </w:p>
        </w:tc>
      </w:tr>
      <w:tr w:rsidR="00B61940" w:rsidRPr="000A652A" w14:paraId="3AAE8E38" w14:textId="77777777" w:rsidTr="0008764B">
        <w:trPr>
          <w:trHeight w:val="332"/>
        </w:trPr>
        <w:tc>
          <w:tcPr>
            <w:tcW w:w="9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E2FDA" w14:textId="77777777" w:rsidR="00B61940" w:rsidRPr="009F17AC" w:rsidRDefault="00B61940" w:rsidP="0008764B">
            <w:pPr>
              <w:spacing w:line="240" w:lineRule="auto"/>
              <w:jc w:val="center"/>
              <w:rPr>
                <w:rFonts w:ascii="EB Garamond" w:eastAsia="EB Garamond" w:hAnsi="EB Garamond" w:cs="EB Garamond"/>
                <w:b/>
                <w:bCs/>
                <w:sz w:val="20"/>
                <w:szCs w:val="20"/>
                <w:lang w:val="en-US"/>
              </w:rPr>
            </w:pPr>
            <w:r w:rsidRPr="009F17AC">
              <w:rPr>
                <w:rFonts w:ascii="EB Garamond" w:eastAsia="EB Garamond" w:hAnsi="EB Garamond" w:cs="EB Garamond"/>
                <w:b/>
                <w:bCs/>
                <w:sz w:val="20"/>
                <w:szCs w:val="20"/>
              </w:rPr>
              <w:t xml:space="preserve">Total </w:t>
            </w:r>
            <w:r>
              <w:rPr>
                <w:rFonts w:ascii="EB Garamond" w:eastAsia="EB Garamond" w:hAnsi="EB Garamond" w:cs="EB Garamond"/>
                <w:b/>
                <w:bCs/>
                <w:sz w:val="20"/>
                <w:szCs w:val="20"/>
              </w:rPr>
              <w:t xml:space="preserve">clicks </w:t>
            </w:r>
            <w:r w:rsidRPr="009F17AC">
              <w:rPr>
                <w:rFonts w:ascii="EB Garamond" w:eastAsia="EB Garamond" w:hAnsi="EB Garamond" w:cs="EB Garamond"/>
                <w:b/>
                <w:bCs/>
                <w:sz w:val="20"/>
                <w:szCs w:val="20"/>
              </w:rPr>
              <w:t>for honest headlines</w:t>
            </w:r>
            <w:r w:rsidRPr="009F17AC">
              <w:rPr>
                <w:rFonts w:ascii="EB Garamond" w:eastAsia="EB Garamond" w:hAnsi="EB Garamond" w:cs="EB Garamond"/>
                <w:b/>
                <w:bCs/>
                <w:sz w:val="20"/>
                <w:szCs w:val="20"/>
                <w:lang w:val="en-US"/>
              </w:rPr>
              <w:t>: 1454                     Total</w:t>
            </w:r>
            <w:r>
              <w:rPr>
                <w:rFonts w:ascii="EB Garamond" w:eastAsia="EB Garamond" w:hAnsi="EB Garamond" w:cs="EB Garamond"/>
                <w:b/>
                <w:bCs/>
                <w:sz w:val="20"/>
                <w:szCs w:val="20"/>
                <w:lang w:val="en-US"/>
              </w:rPr>
              <w:t xml:space="preserve"> clicks</w:t>
            </w:r>
            <w:r w:rsidRPr="009F17AC">
              <w:rPr>
                <w:rFonts w:ascii="EB Garamond" w:eastAsia="EB Garamond" w:hAnsi="EB Garamond" w:cs="EB Garamond"/>
                <w:b/>
                <w:bCs/>
                <w:sz w:val="20"/>
                <w:szCs w:val="20"/>
                <w:lang w:val="en-US"/>
              </w:rPr>
              <w:t xml:space="preserve"> for clickbait headlines: 1908</w:t>
            </w:r>
          </w:p>
        </w:tc>
      </w:tr>
    </w:tbl>
    <w:p w14:paraId="5021584B" w14:textId="77777777" w:rsidR="00F33E87" w:rsidRDefault="00F33E87" w:rsidP="000B7091">
      <w:bookmarkStart w:id="0" w:name="_GoBack"/>
      <w:bookmarkEnd w:id="0"/>
    </w:p>
    <w:sectPr w:rsidR="00F33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EB Garamond">
    <w:altName w:val="Cambria Math"/>
    <w:charset w:val="00"/>
    <w:family w:val="auto"/>
    <w:pitch w:val="variable"/>
    <w:sig w:usb0="00000001" w:usb1="020004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940"/>
    <w:rsid w:val="000B7091"/>
    <w:rsid w:val="00353B91"/>
    <w:rsid w:val="00723134"/>
    <w:rsid w:val="00B61940"/>
    <w:rsid w:val="00C367EE"/>
    <w:rsid w:val="00E861E4"/>
    <w:rsid w:val="00F3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500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940"/>
    <w:pPr>
      <w:spacing w:after="0" w:line="276" w:lineRule="auto"/>
    </w:pPr>
    <w:rPr>
      <w:rFonts w:ascii="Arial" w:eastAsia="Arial" w:hAnsi="Arial" w:cs="Arial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940"/>
    <w:pPr>
      <w:spacing w:after="0" w:line="276" w:lineRule="auto"/>
    </w:pPr>
    <w:rPr>
      <w:rFonts w:ascii="Arial" w:eastAsia="Arial" w:hAnsi="Arial" w:cs="Arial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Орлов</dc:creator>
  <cp:lastModifiedBy>Пользователь</cp:lastModifiedBy>
  <cp:revision>2</cp:revision>
  <dcterms:created xsi:type="dcterms:W3CDTF">2021-09-05T22:34:00Z</dcterms:created>
  <dcterms:modified xsi:type="dcterms:W3CDTF">2021-09-05T22:34:00Z</dcterms:modified>
</cp:coreProperties>
</file>