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p>
      <w:pPr>
        <w:numPr>
          <w:numId w:val="2"/>
          <w:ilvl w:val="0"/>
        </w:numPr>
      </w:pPr>
      <w:r>
        <w:t xml:space="preserve">Klärung einer gemeinsamen Nomenklatur für Inhalte, beispielsweise für Arten von Drucksachen</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"oparl-specs"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 Andreas Kuckartz, Babett Schalitz</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Gebietskörperschaften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gebietskörperschaft" w:name="gebietskörperschaft"/>
    <w:p>
      <w:pPr>
        <w:pStyle w:val="Heading2"/>
      </w:pPr>
      <w:r>
        <w:t xml:space="preserve">Gebietskörperschaft</w:t>
      </w:r>
    </w:p>
    <w:bookmarkEnd w:id="gebietskörperschaft"/>
    <w:p>
      <w:r>
        <w:t xml:space="preserve">Die Gebietskörperschaft erlaubt es, Körperschaften wie einen bestimmten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Gebietskörperschaften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gebiets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Gebietskörperschaft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6"/>
          <w:ilvl w:val="0"/>
        </w:numPr>
      </w:pPr>
      <w:r>
        <w:t xml:space="preserve">Kompakte, einfache und einheitliche Schreibweise für jede Körperschaft.</w:t>
      </w:r>
    </w:p>
    <w:p>
      <w:pPr>
        <w:numPr>
          <w:numId w:val="6"/>
          <w:ilvl w:val="0"/>
        </w:numPr>
      </w:pPr>
      <w:r>
        <w:t xml:space="preserve">Der AGS wird von Behörden genutzt, ist anerkannt und auch in anderen Medien, z.B. der Wikipedia, verbreitet.</w:t>
      </w:r>
    </w:p>
    <w:p>
      <w:r>
        <w:t xml:space="preserve">Nachteil des AGS:</w:t>
      </w:r>
    </w:p>
    <w:p>
      <w:pPr>
        <w:numPr>
          <w:numId w:val="7"/>
          <w:ilvl w:val="0"/>
        </w:numPr>
      </w:pPr>
      <w:r>
        <w:t xml:space="preserve">Führende Nullen machen den Schlüssel fehleranfällig. Bestimmte Systeme wie z.B. Excel könnten den Inhalt als Zahlenwert erkennen und die führenden Nullen automatisch verwerfen.</w:t>
      </w:r>
    </w:p>
    <w:p>
      <w:pPr>
        <w:numPr>
          <w:numId w:val="7"/>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Gebietskörperschaft, z.B. "Köln" oder "Stadt Köln".</w:t>
      </w:r>
    </w:p>
    <w:bookmarkStart w:id="beziehungen" w:name="beziehungen"/>
    <w:p>
      <w:pPr>
        <w:pStyle w:val="Heading3"/>
      </w:pPr>
      <w:r>
        <w:t xml:space="preserve">Beziehungen</w:t>
      </w:r>
    </w:p>
    <w:bookmarkEnd w:id="beziehungen"/>
    <w:p>
      <w:pPr>
        <w:numPr>
          <w:numId w:val="8"/>
          <w:ilvl w:val="0"/>
        </w:numPr>
      </w:pPr>
      <w:r>
        <w:t xml:space="preserve">Objekte vom Typ "Organisation" sind zwingend genau einer Gebietskörperschaft zugeordnet. So wird beispielseise eine SPD in Köln von einer SPD in Leverkusen unterschieden.</w:t>
      </w:r>
    </w:p>
    <w:p>
      <w:pPr>
        <w:numPr>
          <w:numId w:val="8"/>
          <w:ilvl w:val="0"/>
        </w:numPr>
      </w:pPr>
      <w:r>
        <w:t xml:space="preserve">Objekte vom Typ "Gremium" sind zwingend genau einer Gebietskörperschaft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w:t>
      </w:r>
    </w:p>
    <w:p>
      <w:r>
        <w:t xml:space="preserve">Gebietskörperschaft. In der Praxis kommen sowohl numerische IDs als auch Namenskürzel (Beispiel: "STA" für den Stadtentwicklungsausschuss) vor. Beides sollte hier Verwendung finden können. Name : Der Name des Gremiums. Beispiele: "Rat", "Hauptausschuss", "Bezirksvertretung 1 (Innenstadt)" Kurzname :</w:t>
      </w:r>
      <w:r>
        <w:t xml:space="preserve"> </w:t>
      </w:r>
      <w:r>
        <w:rPr>
          <w:i/>
        </w:rPr>
        <w:t xml:space="preserve">Optional</w:t>
      </w:r>
      <w:r>
        <w:t xml:space="preserve">. Eine zur Anzeige bestimmte, kürzere Form des Namens.</w:t>
      </w:r>
    </w:p>
    <w:bookmarkStart w:id="beziehungen-1" w:name="beziehungen-1"/>
    <w:p>
      <w:pPr>
        <w:pStyle w:val="Heading3"/>
      </w:pPr>
      <w:r>
        <w:t xml:space="preserve">Beziehungen</w:t>
      </w:r>
    </w:p>
    <w:bookmarkEnd w:id="beziehungen-1"/>
    <w:p>
      <w:pPr>
        <w:numPr>
          <w:numId w:val="9"/>
          <w:ilvl w:val="0"/>
        </w:numPr>
      </w:pPr>
      <w:r>
        <w:t xml:space="preserve">Objekte vom Typ "Person" referenzieren auf Gremien, um die Mitgliedschaft/Zugehörigkeit einer Person im/zum Gremium zu kennzeichnen. Diese Beziehung ist datiert. Das bedeutet, sie hat einen Anfangszeitpunkt und ggf. einen Endzeitpunkt.</w:t>
      </w:r>
    </w:p>
    <w:p>
      <w:pPr>
        <w:numPr>
          <w:numId w:val="9"/>
          <w:ilvl w:val="0"/>
        </w:numPr>
      </w:pPr>
      <w:r>
        <w:t xml:space="preserve">Objekte vom Typ "Drucksache" verweisen auf Gremien. Beispielsweise wird eine Anfrage oder ein Antrag dem Rat und/oder einer bestimmten Bezirksvertretung zugeordnet. Details zu dieser Beziehung werden unter "Drucksache" erläutert.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w:t>
      </w:r>
    </w:p>
    <w:p>
      <w:r>
        <w:t xml:space="preserve">die keinen Änderungen unterworfen ist und aus diesem Grund nicht mit dem Namen in Verbindung stehen sollte. Viele RIS nutzen rein numerische Kennungen. Vorname : Der Vorname der Person. Nachname : Der Nachname der Person. Titel :</w:t>
      </w:r>
      <w:r>
        <w:t xml:space="preserve"> </w:t>
      </w:r>
      <w:r>
        <w:rPr>
          <w:i/>
        </w:rPr>
        <w:t xml:space="preserve">Optional</w:t>
      </w:r>
      <w:r>
        <w:t xml:space="preserve">. Akademische Titel wie "Dr." und "Prof. Dr." Geschlecht :</w:t>
      </w:r>
      <w:r>
        <w:t xml:space="preserve"> </w:t>
      </w:r>
      <w:r>
        <w:rPr>
          <w:i/>
        </w:rPr>
        <w:t xml:space="preserve">Optional</w:t>
      </w:r>
      <w:r>
        <w:t xml:space="preserve">. Männlich/Weblich Beruf :</w:t>
      </w:r>
      <w:r>
        <w:t xml:space="preserve"> </w:t>
      </w:r>
      <w:r>
        <w:rPr>
          <w:i/>
        </w:rPr>
        <w:t xml:space="preserve">Optional</w:t>
      </w:r>
      <w:r>
        <w:t xml:space="preserve">. Z.B. "Rechtsanwalt" Partei :</w:t>
      </w:r>
      <w:r>
        <w:t xml:space="preserve"> </w:t>
      </w:r>
      <w:r>
        <w:rPr>
          <w:i/>
        </w:rPr>
        <w:t xml:space="preserve">Optional</w:t>
      </w:r>
      <w:r>
        <w:t xml:space="preserve">. Z.B. "Bündnis 90/Grüne" E-Mail-Adresse :</w:t>
      </w:r>
      <w:r>
        <w:t xml:space="preserve"> </w:t>
      </w:r>
      <w:r>
        <w:rPr>
          <w:i/>
        </w:rPr>
        <w:t xml:space="preserve">Optional</w:t>
      </w:r>
      <w:r>
        <w:t xml:space="preserve">. Telefon :</w:t>
      </w:r>
      <w:r>
        <w:t xml:space="preserve"> </w:t>
      </w:r>
      <w:r>
        <w:rPr>
          <w:i/>
        </w:rPr>
        <w:t xml:space="preserve">Optional</w:t>
      </w:r>
      <w:r>
        <w:t xml:space="preserve">. Fax :</w:t>
      </w:r>
      <w:r>
        <w:t xml:space="preserve"> </w:t>
      </w:r>
      <w:r>
        <w:rPr>
          <w:i/>
        </w:rPr>
        <w:t xml:space="preserve">Optional</w:t>
      </w:r>
      <w:r>
        <w:t xml:space="preserve">. Anschrift :</w:t>
      </w:r>
      <w:r>
        <w:t xml:space="preserve"> </w:t>
      </w:r>
      <w:r>
        <w:rPr>
          <w:i/>
        </w:rPr>
        <w:t xml:space="preserve">Optional</w:t>
      </w:r>
      <w:r>
        <w:t xml:space="preserve">. Straße und Hausnummer, Postleitzahl und Ort</w:t>
      </w:r>
    </w:p>
    <w:bookmarkStart w:id="anmerkungen" w:name="anmerkungen"/>
    <w:p>
      <w:pPr>
        <w:pStyle w:val="Heading4"/>
      </w:pPr>
      <w:r>
        <w:t xml:space="preserve">Anmerkungen</w:t>
      </w:r>
    </w:p>
    <w:bookmarkEnd w:id="anmerkungen"/>
    <w:p>
      <w:pPr>
        <w:numPr>
          <w:numId w:val="10"/>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0"/>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11"/>
          <w:ilvl w:val="0"/>
        </w:numPr>
      </w:pPr>
      <w:r>
        <w:t xml:space="preserve">Objekte vom Typ "Person" können einer Organisation, z.B. einer Fraktion, zugeornet werden. Diese Beziehung ist datiert.</w:t>
      </w:r>
    </w:p>
    <w:p>
      <w:pPr>
        <w:numPr>
          <w:numId w:val="11"/>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w:t>
      </w:r>
    </w:p>
    <w:p>
      <w:r>
        <w:t xml:space="preserve">Gebietskörperschaft Name : Der gebräuchliche Name der Organisation, z.B. "SPD" oder "DIE LINKE".</w:t>
      </w:r>
    </w:p>
    <w:bookmarkStart w:id="anmerkungen-1" w:name="anmerkungen-1"/>
    <w:p>
      <w:pPr>
        <w:pStyle w:val="Heading4"/>
      </w:pPr>
      <w:r>
        <w:t xml:space="preserve">Anmerkungen</w:t>
      </w:r>
    </w:p>
    <w:bookmarkEnd w:id="anmerkungen-1"/>
    <w:p>
      <w:pPr>
        <w:numPr>
          <w:numId w:val="12"/>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3"/>
          <w:ilvl w:val="0"/>
        </w:numPr>
      </w:pPr>
      <w:r>
        <w:t xml:space="preserve">Jede Organisationen gehört zu einer Gebietskörperschaft.</w:t>
      </w:r>
    </w:p>
    <w:p>
      <w:pPr>
        <w:numPr>
          <w:numId w:val="13"/>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oder mehrerer Gremien zu einem bestimmten Zeitpunkt an einem bestimmten Ort.</w:t>
      </w:r>
    </w:p>
    <w:p>
      <w:r>
        <w:t xml:space="preserve">Die geladenen Teilnehmer der Sitzung sind jeweils als „Person“ in entsprechender Form referenziert. Verschiedene Dokumente (Einladung, Ergebnis- und Wortprotokoll, sonstige Anlagen) können referenziert werden.</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w:t>
      </w:r>
    </w:p>
    <w:p>
      <w:r>
        <w:t xml:space="preserve">Gebietskörperschaft. In der Praxis wird eine solche Kennzeichnung entweder durch eine laufende Nummer gebildet, oder durch Kombination mehrerer Merkmale wie dem Kürzel des Gremiums, der laufenden Nummer der Sitzung in einem Jahr und der Jahreszahl (z.B. "BV1/0034/2012"). Nummer :</w:t>
      </w:r>
      <w:r>
        <w:t xml:space="preserve"> </w:t>
      </w:r>
      <w:r>
        <w:rPr>
          <w:i/>
        </w:rPr>
        <w:t xml:space="preserve">Optional</w:t>
      </w:r>
      <w:r>
        <w:t xml:space="preserve">. Laufende Nummer der Sitzung, üblicherweise innerhalb der Wahlperiode mit 1 beginnend. In der Praxis wird dadurch z.B. die "2. Sitzung des Rats" gekennzeichnet. Anfang : Datum und ggf. Uhrzeit des Anfangszeitpunkts der Sitzung Ende :</w:t>
      </w:r>
      <w:r>
        <w:t xml:space="preserve"> </w:t>
      </w:r>
      <w:r>
        <w:rPr>
          <w:i/>
        </w:rPr>
        <w:t xml:space="preserve">Optional</w:t>
      </w:r>
      <w:r>
        <w:t xml:space="preserve">. Datum und Uhrzeit vom Ende der Sitzung Ort :</w:t>
      </w:r>
      <w:r>
        <w:t xml:space="preserve"> </w:t>
      </w:r>
      <w:r>
        <w:rPr>
          <w:i/>
        </w:rPr>
        <w:t xml:space="preserve">Optional</w:t>
      </w:r>
      <w:r>
        <w:t xml:space="preserve">. Textliche Information zum Ort der Sitzung, z.B. "Rathaus, Raum 136".</w:t>
      </w:r>
    </w:p>
    <w:bookmarkStart w:id="beziehungen-4" w:name="beziehungen-4"/>
    <w:p>
      <w:pPr>
        <w:pStyle w:val="Heading3"/>
      </w:pPr>
      <w:r>
        <w:t xml:space="preserve">Beziehungen</w:t>
      </w:r>
    </w:p>
    <w:bookmarkEnd w:id="beziehungen-4"/>
    <w:p>
      <w:pPr>
        <w:numPr>
          <w:numId w:val="14"/>
          <w:ilvl w:val="0"/>
        </w:numPr>
      </w:pPr>
      <w:r>
        <w:t xml:space="preserve">Sitzungen sind mindestens einem Gremium zugeordnet</w:t>
      </w:r>
    </w:p>
    <w:p>
      <w:pPr>
        <w:numPr>
          <w:numId w:val="14"/>
          <w:ilvl w:val="0"/>
        </w:numPr>
      </w:pPr>
      <w:r>
        <w:t xml:space="preserve">Einer Sitzung sind Personen zugeordnet, um die Teilnahme an der Sitzung auszudrücken.</w:t>
      </w:r>
    </w:p>
    <w:p>
      <w:pPr>
        <w:numPr>
          <w:numId w:val="14"/>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5"/>
          <w:ilvl w:val="1"/>
        </w:numPr>
      </w:pPr>
      <w:r>
        <w:t xml:space="preserve">Zum Verweis auf die Einladung zur Sitzung</w:t>
      </w:r>
    </w:p>
    <w:p>
      <w:pPr>
        <w:numPr>
          <w:numId w:val="15"/>
          <w:ilvl w:val="1"/>
        </w:numPr>
      </w:pPr>
      <w:r>
        <w:t xml:space="preserve">Zum Verweis auf das Ergebnisprotokoll zur Sitzung</w:t>
      </w:r>
    </w:p>
    <w:p>
      <w:pPr>
        <w:numPr>
          <w:numId w:val="15"/>
          <w:ilvl w:val="1"/>
        </w:numPr>
      </w:pPr>
      <w:r>
        <w:t xml:space="preserve">Zum Verweis auf das Wortprotokoll zur Sitzung</w:t>
      </w:r>
    </w:p>
    <w:p>
      <w:pPr>
        <w:numPr>
          <w:numId w:val="15"/>
          <w:ilvl w:val="0"/>
        </w:numPr>
      </w:pPr>
      <w:r>
        <w:t xml:space="preserve">Weiterhin können Sitzungen beliebige weitere Dokumente, die keine eigenständigen Drucksachen sind, referenzieren. Dabei handelt es sich dann um nicht weiter spezifizierte Anlagen.</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Unter Umständen kann dem Tagesordnungspunkt ein bestimmter Beschlusstext beigefügt sein. Sofern das Abstimmungsergebnis nicht einstimmig ist, kann es durch mehrere referenzierende "Stimmabgaben" festgehalten werden.</w:t>
      </w:r>
    </w:p>
    <w:p>
      <w:r>
        <w:t xml:space="preserve">Überlicherweise haben Sitzungen mehrere Tagesordnungspunkte.</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w:t>
      </w:r>
    </w:p>
    <w:p>
      <w:r>
        <w:t xml:space="preserve">Tagesordnungspunkte einer Sitzung normalerweise behandelt werden. Im Kontext einer Sitzung ist diese Nummer eindeutig. Öffentlich : ja/nein. Kennzeichnet, ob der Tagesordnungspunkt in öffentlicher Sitzung behandelt wird. Titel : Das Thema des Tagesordnungspunktes Ergebnis : Eines aus einer Liste definierter Ergebnisse. Möglich sind: "Unverändert beschlossen", "Geändert beschlossen", "Endgültig abgelehnt", "Zur Kenntnis genommen", "Ohne Votum in nachfolgende Gremien überwiesen" Beschlusstext :</w:t>
      </w:r>
      <w:r>
        <w:t xml:space="preserve"> </w:t>
      </w:r>
      <w:r>
        <w:rPr>
          <w:i/>
        </w:rPr>
        <w:t xml:space="preserve">Optional</w:t>
      </w:r>
      <w:r>
        <w:t xml:space="preserve">. Falls in diesem Tagesordnungspunkt ein Beschluss gefasst wurde, kann der Text hier hinterlegt werden. Das ist besonders dann in der Praxis relevant, wenn der gefasste Beschluss (z.B. durch Änderungsantrag) von der Beschlussvorlage abweicht.</w:t>
      </w:r>
    </w:p>
    <w:bookmarkStart w:id="anmerkungen-2" w:name="anmerkungen-2"/>
    <w:p>
      <w:pPr>
        <w:pStyle w:val="Heading4"/>
      </w:pPr>
      <w:r>
        <w:t xml:space="preserve">Anmerkungen</w:t>
      </w:r>
    </w:p>
    <w:bookmarkEnd w:id="anmerkungen-2"/>
    <w:p>
      <w:pPr>
        <w:numPr>
          <w:numId w:val="16"/>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7"/>
          <w:ilvl w:val="0"/>
        </w:numPr>
      </w:pPr>
      <w:r>
        <w:t xml:space="preserve">Jeder Tagesordnungspunkt gehört zu genau einer Sitzung.</w:t>
      </w:r>
    </w:p>
    <w:p>
      <w:pPr>
        <w:numPr>
          <w:numId w:val="17"/>
          <w:ilvl w:val="0"/>
        </w:numPr>
      </w:pPr>
      <w:r>
        <w:t xml:space="preserve">Der Tagesordnungspunkt kann auf eine Drucksache verweisen, die im Rahmen dieses Tagesordnungspunkt beraten werden soll.</w:t>
      </w:r>
    </w:p>
    <w:p>
      <w:pPr>
        <w:numPr>
          <w:numId w:val="17"/>
          <w:ilvl w:val="0"/>
        </w:numPr>
      </w:pPr>
      <w:r>
        <w:t xml:space="preserve">Es können mehrere Objekte vom Typ "Stimmabgabe" referenziert werden, um das Abstimmungsverhalten von Fraktionen oder Einzelpersonen zu dokumentieren.</w:t>
      </w:r>
    </w:p>
    <w:p>
      <w:pPr>
        <w:numPr>
          <w:numId w:val="17"/>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w:t>
      </w:r>
    </w:p>
    <w:p>
      <w:r>
        <w:t xml:space="preserve">jedoch zu einer Organisation (=Fraktion), kann der Wert hier größer als 1 sein. Votum : Einer der drei Werte "ja" (gleichbedeutend mit "dafür"), "nein" ("dagegen") oder "Enthaltung".</w:t>
      </w:r>
    </w:p>
    <w:bookmarkStart w:id="beziehungen-6" w:name="beziehungen-6"/>
    <w:p>
      <w:pPr>
        <w:pStyle w:val="Heading3"/>
      </w:pPr>
      <w:r>
        <w:t xml:space="preserve">Beziehungen</w:t>
      </w:r>
    </w:p>
    <w:bookmarkEnd w:id="beziehungen-6"/>
    <w:p>
      <w:pPr>
        <w:numPr>
          <w:numId w:val="18"/>
          <w:ilvl w:val="0"/>
        </w:numPr>
      </w:pPr>
      <w:r>
        <w:t xml:space="preserve">Jede Stimmabgabe gehört zu genau einem Tagesordnungspunkt.</w:t>
      </w:r>
    </w:p>
    <w:p>
      <w:pPr>
        <w:numPr>
          <w:numId w:val="18"/>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9"/>
          <w:ilvl w:val="0"/>
        </w:numPr>
      </w:pPr>
      <w:r>
        <w:rPr>
          <w:b/>
        </w:rPr>
        <w:t xml:space="preserve">Beschlussvorlage</w:t>
      </w:r>
      <w:r>
        <w:t xml:space="preserve">: Entscheidungsvorschlag der Verwaltung</w:t>
      </w:r>
    </w:p>
    <w:p>
      <w:pPr>
        <w:numPr>
          <w:numId w:val="19"/>
          <w:ilvl w:val="0"/>
        </w:numPr>
      </w:pPr>
      <w:r>
        <w:rPr>
          <w:b/>
        </w:rPr>
        <w:t xml:space="preserve">Antrag</w:t>
      </w:r>
      <w:r>
        <w:t xml:space="preserve">: Entscheidungsvorschlag einer Fraktionen bzw. mehrerer Fraktionen oder einer/mehrerer Einzelperson/en</w:t>
      </w:r>
    </w:p>
    <w:p>
      <w:pPr>
        <w:numPr>
          <w:numId w:val="19"/>
          <w:ilvl w:val="0"/>
        </w:numPr>
      </w:pPr>
      <w:r>
        <w:rPr>
          <w:b/>
        </w:rPr>
        <w:t xml:space="preserve">Anfrage</w:t>
      </w:r>
      <w:r>
        <w:t xml:space="preserve">: Frage(n) einer oder mehrerer Fraktion oder Einzelpersonen an die Verwaltung</w:t>
      </w:r>
    </w:p>
    <w:p>
      <w:pPr>
        <w:numPr>
          <w:numId w:val="19"/>
          <w:ilvl w:val="0"/>
        </w:numPr>
      </w:pPr>
      <w:r>
        <w:rPr>
          <w:b/>
        </w:rPr>
        <w:t xml:space="preserve">Mitteilung/Stellungnahme der Verwaltung</w:t>
      </w:r>
      <w:r>
        <w:t xml:space="preserve">: Eine Information der Verwaltung an einzelne oder mehrere Gremien. Darunter fallen nicht Beantwortungen von Anfragen.</w:t>
      </w:r>
    </w:p>
    <w:p>
      <w:pPr>
        <w:numPr>
          <w:numId w:val="19"/>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Gebietskörperschaft</w:t>
      </w:r>
    </w:p>
    <w:p>
      <w:r>
        <w:t xml:space="preserve">eindeutig sein. Sie kann sowohl Ziffern als auch Buchstaben enthalten. Einige Systeme (z.B. Köln) verwenden besondere Trennzeichen wie "/", um eine Jahreszahl von einer laufenden Nummer abzutrennen. Weiterhin werden mancherorts führende Nullen verwendet. Datum : Datum der Veröffentlichung Typ : Art der Drucksache (Erläuterung siehe oben)</w:t>
      </w:r>
    </w:p>
    <w:bookmarkStart w:id="beziehungen-7" w:name="beziehungen-7"/>
    <w:p>
      <w:pPr>
        <w:pStyle w:val="Heading3"/>
      </w:pPr>
      <w:r>
        <w:t xml:space="preserve">Beziehungen</w:t>
      </w:r>
    </w:p>
    <w:bookmarkEnd w:id="beziehungen-7"/>
    <w:p>
      <w:pPr>
        <w:numPr>
          <w:numId w:val="20"/>
          <w:ilvl w:val="0"/>
        </w:numPr>
      </w:pPr>
      <w:r>
        <w:t xml:space="preserve">Es muss genau ein</w:t>
      </w:r>
      <w:r>
        <w:t xml:space="preserve"> </w:t>
      </w:r>
      <w:r>
        <w:rPr>
          <w:b/>
        </w:rPr>
        <w:t xml:space="preserve">Hauptdokument</w:t>
      </w:r>
      <w:r>
        <w:t xml:space="preserve"> </w:t>
      </w:r>
      <w:r>
        <w:t xml:space="preserve">(Objekttyp "Dokument") referenziert werden.</w:t>
      </w:r>
    </w:p>
    <w:p>
      <w:pPr>
        <w:numPr>
          <w:numId w:val="20"/>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0"/>
          <w:ilvl w:val="0"/>
        </w:numPr>
      </w:pPr>
      <w:r>
        <w:t xml:space="preserve">Die Drucksache ist beliebig vielen Gremien zuzuordnen, in denen diese beraten wird.</w:t>
      </w:r>
    </w:p>
    <w:p>
      <w:pPr>
        <w:numPr>
          <w:numId w:val="20"/>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Uhrheber verknüpft werden.</w:t>
      </w:r>
    </w:p>
    <w:p>
      <w:pPr>
        <w:numPr>
          <w:numId w:val="20"/>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0"/>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20"/>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Zuständigkeit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w:t>
      </w:r>
    </w:p>
    <w:p>
      <w:r>
        <w:t xml:space="preserve">Textdokument handelt.</w:t>
      </w:r>
    </w:p>
    <w:bookmarkStart w:id="beziehungen-8" w:name="beziehungen-8"/>
    <w:p>
      <w:pPr>
        <w:pStyle w:val="Heading3"/>
      </w:pPr>
      <w:r>
        <w:t xml:space="preserve">Beziehungen</w:t>
      </w:r>
    </w:p>
    <w:bookmarkEnd w:id="beziehungen-8"/>
    <w:p>
      <w:pPr>
        <w:numPr>
          <w:numId w:val="21"/>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1"/>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2"/>
          <w:ilvl w:val="0"/>
        </w:numPr>
      </w:pPr>
      <w:r>
        <w:t xml:space="preserve">Orte können mit Drucksachen in Verbindung stehen.</w:t>
      </w:r>
    </w:p>
    <w:bookmarkStart w:id="zugriffsmethoden" w:name="zugriffsmethoden"/>
    <w:p>
      <w:pPr>
        <w:pStyle w:val="Heading1"/>
      </w:pPr>
      <w:r>
        <w:t xml:space="preserve">Zugriffsmethoden</w:t>
      </w:r>
    </w:p>
    <w:bookmarkEnd w:id="zugriffsmethoden"/>
    <w:p>
      <w:r>
        <w:t xml:space="preserve">In diesem Kapitel werden die Zugriffsmethoden der OParl-konformen Schnittstelle beschrieben.</w:t>
      </w:r>
    </w:p>
    <w:p>
      <w:r>
        <w:t xml:space="preserve">Stichpunkte:</w:t>
      </w:r>
    </w:p>
    <w:p>
      <w:pPr>
        <w:numPr>
          <w:numId w:val="23"/>
          <w:ilvl w:val="0"/>
        </w:numPr>
      </w:pPr>
      <w:r>
        <w:t xml:space="preserve">Grundlage für den Zugriff auf die Schnittstelle ist das Hypertext Transfer Protocol (HTTP).</w:t>
      </w:r>
    </w:p>
    <w:p>
      <w:pPr>
        <w:numPr>
          <w:numId w:val="23"/>
          <w:ilvl w:val="0"/>
        </w:numPr>
      </w:pPr>
      <w:r>
        <w:t xml:space="preserve">Ausschließlich HTTP GET Methode</w:t>
      </w:r>
    </w:p>
    <w:p>
      <w:pPr>
        <w:numPr>
          <w:numId w:val="23"/>
          <w:ilvl w:val="0"/>
        </w:numPr>
      </w:pPr>
      <w:r>
        <w:t xml:space="preserve">Optional gzip Encoding und andere Kodierungen, wenn Client und Server dies unterstützen</w:t>
      </w:r>
    </w:p>
    <w:p>
      <w:pPr>
        <w:numPr>
          <w:numId w:val="23"/>
          <w:ilvl w:val="0"/>
        </w:numPr>
      </w:pPr>
      <w:r>
        <w:t xml:space="preserve">HTTP Last-Modified Header sowie Conditional GET sind bei Dateiabruf (Laden von Anhängen) zu unterstützen</w:t>
      </w:r>
    </w:p>
    <w:p>
      <w:pPr>
        <w:numPr>
          <w:numId w:val="23"/>
          <w:ilvl w:val="0"/>
        </w:numPr>
      </w:pPr>
      <w:r>
        <w:t xml:space="preserve">Das Protkoll ist zustandslos</w:t>
      </w:r>
    </w:p>
    <w:p>
      <w:pPr>
        <w:numPr>
          <w:numId w:val="23"/>
          <w:ilvl w:val="0"/>
        </w:numPr>
      </w:pPr>
      <w:r>
        <w:t xml:space="preserve">Authentifizierung wird nicht benötigt. Glossar =======</w:t>
      </w:r>
    </w:p>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1" Target="media/image1" /><Relationship Type="http://schemas.openxmlformats.org/officeDocument/2006/relationships/image" Id="image2" Target="media/image2"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