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w:t>
      </w:r>
      <w:r>
        <w:t xml:space="preserve"> </w:t>
      </w:r>
      <w:r>
        <w:t xml:space="preserve">eines</w:t>
      </w:r>
      <w:r>
        <w:t xml:space="preserve"> </w:t>
      </w:r>
      <w:r>
        <w:t xml:space="preserve">Standards</w:t>
      </w:r>
      <w:r>
        <w:t xml:space="preserve"> </w:t>
      </w:r>
      <w:r>
        <w:t xml:space="preserve">für</w:t>
      </w:r>
      <w:r>
        <w:t xml:space="preserve"> </w:t>
      </w:r>
      <w:r>
        <w:t xml:space="preserve">Datenmodell</w:t>
      </w:r>
      <w:r>
        <w:t xml:space="preserve"> </w:t>
      </w:r>
      <w:r>
        <w:t xml:space="preserve">und</w:t>
      </w:r>
      <w:r>
        <w:t xml:space="preserve"> </w:t>
      </w:r>
      <w:r>
        <w:t xml:space="preserve">Zugriffs</w:t>
      </w:r>
      <w:r>
        <w:t xml:space="preserve">-</w:t>
      </w:r>
      <w:r>
        <w:t xml:space="preserve">Protokoll</w:t>
      </w:r>
      <w:r>
        <w:t xml:space="preserve"> </w:t>
      </w:r>
      <w:r>
        <w:t xml:space="preserve">für</w:t>
      </w:r>
      <w:r>
        <w:t xml:space="preserve"> </w:t>
      </w:r>
      <w:r>
        <w:t xml:space="preserve">offene</w:t>
      </w:r>
      <w:r>
        <w:t xml:space="preserve"> </w:t>
      </w:r>
      <w:r>
        <w:t xml:space="preserve">Ratsinformationssysteme</w:t>
      </w:r>
    </w:p>
    <w:p>
      <w:pPr>
        <w:pStyle w:val="Authors"/>
      </w:pPr>
      <w:r>
        <w:t xml:space="preserve">Marian</w:t>
      </w:r>
      <w:r>
        <w:t xml:space="preserve"> </w:t>
      </w:r>
      <w:r>
        <w:t xml:space="preserve">Steinbach</w:t>
      </w:r>
      <w:r>
        <w:t xml:space="preserve"> </w:t>
      </w:r>
      <w:hyperlink r:id="link0">
        <w:r>
          <w:rPr>
            <w:rStyle w:val="VerbatimChar"/>
            <w:rStyle w:val="Hyperlink"/>
          </w:rPr>
          <w:t xml:space="preserve">marian@sendung.de</w:t>
        </w:r>
      </w:hyperlink>
    </w:p>
    <w:p>
      <w:r>
        <w:t xml:space="preserve">Lizenz: Creative Commons CC-BY-SA</w:t>
      </w:r>
    </w:p>
    <w:bookmarkStart w:id="einleitung" w:name="einleitung"/>
    <w:p>
      <w:pPr>
        <w:pStyle w:val="Heading1"/>
      </w:pPr>
      <w:r>
        <w:t xml:space="preserve">Einleitung</w:t>
      </w:r>
    </w:p>
    <w:bookmarkEnd w:id="einleitung"/>
    <w:bookmarkStart w:id="ziel-dieses-dokuments" w:name="ziel-dieses-dokuments"/>
    <w:p>
      <w:pPr>
        <w:pStyle w:val="Heading2"/>
      </w:pPr>
      <w:r>
        <w:t xml:space="preserve">Ziel dieses Dokuments</w:t>
      </w:r>
    </w:p>
    <w:bookmarkEnd w:id="ziel-dieses-dokuments"/>
    <w:p>
      <w:r>
        <w:t xml:space="preserve">Ziel dieses Dokuments ist es, einen Diskurs über einen offenen Standard zum Datenabruf aus Ratsinformationssystemen in Gang zu bringen.</w:t>
      </w:r>
    </w:p>
    <w:p>
      <w:r>
        <w:t xml:space="preserve">Ratsinformationssysteme (RIS) werden von vielen Körperschaften wie Kommunen, Landkreisen und Regierungsbezirken eingesetzt, um die anfallende Gremienarbeit (Ratssitzungen, Ausschüsse, Vertretungen) zu organisieren. Da ein großer Teil der schriftlichen Arbeit der Lokalpolitik über derartige Systeme verwaltet wird, sind die RIS – dort wo vorhanden – ein wichtiger Zugriffspunkt für alle, die sich für politischen Geschehnisse interessieren.</w:t>
      </w:r>
    </w:p>
    <w:p>
      <w:r>
        <w:t xml:space="preserve">Eine wichtige Maßnahme von Körperschaften, die im Zuge von Open-Data- und Open-Government-Initiativen ihre Politik transparenter machen wollen, wird auch sein, die Daten in den RIS im Sinne des Open-Data-Begriffs zugänglich zu machen. Hierdurch können die Kommunen selbst, aber auch dritte, Anwendungen entwickeln, die Inhalte auf verschiedene Art und Weise auswerten, abrufbar und nutzbar machen, sei es für die Allgemeinheit oder für bestimmte Nutzerkreise.</w:t>
      </w:r>
    </w:p>
    <w:p>
      <w:r>
        <w:t xml:space="preserve">In Deutschland gibt es über 10.000 Kommunen, außerdem hunderte weitere Körperschaften, die über RIS-ähnliche Systeme verfügen. Sollten diese beginnen, ihre RIS zu öffnen, werden sie sämtlich vor der Frage stehen, wie Daten zu modellieren und Schnittstellen (APIs) zu spezifizieren sind.</w:t>
      </w:r>
    </w:p>
    <w:p>
      <w:r>
        <w:t xml:space="preserve">Sowohl die Anbieter der Daten, als auch die Abnehmer (die Anwendungsentwickler) werden von einer Standardisierung der Schnittstellen und Datenmodelle profitieren. So wird die Kompatibilität von Software und die breite Einsetzbarkeit ermöglicht.</w:t>
      </w:r>
    </w:p>
    <w:p>
      <w:r>
        <w:t xml:space="preserve">Dieses Dokument soll die Erarbeitung eines solchen Standards ermöglichen und als Diskussionsgrundlage dienen.</w:t>
      </w:r>
    </w:p>
    <w:bookmarkStart w:id="status" w:name="status"/>
    <w:p>
      <w:pPr>
        <w:pStyle w:val="Heading2"/>
      </w:pPr>
      <w:r>
        <w:t xml:space="preserve">Status</w:t>
      </w:r>
    </w:p>
    <w:bookmarkEnd w:id="status"/>
    <w:p>
      <w:r>
        <w:t xml:space="preserve">Dieser Entwurf gibt aktuell einen Vorschlag des Autors wieder. Bisher ist noch kein Feedback eingeflossen.</w:t>
      </w:r>
    </w:p>
    <w:p>
      <w:r>
        <w:t xml:space="preserve">Der Entwurf ist noch unvollständig.</w:t>
      </w:r>
    </w:p>
    <w:bookmarkStart w:id="überblick" w:name="überblick"/>
    <w:p>
      <w:pPr>
        <w:pStyle w:val="Heading2"/>
      </w:pPr>
      <w:r>
        <w:t xml:space="preserve">Überblick</w:t>
      </w:r>
    </w:p>
    <w:bookmarkEnd w:id="überblick"/>
    <w:p>
      <w:r>
        <w:t xml:space="preserve">Der Entwurf umfasst im ersten Schritt die abstrakte Beschreibung eines Datenmodells.</w:t>
      </w:r>
    </w:p>
    <w:bookmarkStart w:id="noch-nicht-abgedeckt" w:name="noch-nicht-abgedeckt"/>
    <w:p>
      <w:pPr>
        <w:pStyle w:val="Heading3"/>
      </w:pPr>
      <w:r>
        <w:t xml:space="preserve">Noch nicht abgedeckt:</w:t>
      </w:r>
    </w:p>
    <w:bookmarkEnd w:id="noch-nicht-abgedeckt"/>
    <w:p>
      <w:pPr>
        <w:numPr>
          <w:numId w:val="2"/>
          <w:ilvl w:val="0"/>
        </w:numPr>
      </w:pPr>
      <w:r>
        <w:t xml:space="preserve">Angaben von Personen zu Tätigkeiten (z.B. Auskunft nach § 17 Korruptionsbekämpfungsgesetz). Diese werden von mehreren Systemen geführt und ausgegeben.</w:t>
      </w:r>
    </w:p>
    <w:p>
      <w:pPr>
        <w:numPr>
          <w:numId w:val="2"/>
          <w:ilvl w:val="0"/>
        </w:numPr>
      </w:pPr>
      <w:r>
        <w:t xml:space="preserve">Änderungsdatum (bei allen Objekttypen relevant)</w:t>
      </w:r>
    </w:p>
    <w:p>
      <w:pPr>
        <w:numPr>
          <w:numId w:val="2"/>
          <w:ilvl w:val="0"/>
        </w:numPr>
      </w:pPr>
      <w:r>
        <w:t xml:space="preserve">Unterscheidung von Rollen bzw. Zuständigkeiten zwischen Drucksachen und Tagesordnungspunkten (z.B. federführende Beratung, konsultierende Beratung etc.)</w:t>
      </w:r>
    </w:p>
    <w:bookmarkStart w:id="nächste-schritte" w:name="nächste-schritte"/>
    <w:p>
      <w:pPr>
        <w:pStyle w:val="Heading2"/>
      </w:pPr>
      <w:r>
        <w:t xml:space="preserve">Nächste Schritte</w:t>
      </w:r>
    </w:p>
    <w:bookmarkEnd w:id="nächste-schritte"/>
    <w:p>
      <w:pPr>
        <w:numPr>
          <w:numId w:val="3"/>
          <w:ilvl w:val="0"/>
        </w:numPr>
      </w:pPr>
      <w:r>
        <w:t xml:space="preserve">Bis Ende Januar 2012: Einsammeln von Feedback zum Entwurf des Datenmodells</w:t>
      </w:r>
    </w:p>
    <w:p>
      <w:pPr>
        <w:numPr>
          <w:numId w:val="3"/>
          <w:ilvl w:val="0"/>
        </w:numPr>
      </w:pPr>
      <w:r>
        <w:t xml:space="preserve">Anpassen des Entwurfs anhand von Feedback</w:t>
      </w:r>
    </w:p>
    <w:p>
      <w:pPr>
        <w:numPr>
          <w:numId w:val="3"/>
          <w:ilvl w:val="0"/>
        </w:numPr>
      </w:pPr>
      <w:r>
        <w:t xml:space="preserve">Erarbeitung eines Entwurfs für eine REST-Schnittstelle. Darin soll beschrieben werden, wie über HTTP die zuvor beschriebenen Daten abgerufen werden sollen.</w:t>
      </w:r>
    </w:p>
    <w:bookmarkStart w:id="adresse-für-feedback" w:name="adresse-für-feedback"/>
    <w:p>
      <w:pPr>
        <w:pStyle w:val="Heading2"/>
      </w:pPr>
      <w:r>
        <w:t xml:space="preserve">Adresse für Feedback</w:t>
      </w:r>
    </w:p>
    <w:bookmarkEnd w:id="adresse-für-feedback"/>
    <w:p>
      <w:r>
        <w:t xml:space="preserve">Feedback kann gerne per Mail an marian@sendung.de übermittelt werden.</w:t>
      </w:r>
    </w:p>
    <w:p>
      <w:r>
        <w:t xml:space="preserve">Wer Feedback übersendet, wird als Mitwirkender in zukünftigen Versionen des Dokuments namentlich erwähnt. Wer dies nicht möchte, sollte dies bitte in seiner Mail bitte explizit erwähnen.</w:t>
      </w:r>
    </w:p>
    <w:bookmarkStart w:id="datenmodell" w:name="datenmodell"/>
    <w:p>
      <w:pPr>
        <w:pStyle w:val="Heading1"/>
      </w:pPr>
      <w:r>
        <w:t xml:space="preserve">Datenmodell</w:t>
      </w:r>
    </w:p>
    <w:bookmarkEnd w:id="datenmodell"/>
    <w:p>
      <w:r>
        <w:t xml:space="preserve">Das Datenmodell soll die Bausteine für die später zu entwerfende Schnittstelle definieren. Im folgenden werden sozusagen die Objekttypen bzw. die Klassen beschrieben, auf die über eine spätere API zugegriffen werden kann.</w:t>
      </w:r>
    </w:p>
    <w:p>
      <w:r>
        <w:t xml:space="preserve">Einige Objekte werden eine eindeutige Identifizierung (ID) benötigen, wobei „eindeutig“ auch eine Frage des Kontextes ist. In den wenigsten Fällen wird es notwendig sein, eine Objekt-Kennung weltweit eindeutig zu machen. Darüber hinaus wird zu entscheiden sein, ob IDs unveränderlich oder veränderlich sein sollen.</w:t>
      </w:r>
    </w:p>
    <w:p>
      <w:r>
        <w:t xml:space="preserve">Die Hinweise auf die Praxis in bestehenden Ratsinformationssystemen beziehen sich auf nach außen, bei Nutzung der Weboverfläche, feststellbare Eigenschaften. Es wird auf die folgenden Systeme Bezug genommen:</w:t>
      </w:r>
    </w:p>
    <w:p>
      <w:pPr>
        <w:numPr>
          <w:numId w:val="4"/>
          <w:ilvl w:val="0"/>
        </w:numPr>
      </w:pPr>
      <w:r>
        <w:t xml:space="preserve">Stadt Köln [2] - Plattform: Somacos SessionNet [3]</w:t>
      </w:r>
    </w:p>
    <w:p>
      <w:pPr>
        <w:numPr>
          <w:numId w:val="4"/>
          <w:ilvl w:val="0"/>
        </w:numPr>
      </w:pPr>
      <w:r>
        <w:t xml:space="preserve">Bezirksverwaltung Berlin Mitte [4] - Plattform: ALLRIS [5]</w:t>
      </w:r>
    </w:p>
    <w:p>
      <w:pPr>
        <w:numPr>
          <w:numId w:val="4"/>
          <w:ilvl w:val="0"/>
        </w:numPr>
      </w:pPr>
      <w:r>
        <w:t xml:space="preserve">Stadt Rösrath [6] - Plattform der Firma PROVOX [7]</w:t>
      </w:r>
    </w:p>
    <w:p>
      <w:pPr>
        <w:numPr>
          <w:numId w:val="4"/>
          <w:ilvl w:val="0"/>
        </w:numPr>
      </w:pPr>
      <w:r>
        <w:t xml:space="preserve">Stadt Euskirchen [8] - Plattform: SD.NET RIM 4 [9]</w:t>
      </w:r>
    </w:p>
    <w:p>
      <w:pPr>
        <w:numPr>
          <w:numId w:val="4"/>
          <w:ilvl w:val="0"/>
        </w:numPr>
      </w:pPr>
      <w:r>
        <w:t xml:space="preserve">Stadt Bonn - BoRis [10]</w:t>
      </w:r>
    </w:p>
    <w:bookmarkStart w:id="zu-den-eigenschaften" w:name="zu-den-eigenschaften"/>
    <w:p>
      <w:pPr>
        <w:pStyle w:val="Heading3"/>
      </w:pPr>
      <w:r>
        <w:t xml:space="preserve">Zu den Eigenschaften</w:t>
      </w:r>
    </w:p>
    <w:bookmarkEnd w:id="zu-den-eigenschaften"/>
    <w:p>
      <w:r>
        <w:t xml:space="preserve">Eigenschaften der einzelnen Objekttypen sind, wenn nicht anders angegeben, verpflichtend. Optionale Eigenschaften sind entsprechend gekennzeichnet.</w:t>
      </w:r>
    </w:p>
    <w:p>
      <w:r>
        <w:t xml:space="preserve">Durch die aktuelle Detailtiefe der Beschreibungen soll vor allem die Frage "Was soll/kann gespeichert bzw. ausgedrückt werden?" geklärt werden.</w:t>
      </w:r>
    </w:p>
    <w:p>
      <w:r>
        <w:t xml:space="preserve">Detailliertere Anforderungen an die Eigenschaften ("Wie genau soll eine Information gespeichert werden?") werden zu einem späteren Zeitpunkt erörtert.</w:t>
      </w:r>
    </w:p>
    <w:bookmarkStart w:id="zu-den-beziehungen" w:name="zu-den-beziehungen"/>
    <w:p>
      <w:pPr>
        <w:pStyle w:val="Heading3"/>
      </w:pPr>
      <w:r>
        <w:t xml:space="preserve">Zu den Beziehungen</w:t>
      </w:r>
    </w:p>
    <w:bookmarkEnd w:id="zu-den-beziehungen"/>
    <w:p>
      <w:r>
        <w:t xml:space="preserve">Bei Beschreibung der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gebietskörperschaft" w:name="gebietskörperschaft"/>
    <w:p>
      <w:pPr>
        <w:pStyle w:val="Heading2"/>
      </w:pPr>
      <w:r>
        <w:t xml:space="preserve">Gebietskörperschaft</w:t>
      </w:r>
    </w:p>
    <w:bookmarkEnd w:id="gebietskörperschaft"/>
    <w:p>
      <w:r>
        <w:t xml:space="preserve">Die Gebietskörperschaft erlaubt es, Körperschaften wie einen bestimmten Landkreis, eine bestimmte Gemeinde oder einen bestimmten Stadtbezirk in Form eines Datenobjekts abzubilden.</w:t>
      </w:r>
    </w:p>
    <w:p>
      <w:r>
        <w:t xml:space="preserve">Viele RIS werden nur genau eine Instanz dieses Typs „beherbergen“. Denkbar ist aber auch, dass Systeme für einen Verbund von mehreren Körperschaften betrieben werden.</w:t>
      </w:r>
    </w:p>
    <w:p>
      <w:r>
        <w:drawing>
          <wp:inline>
            <wp:extent cx="2032000" cy="749300"/>
            <wp:effectExtent b="0" l="0" r="0" t="0"/>
            <wp:docPr descr="" id="1" name="Picture"/>
            <a:graphic>
              <a:graphicData uri="http://schemas.openxmlformats.org/drawingml/2006/picture">
                <pic:pic>
                  <pic:nvPicPr>
                    <pic:cNvPr descr="images/01.png" id="0" name="Picture"/>
                    <pic:cNvPicPr>
                      <a:picLocks noChangeArrowheads="1" noChangeAspect="1"/>
                    </pic:cNvPicPr>
                  </pic:nvPicPr>
                  <pic:blipFill>
                    <a:blip r:embed="image1"/>
                    <a:stretch>
                      <a:fillRect/>
                    </a:stretch>
                  </pic:blipFill>
                  <pic:spPr bwMode="auto">
                    <a:xfrm>
                      <a:off x="0" y="0"/>
                      <a:ext cx="2032000" cy="749300"/>
                    </a:xfrm>
                    <a:prstGeom prst="rect">
                      <a:avLst/>
                    </a:prstGeom>
                    <a:noFill/>
                    <a:ln w="9525">
                      <a:noFill/>
                      <a:headEnd/>
                      <a:tailEnd/>
                    </a:ln>
                  </pic:spPr>
                </pic:pic>
              </a:graphicData>
            </a:graphic>
          </wp:inline>
        </w:drawing>
      </w:r>
    </w:p>
    <w:p>
      <w:pPr>
        <w:pStyle w:val="ImageCaption"/>
      </w:pPr>
      <w:r>
        <w:t xml:space="preserve">Gebietskörperschaft</w:t>
      </w:r>
    </w:p>
    <w:bookmarkStart w:id="eindeutige-identifizierung" w:name="eindeutige-identifizierung"/>
    <w:p>
      <w:pPr>
        <w:pStyle w:val="Heading3"/>
      </w:pPr>
      <w:r>
        <w:t xml:space="preserve">Eindeutige Identifizierung</w:t>
      </w:r>
    </w:p>
    <w:bookmarkEnd w:id="eindeutige-identifizierung"/>
    <w:p>
      <w:r>
        <w:t xml:space="preserve">Zur Identifizierung des Objekts kann der Amtliche Gemeindeschlüssel (AGS[1]) verwendet werden, der alle deutschen Gemeinden, Landkreise, kreisfreien Städte etc. eindeutig erfasst.</w:t>
      </w:r>
    </w:p>
    <w:p>
      <w:r>
        <w:t xml:space="preserve">Vorteil der Verwendung des AGS:</w:t>
      </w:r>
    </w:p>
    <w:p>
      <w:pPr>
        <w:numPr>
          <w:numId w:val="5"/>
          <w:ilvl w:val="0"/>
        </w:numPr>
      </w:pPr>
      <w:r>
        <w:t xml:space="preserve">Kompakte, einfache und einheitliche Schreibweise für jede Körperschaft.</w:t>
      </w:r>
    </w:p>
    <w:p>
      <w:pPr>
        <w:numPr>
          <w:numId w:val="5"/>
          <w:ilvl w:val="0"/>
        </w:numPr>
      </w:pPr>
      <w:r>
        <w:t xml:space="preserve">Der AGS wird von Behörden genutzt, ist anerkannt und auch in anderen Medien, z.B. der Wikipedia, verbreitet.</w:t>
      </w:r>
    </w:p>
    <w:p>
      <w:r>
        <w:t xml:space="preserve">Nachteil des AGS:</w:t>
      </w:r>
    </w:p>
    <w:p>
      <w:pPr>
        <w:numPr>
          <w:numId w:val="6"/>
          <w:ilvl w:val="0"/>
        </w:numPr>
      </w:pPr>
      <w:r>
        <w:t xml:space="preserve">Führende Nullen machen den Schlüssel fehleranfällig. Bestimmte Systeme wie z.B. Excel könnten den Inhalt als Zahlenwert erkennen und die führenden Nullen automatisch verwerfen.</w:t>
      </w:r>
    </w:p>
    <w:p>
      <w:pPr>
        <w:numPr>
          <w:numId w:val="6"/>
          <w:ilvl w:val="0"/>
        </w:numPr>
      </w:pPr>
      <w:r>
        <w:t xml:space="preserve">Für Gebietsgliederungen unterhalb der selbstständigen Gemeinde, beispielsweise einen einzelnen Stadtbezirk, gibt es keinen eigenen Gemeindeschlüssel. Dies müssten durch eine nicht-amtliche Erweiterung des Systems ausgeglichen werden.</w:t>
      </w:r>
    </w:p>
    <w:bookmarkStart w:id="eigenschaften" w:name="eigenschaften"/>
    <w:p>
      <w:pPr>
        <w:pStyle w:val="Heading3"/>
      </w:pPr>
      <w:r>
        <w:t xml:space="preserve">Eigenschaften</w:t>
      </w:r>
    </w:p>
    <w:bookmarkEnd w:id="eigenschaften"/>
    <w:p>
      <w:pPr>
        <w:pStyle w:val="DefinitionTerm"/>
      </w:pPr>
      <w:r>
        <w:t xml:space="preserve">Name</w:t>
      </w:r>
    </w:p>
    <w:p>
      <w:pPr>
        <w:pStyle w:val="Definition"/>
      </w:pPr>
      <w:r>
        <w:t xml:space="preserve">Der Name der Gebietskörperschaft, z.B. "Köln" oder "Stadt Köln".</w:t>
      </w:r>
    </w:p>
    <w:bookmarkStart w:id="beziehungen" w:name="beziehungen"/>
    <w:p>
      <w:pPr>
        <w:pStyle w:val="Heading3"/>
      </w:pPr>
      <w:r>
        <w:t xml:space="preserve">Beziehungen</w:t>
      </w:r>
    </w:p>
    <w:bookmarkEnd w:id="beziehungen"/>
    <w:p>
      <w:pPr>
        <w:numPr>
          <w:numId w:val="7"/>
          <w:ilvl w:val="0"/>
        </w:numPr>
      </w:pPr>
      <w:r>
        <w:t xml:space="preserve">Objekte vom Typ "Organisation" sind zwingend genau einer Gebietskörperschaft zugeordnet. So wird beispielseise eine SPD in Köln von einer SPD in Leverkusen unterschieden.</w:t>
      </w:r>
    </w:p>
    <w:p>
      <w:pPr>
        <w:numPr>
          <w:numId w:val="7"/>
          <w:ilvl w:val="0"/>
        </w:numPr>
      </w:pPr>
      <w:r>
        <w:t xml:space="preserve">Objekte vom Typ "Gremium" sind zwingend einer genau einer Gebietskörperschaft zugeordnet. Damit wird der "Rat" einer bestimmten Kommune von den gleichnamigen Gremien anderer Kommunen abgegrenzt.</w:t>
      </w:r>
    </w:p>
    <w:bookmarkStart w:id="gremium" w:name="gremium"/>
    <w:p>
      <w:pPr>
        <w:pStyle w:val="Heading2"/>
      </w:pPr>
      <w:r>
        <w:t xml:space="preserve">Gremium</w:t>
      </w:r>
    </w:p>
    <w:bookmarkEnd w:id="gremium"/>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eigenschaften-1" w:name="eigenschaften-1"/>
    <w:p>
      <w:pPr>
        <w:pStyle w:val="Heading3"/>
      </w:pPr>
      <w:r>
        <w:t xml:space="preserve">Eigenschaften</w:t>
      </w:r>
    </w:p>
    <w:bookmarkEnd w:id="eigenschaften-1"/>
    <w:p>
      <w:pPr>
        <w:pStyle w:val="DefinitionTerm"/>
      </w:pPr>
      <w:r>
        <w:t xml:space="preserve">Kennung</w:t>
      </w:r>
    </w:p>
    <w:p>
      <w:pPr>
        <w:pStyle w:val="Definition"/>
      </w:pPr>
      <w:r>
        <w:t xml:space="preserve">Zur eindeutigen Identifizierung des Gremiums im Kontext einer bestimmten Gebietskörperschaft. Die Stadt Köln verwendet beispielswiese das Kürzel "STA" für den Stadtentwicklungsausschuss oder "BA" für den Ausschuss für Anregungen und Beschwerden. Andere Kommunen verwenden z.B. rein numerische Kennungen.</w:t>
      </w:r>
    </w:p>
    <w:p>
      <w:pPr>
        <w:pStyle w:val="DefinitionTerm"/>
      </w:pPr>
      <w:r>
        <w:t xml:space="preserve">Name</w:t>
      </w:r>
    </w:p>
    <w:p>
      <w:pPr>
        <w:pStyle w:val="Definition"/>
      </w:pPr>
      <w:r>
        <w:t xml:space="preserve">Der Name des Gremiums. Beispiele: "Rat", "Hauptausschuss", "Bezirksvertretung 1 (Innenstadt)"</w:t>
      </w:r>
    </w:p>
    <w:bookmarkStart w:id="anmerkungen" w:name="anmerkungen"/>
    <w:p>
      <w:pPr>
        <w:pStyle w:val="Heading4"/>
      </w:pPr>
      <w:r>
        <w:t xml:space="preserve">Anmerkungen</w:t>
      </w:r>
    </w:p>
    <w:bookmarkEnd w:id="anmerkungen"/>
    <w:p>
      <w:r>
        <w:t xml:space="preserve">Beim Rösrather RIS [6] wird für jedes Gremium ein Kurz- und ein Langname angegeben. Beispielsweise wird beim "Stadtentwicklungs-, Planungs- und Verkehrsausschuss" die kurze Form "Stadtentwicklung" hinterlegt. Bei 5 von 12 Gremien sind jedoch Kurz- und Langnamen identisch.</w:t>
      </w:r>
    </w:p>
    <w:p>
      <w:r>
        <w:t xml:space="preserve">Sofern nicht Beispiele aus weiteren Systemen vorliegen, wird dieser Einzelfall nicht im Entwurf abgebildet.</w:t>
      </w:r>
    </w:p>
    <w:bookmarkStart w:id="beziehungen-1" w:name="beziehungen-1"/>
    <w:p>
      <w:pPr>
        <w:pStyle w:val="Heading3"/>
      </w:pPr>
      <w:r>
        <w:t xml:space="preserve">Beziehungen</w:t>
      </w:r>
    </w:p>
    <w:bookmarkEnd w:id="beziehungen-1"/>
    <w:p>
      <w:pPr>
        <w:numPr>
          <w:numId w:val="8"/>
          <w:ilvl w:val="0"/>
        </w:numPr>
      </w:pPr>
      <w:r>
        <w:t xml:space="preserve">Objekte vom Typ "Person" referenzieren auf Gremien, um die Mitgliedschaft/Zugehörigkeit einer Person im/zum Gremium zu kennzeichnen.</w:t>
      </w:r>
    </w:p>
    <w:p>
      <w:pPr>
        <w:numPr>
          <w:numId w:val="8"/>
          <w:ilvl w:val="0"/>
        </w:numPr>
      </w:pPr>
      <w:r>
        <w:t xml:space="preserve">Objekte vom Typ "Drucksache" können einem Gremium zugeordnet sein. Beispielsweise wird eine Anfrage oder ein Antrag dem Rat oder einer bestimmten Bezirksvertretung zugeordnet.</w:t>
      </w:r>
    </w:p>
    <w:bookmarkStart w:id="person" w:name="person"/>
    <w:p>
      <w:pPr>
        <w:pStyle w:val="Heading2"/>
      </w:pPr>
      <w:r>
        <w:t xml:space="preserve">Person</w:t>
      </w:r>
    </w:p>
    <w:bookmarkEnd w:id="person"/>
    <w:p>
      <w:r>
        <w:t xml:space="preserve">Jede natürliche Person, die Mitglied eines Gremiums ist, ist als Person im Datenmodell eindeutig identifizierbar.</w:t>
      </w:r>
    </w:p>
    <w:bookmarkStart w:id="eigenschaften-2" w:name="eigenschaften-2"/>
    <w:p>
      <w:pPr>
        <w:pStyle w:val="Heading3"/>
      </w:pPr>
      <w:r>
        <w:t xml:space="preserve">Eigenschaften</w:t>
      </w:r>
    </w:p>
    <w:bookmarkEnd w:id="eigenschaften-2"/>
    <w:p>
      <w:pPr>
        <w:pStyle w:val="DefinitionTerm"/>
      </w:pPr>
      <w:r>
        <w:t xml:space="preserve">Kennung</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w:t>
      </w:r>
    </w:p>
    <w:p>
      <w:pPr>
        <w:pStyle w:val="Definition"/>
      </w:pPr>
      <w:r>
        <w:t xml:space="preserve">Der Vorname der Person.</w:t>
      </w:r>
    </w:p>
    <w:p>
      <w:pPr>
        <w:pStyle w:val="DefinitionTerm"/>
      </w:pPr>
      <w:r>
        <w:t xml:space="preserve">Nachname</w:t>
      </w:r>
    </w:p>
    <w:p>
      <w:pPr>
        <w:pStyle w:val="Definition"/>
      </w:pPr>
      <w:r>
        <w:t xml:space="preserve">Der Nachname der Person.</w:t>
      </w:r>
    </w:p>
    <w:p>
      <w:pPr>
        <w:pStyle w:val="DefinitionTerm"/>
      </w:pPr>
      <w:r>
        <w:t xml:space="preserve">Titel</w:t>
      </w:r>
    </w:p>
    <w:p>
      <w:pPr>
        <w:pStyle w:val="Definition"/>
      </w:pPr>
      <w:r>
        <w:rPr>
          <w:i/>
        </w:rPr>
        <w:t xml:space="preserve">Optional</w:t>
      </w:r>
      <w:r>
        <w:t xml:space="preserve">. Akademische Titel wie "Dr." und "Prof. Dr."</w:t>
      </w:r>
    </w:p>
    <w:p>
      <w:pPr>
        <w:pStyle w:val="DefinitionTerm"/>
      </w:pPr>
      <w:r>
        <w:t xml:space="preserve">Geschlecht</w:t>
      </w:r>
    </w:p>
    <w:p>
      <w:pPr>
        <w:pStyle w:val="Definition"/>
      </w:pPr>
      <w:r>
        <w:rPr>
          <w:i/>
        </w:rPr>
        <w:t xml:space="preserve">Optional</w:t>
      </w:r>
      <w:r>
        <w:t xml:space="preserve">. Männlich/Weblich</w:t>
      </w:r>
    </w:p>
    <w:p>
      <w:pPr>
        <w:pStyle w:val="DefinitionTerm"/>
      </w:pPr>
      <w:r>
        <w:t xml:space="preserve">Berufsbezeichnung</w:t>
      </w:r>
    </w:p>
    <w:p>
      <w:pPr>
        <w:pStyle w:val="Definition"/>
      </w:pPr>
      <w:r>
        <w:rPr>
          <w:i/>
        </w:rPr>
        <w:t xml:space="preserve">Optional</w:t>
      </w:r>
      <w:r>
        <w:t xml:space="preserve">. Z.B. "Rechtsanwalt"</w:t>
      </w:r>
    </w:p>
    <w:p>
      <w:pPr>
        <w:pStyle w:val="DefinitionTerm"/>
      </w:pPr>
      <w:r>
        <w:t xml:space="preserve">Partei</w:t>
      </w:r>
    </w:p>
    <w:p>
      <w:pPr>
        <w:pStyle w:val="Definition"/>
      </w:pPr>
      <w:r>
        <w:rPr>
          <w:i/>
        </w:rPr>
        <w:t xml:space="preserve">Optional</w:t>
      </w:r>
      <w:r>
        <w:t xml:space="preserve">. Z.B. "Bündnis 90/Grüne"</w:t>
      </w:r>
    </w:p>
    <w:p>
      <w:pPr>
        <w:pStyle w:val="DefinitionTerm"/>
      </w:pPr>
      <w:r>
        <w:t xml:space="preserve">E-Mail-Adresse</w:t>
      </w:r>
    </w:p>
    <w:p>
      <w:pPr>
        <w:pStyle w:val="Definition"/>
      </w:pPr>
      <w:r>
        <w:rPr>
          <w:i/>
        </w:rPr>
        <w:t xml:space="preserve">Optional</w:t>
      </w:r>
      <w:r>
        <w:t xml:space="preserve">.</w:t>
      </w:r>
    </w:p>
    <w:p>
      <w:pPr>
        <w:pStyle w:val="DefinitionTerm"/>
      </w:pPr>
      <w:r>
        <w:t xml:space="preserve">Telefon</w:t>
      </w:r>
    </w:p>
    <w:p>
      <w:pPr>
        <w:pStyle w:val="Definition"/>
      </w:pPr>
      <w:r>
        <w:rPr>
          <w:i/>
        </w:rPr>
        <w:t xml:space="preserve">Optional</w:t>
      </w:r>
      <w:r>
        <w:t xml:space="preserve">.</w:t>
      </w:r>
    </w:p>
    <w:p>
      <w:pPr>
        <w:pStyle w:val="DefinitionTerm"/>
      </w:pPr>
      <w:r>
        <w:t xml:space="preserve">Fax</w:t>
      </w:r>
    </w:p>
    <w:p>
      <w:pPr>
        <w:pStyle w:val="Definition"/>
      </w:pPr>
      <w:r>
        <w:rPr>
          <w:i/>
        </w:rPr>
        <w:t xml:space="preserve">Optional</w:t>
      </w:r>
      <w:r>
        <w:t xml:space="preserve">.</w:t>
      </w:r>
    </w:p>
    <w:p>
      <w:pPr>
        <w:pStyle w:val="DefinitionTerm"/>
      </w:pPr>
      <w:r>
        <w:t xml:space="preserve">Anschrift</w:t>
      </w:r>
    </w:p>
    <w:p>
      <w:pPr>
        <w:pStyle w:val="Definition"/>
      </w:pPr>
      <w:r>
        <w:rPr>
          <w:i/>
        </w:rPr>
        <w:t xml:space="preserve">Optional</w:t>
      </w:r>
      <w:r>
        <w:t xml:space="preserve">. Straße und Hausnummer, Postleitzahl und Ort</w:t>
      </w:r>
    </w:p>
    <w:bookmarkStart w:id="anmerkungen-1" w:name="anmerkungen-1"/>
    <w:p>
      <w:pPr>
        <w:pStyle w:val="Heading4"/>
      </w:pPr>
      <w:r>
        <w:t xml:space="preserve">Anmerkungen</w:t>
      </w:r>
    </w:p>
    <w:bookmarkEnd w:id="anmerkungen-1"/>
    <w:p>
      <w:pPr>
        <w:numPr>
          <w:numId w:val="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9"/>
          <w:ilvl w:val="0"/>
        </w:numPr>
      </w:pPr>
      <w:r>
        <w:t xml:space="preserve">Das Rösrather System kennzeichnet, ob Anschriften privat oder geschäftlich sind.</w:t>
      </w:r>
    </w:p>
    <w:bookmarkStart w:id="beziehungen-2" w:name="beziehungen-2"/>
    <w:p>
      <w:pPr>
        <w:pStyle w:val="Heading3"/>
      </w:pPr>
      <w:r>
        <w:t xml:space="preserve">Beziehungen</w:t>
      </w:r>
    </w:p>
    <w:bookmarkEnd w:id="beziehungen-2"/>
    <w:p>
      <w:pPr>
        <w:numPr>
          <w:numId w:val="10"/>
          <w:ilvl w:val="0"/>
        </w:numPr>
      </w:pPr>
      <w:r>
        <w:t xml:space="preserve">Objekte vom Typ "Person" können einer Organisation, z.B. einer Fraktion, zugeornet werden. Diese Beziehung ist datiert.</w:t>
      </w:r>
    </w:p>
    <w:p>
      <w:pPr>
        <w:numPr>
          <w:numId w:val="10"/>
          <w:ilvl w:val="0"/>
        </w:numPr>
      </w:pPr>
      <w:r>
        <w:t xml:space="preserve">Objekte vom Typ "Person" können einem oder mehreren Gremien zugewiesen werden, um die Mitgliedschaft in diesem Gremium darzustellen. Diese Beziehungen sind ebenfalls datiert.</w:t>
      </w:r>
    </w:p>
    <w:bookmarkStart w:id="organisation" w:name="organisation"/>
    <w:p>
      <w:pPr>
        <w:pStyle w:val="Heading2"/>
      </w:pPr>
      <w:r>
        <w:t xml:space="preserve">Organisation</w:t>
      </w:r>
    </w:p>
    <w:bookmarkEnd w:id="organisation"/>
    <w:p>
      <w:r>
        <w:t xml:space="preserve">Organisationen sind üblicherweise Parteien bzw. Fraktionen, denen die Personen angehören können.</w:t>
      </w:r>
    </w:p>
    <w:bookmarkStart w:id="eigenschaften-3" w:name="eigenschaften-3"/>
    <w:p>
      <w:pPr>
        <w:pStyle w:val="Heading3"/>
      </w:pPr>
      <w:r>
        <w:t xml:space="preserve">Eigenschaften</w:t>
      </w:r>
    </w:p>
    <w:bookmarkEnd w:id="eigenschaften-3"/>
    <w:p>
      <w:pPr>
        <w:pStyle w:val="DefinitionTerm"/>
      </w:pPr>
      <w:r>
        <w:t xml:space="preserve">Kennung</w:t>
      </w:r>
    </w:p>
    <w:p>
      <w:pPr>
        <w:pStyle w:val="Definition"/>
      </w:pPr>
      <w:r>
        <w:t xml:space="preserve">Zur eundeitigen Kennzeichnung einer Organisation innerhalb einer Gebietskörperschaft</w:t>
      </w:r>
    </w:p>
    <w:p>
      <w:pPr>
        <w:pStyle w:val="DefinitionTerm"/>
      </w:pPr>
      <w:r>
        <w:t xml:space="preserve">Name</w:t>
      </w:r>
    </w:p>
    <w:p>
      <w:pPr>
        <w:pStyle w:val="Definition"/>
      </w:pPr>
      <w:r>
        <w:t xml:space="preserve">Der gebräuchliche Name der Organisation, z.B. "SPD" oder "DIE LINKE".</w:t>
      </w:r>
    </w:p>
    <w:bookmarkStart w:id="anmerkungen-2" w:name="anmerkungen-2"/>
    <w:p>
      <w:pPr>
        <w:pStyle w:val="Heading4"/>
      </w:pPr>
      <w:r>
        <w:t xml:space="preserve">Anmerkungen</w:t>
      </w:r>
    </w:p>
    <w:bookmarkEnd w:id="anmerkungen-2"/>
    <w:p>
      <w:pPr>
        <w:numPr>
          <w:numId w:val="1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gesammelt und berücksichtigt werden.</w:t>
      </w:r>
    </w:p>
    <w:bookmarkStart w:id="beziehungen-3" w:name="beziehungen-3"/>
    <w:p>
      <w:pPr>
        <w:pStyle w:val="Heading3"/>
      </w:pPr>
      <w:r>
        <w:t xml:space="preserve">Beziehungen</w:t>
      </w:r>
    </w:p>
    <w:bookmarkEnd w:id="beziehungen-3"/>
    <w:p>
      <w:pPr>
        <w:numPr>
          <w:numId w:val="12"/>
          <w:ilvl w:val="0"/>
        </w:numPr>
      </w:pPr>
      <w:r>
        <w:t xml:space="preserve">Jede Organisationen gehört zu einer Gebietskörperschaft.</w:t>
      </w:r>
    </w:p>
    <w:p>
      <w:pPr>
        <w:numPr>
          <w:numId w:val="12"/>
          <w:ilvl w:val="0"/>
        </w:numPr>
      </w:pPr>
      <w:r>
        <w:t xml:space="preserve">Personen können Organisationen angehören (</w:t>
      </w:r>
      <w:r>
        <w:rPr>
          <w:i/>
        </w:rPr>
        <w:t xml:space="preserve">datiert</w:t>
      </w:r>
      <w:r>
        <w:t xml:space="preserve">).</w:t>
      </w:r>
    </w:p>
    <w:bookmarkStart w:id="sitzung" w:name="sitzung"/>
    <w:p>
      <w:pPr>
        <w:pStyle w:val="Heading2"/>
      </w:pPr>
      <w:r>
        <w:t xml:space="preserve">Sitzung</w:t>
      </w:r>
    </w:p>
    <w:bookmarkEnd w:id="sitzung"/>
    <w:p>
      <w:r>
        <w:t xml:space="preserve">Eine Sitzung ist die Versammlung der Mitglieder eines Gremiums zu einem bestimmten Zeitpunkt. Sitzungen können eine laufende Nummer haben.</w:t>
      </w:r>
    </w:p>
    <w:p>
      <w:r>
        <w:t xml:space="preserve">Die geladenen Teilnehmer der Sitzung sind jeweils als „Person“ in entsprechender Form referenziert. Verschiedene Drucksachen (Einladung, Ergebnis- und Wortprotokoll) werden ebenfalls referenziert.</w:t>
      </w:r>
    </w:p>
    <w:bookmarkStart w:id="eigenschaften-4" w:name="eigenschaften-4"/>
    <w:p>
      <w:pPr>
        <w:pStyle w:val="Heading3"/>
      </w:pPr>
      <w:r>
        <w:t xml:space="preserve">Eigenschaften</w:t>
      </w:r>
    </w:p>
    <w:bookmarkEnd w:id="eigenschaften-4"/>
    <w:p>
      <w:pPr>
        <w:pStyle w:val="DefinitionTerm"/>
      </w:pPr>
      <w:r>
        <w:t xml:space="preserve">Kennung</w:t>
      </w:r>
    </w:p>
    <w:p>
      <w:pPr>
        <w:pStyle w:val="Definition"/>
      </w:pPr>
      <w:r>
        <w:t xml:space="preserve">Zur eindeutigen Identifizierung der Sitzung innerhalb einer Gebietskörperschaft. In der Praxis wird eine solche Kennzeichnung entweder durch eine laufende Nummer gebildet, oder durch Kombination mehrerer Merkmale wie dem Kürzel des Gremiums, der laufenden Nummer der Sitzung in einem Jahr und der Jahreszahl (z.B. "BV1/0034/2012").</w:t>
      </w:r>
    </w:p>
    <w:p>
      <w:pPr>
        <w:pStyle w:val="DefinitionTerm"/>
      </w:pPr>
      <w:r>
        <w:t xml:space="preserve">Nummer</w:t>
      </w:r>
    </w:p>
    <w:p>
      <w:pPr>
        <w:pStyle w:val="Definition"/>
      </w:pPr>
      <w:r>
        <w:rPr>
          <w:i/>
        </w:rPr>
        <w:t xml:space="preserve">Optional</w:t>
      </w:r>
      <w:r>
        <w:t xml:space="preserve">. Laufende Nummer der Sitzung, üblicherweise innerhalb der Wahlperiode mit 1 beginnend. In der Praxis wird dadurch z.B. die "2. Sitzung des Rats" gekennzeichnet.</w:t>
      </w:r>
    </w:p>
    <w:p>
      <w:pPr>
        <w:pStyle w:val="DefinitionTerm"/>
      </w:pPr>
      <w:r>
        <w:t xml:space="preserve">Anfang</w:t>
      </w:r>
    </w:p>
    <w:p>
      <w:pPr>
        <w:pStyle w:val="Definition"/>
      </w:pPr>
      <w:r>
        <w:t xml:space="preserve">Datum und Uhrzeit des Anfangs der Sitzung</w:t>
      </w:r>
    </w:p>
    <w:p>
      <w:pPr>
        <w:pStyle w:val="DefinitionTerm"/>
      </w:pPr>
      <w:r>
        <w:t xml:space="preserve">Ende</w:t>
      </w:r>
    </w:p>
    <w:p>
      <w:pPr>
        <w:pStyle w:val="Definition"/>
      </w:pPr>
      <w:r>
        <w:rPr>
          <w:i/>
        </w:rPr>
        <w:t xml:space="preserve">Optional</w:t>
      </w:r>
      <w:r>
        <w:t xml:space="preserve">. Datum und Uhrzeit vom Ende der Sitzung</w:t>
      </w:r>
    </w:p>
    <w:bookmarkStart w:id="anmerkung" w:name="anmerkung"/>
    <w:p>
      <w:pPr>
        <w:pStyle w:val="Heading4"/>
      </w:pPr>
      <w:r>
        <w:t xml:space="preserve">Anmerkung</w:t>
      </w:r>
    </w:p>
    <w:bookmarkEnd w:id="anmerkung"/>
    <w:p>
      <w:pPr>
        <w:numPr>
          <w:numId w:val="13"/>
          <w:ilvl w:val="0"/>
        </w:numPr>
      </w:pPr>
      <w:r>
        <w:t xml:space="preserve">Unklar ist, ob der Anfangszeitpunkt besser durch zwei getrennte Felder kodiert werden sollte: Anfangs-Datum (als Pflichtfeld) und Anfangs-Uhrzeit als optionales Feld. Dadurch könnten zukünftige Sitzungen, deren Uhrzeit noch nicht feststeht, korrekt abgebildet werden. Es müsste geprüft werden, ob dies in der Praxis relevant ist.</w:t>
      </w:r>
    </w:p>
    <w:bookmarkStart w:id="beziehungen-4" w:name="beziehungen-4"/>
    <w:p>
      <w:pPr>
        <w:pStyle w:val="Heading3"/>
      </w:pPr>
      <w:r>
        <w:t xml:space="preserve">Beziehungen</w:t>
      </w:r>
    </w:p>
    <w:bookmarkEnd w:id="beziehungen-4"/>
    <w:p>
      <w:pPr>
        <w:numPr>
          <w:numId w:val="14"/>
          <w:ilvl w:val="0"/>
        </w:numPr>
      </w:pPr>
      <w:r>
        <w:t xml:space="preserve">Sitzungen sind grundsätzlich genau einem Gremium zugeordnet.</w:t>
      </w:r>
    </w:p>
    <w:p>
      <w:pPr>
        <w:numPr>
          <w:numId w:val="14"/>
          <w:ilvl w:val="0"/>
        </w:numPr>
      </w:pPr>
      <w:r>
        <w:t xml:space="preserve">Personen sind Sitzungen zugeordnet, um die Teilnahme an der Sitzung auszudrücken.</w:t>
      </w:r>
    </w:p>
    <w:p>
      <w:pPr>
        <w:numPr>
          <w:numId w:val="14"/>
          <w:ilvl w:val="0"/>
        </w:numPr>
      </w:pPr>
      <w:r>
        <w:t xml:space="preserve">Drucksachen werden vom Typ "Sitzung"</w:t>
      </w:r>
      <w:r>
        <w:t xml:space="preserve"> </w:t>
      </w:r>
      <w:r>
        <w:rPr>
          <w:i/>
        </w:rPr>
        <w:t xml:space="preserve">optional</w:t>
      </w:r>
      <w:r>
        <w:t xml:space="preserve"> </w:t>
      </w:r>
      <w:r>
        <w:t xml:space="preserve">zu mehreren zwecken referenziert:</w:t>
      </w:r>
    </w:p>
    <w:p>
      <w:pPr>
        <w:numPr>
          <w:numId w:val="15"/>
          <w:ilvl w:val="1"/>
        </w:numPr>
      </w:pPr>
      <w:r>
        <w:t xml:space="preserve">Zum Verweis auf die Einladung zur Sitzung</w:t>
      </w:r>
    </w:p>
    <w:p>
      <w:pPr>
        <w:numPr>
          <w:numId w:val="15"/>
          <w:ilvl w:val="1"/>
        </w:numPr>
      </w:pPr>
      <w:r>
        <w:t xml:space="preserve">Zum Verweis auf das Ergebnisprotokoll zur Sitzung</w:t>
      </w:r>
    </w:p>
    <w:p>
      <w:pPr>
        <w:numPr>
          <w:numId w:val="15"/>
          <w:ilvl w:val="1"/>
        </w:numPr>
      </w:pPr>
      <w:r>
        <w:t xml:space="preserve">Zum Verweis auf das Wortprotokoll zur Sitzung</w:t>
      </w:r>
    </w:p>
    <w:bookmarkStart w:id="tagesordnungspunkt" w:name="tagesordnungspunkt"/>
    <w:p>
      <w:pPr>
        <w:pStyle w:val="Heading2"/>
      </w:pPr>
      <w:r>
        <w:t xml:space="preserve">Tagesordnungspunkt</w:t>
      </w:r>
    </w:p>
    <w:bookmarkEnd w:id="tagesordnungspunkt"/>
    <w:p>
      <w:r>
        <w:t xml:space="preserve">Der Tagesordnungspunkt wird für eine bestimmte Sitzung angelegt, erhält eine (innerhalb dieser Sitzung eindeutige) Nummer und einen Titel (Betreff). Nach der Sitzung wird dem Tagesordnungspunkt außerdem ein Ergebnis angehängt. Falls abweichend von der ursprünglichen Beschlussvorlage (z.B. durch Berücksichtigung eines Änderungsantrags) kann ein bestimmter Beschlusstext zu Protokoll gegeben werden. Sofern das Abstimmungsergebnis nicht einstimmig ist, kann es durch mehrere referenzierende Stimmabgaben festgehalten werden.</w:t>
      </w:r>
    </w:p>
    <w:p>
      <w:r>
        <w:t xml:space="preserve">In der Praxis werden die meisten Sitzungen mehrere Tagesordnungspunkte haben.</w:t>
      </w:r>
    </w:p>
    <w:bookmarkStart w:id="eigenschaften-5" w:name="eigenschaften-5"/>
    <w:p>
      <w:pPr>
        <w:pStyle w:val="Heading3"/>
      </w:pPr>
      <w:r>
        <w:t xml:space="preserve">Eigenschaften</w:t>
      </w:r>
    </w:p>
    <w:bookmarkEnd w:id="eigenschaften-5"/>
    <w:p>
      <w:pPr>
        <w:pStyle w:val="DefinitionTerm"/>
      </w:pPr>
      <w:r>
        <w:t xml:space="preserve">Nummer</w:t>
      </w:r>
    </w:p>
    <w:p>
      <w:pPr>
        <w:pStyle w:val="Definition"/>
      </w:pPr>
      <w:r>
        <w:t xml:space="preserve">Beispiel: "1.2.3". Diese Nummer gibt an, in welcher Reihenfolge die Tagesordnungspunkte einer Sitzung behandelt werden. Im Kontext einer Sitzung ist diese Nummer eindeutig.</w:t>
      </w:r>
    </w:p>
    <w:p>
      <w:pPr>
        <w:pStyle w:val="DefinitionTerm"/>
      </w:pPr>
      <w:r>
        <w:t xml:space="preserve">Öffentlich</w:t>
      </w:r>
    </w:p>
    <w:p>
      <w:pPr>
        <w:pStyle w:val="Definition"/>
      </w:pPr>
      <w:r>
        <w:t xml:space="preserve">ja/nein. Kennzeichnet, ob der Tagesordnungspunkt in öffentlicher Sitzung behandelt wird.</w:t>
      </w:r>
    </w:p>
    <w:p>
      <w:pPr>
        <w:pStyle w:val="DefinitionTerm"/>
      </w:pPr>
      <w:r>
        <w:t xml:space="preserve">Titel</w:t>
      </w:r>
    </w:p>
    <w:p>
      <w:pPr>
        <w:pStyle w:val="Definition"/>
      </w:pPr>
      <w:r>
        <w:t xml:space="preserve">Das Thema des Tagesordnungspunktes</w:t>
      </w:r>
    </w:p>
    <w:p>
      <w:pPr>
        <w:pStyle w:val="DefinitionTerm"/>
      </w:pPr>
      <w:r>
        <w:t xml:space="preserve">Ergebnis</w:t>
      </w:r>
    </w:p>
    <w:p>
      <w:pPr>
        <w:pStyle w:val="Definition"/>
      </w:pPr>
      <w:r>
        <w:t xml:space="preserve">Eines aus einer Liste definierter Ergebnisse. Möglich sind: "Unverändert beschlossen", "Geändert beschlossen", "Endgültig abgelehnt", "Zur Kenntnis genommen", "Ohne Votum in nachfolgende Gremien überwiesen"</w:t>
      </w:r>
    </w:p>
    <w:p>
      <w:pPr>
        <w:pStyle w:val="DefinitionTerm"/>
      </w:pPr>
      <w:r>
        <w:t xml:space="preserve">Beschlusstext</w:t>
      </w:r>
    </w:p>
    <w:p>
      <w:pPr>
        <w:pStyle w:val="Definition"/>
      </w:pPr>
      <w:r>
        <w:rPr>
          <w:i/>
        </w:rPr>
        <w:t xml:space="preserve">Optional</w:t>
      </w:r>
      <w:r>
        <w:t xml:space="preserve">. Falls in diesem Tagesordnungspunkt ein Beschluss gefasst wurde, kann der Text hier hinterlegt werden. Das ist besonders dann in de Praxis relevant, wenn der gefasste Beschluss (z.B. durch Änderungsantrag) von der Beschlussvorlage abweicht.</w:t>
      </w:r>
    </w:p>
    <w:bookmarkStart w:id="anmerkungen-3" w:name="anmerkungen-3"/>
    <w:p>
      <w:pPr>
        <w:pStyle w:val="Heading4"/>
      </w:pPr>
      <w:r>
        <w:t xml:space="preserve">Anmerkungen</w:t>
      </w:r>
    </w:p>
    <w:bookmarkEnd w:id="anmerkungen-3"/>
    <w:p>
      <w:pPr>
        <w:numPr>
          <w:numId w:val="16"/>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kann.</w:t>
      </w:r>
    </w:p>
    <w:bookmarkStart w:id="beziehungen-5" w:name="beziehungen-5"/>
    <w:p>
      <w:pPr>
        <w:pStyle w:val="Heading3"/>
      </w:pPr>
      <w:r>
        <w:t xml:space="preserve">Beziehungen</w:t>
      </w:r>
    </w:p>
    <w:bookmarkEnd w:id="beziehungen-5"/>
    <w:p>
      <w:pPr>
        <w:numPr>
          <w:numId w:val="17"/>
          <w:ilvl w:val="0"/>
        </w:numPr>
      </w:pPr>
      <w:r>
        <w:t xml:space="preserve">Es können mehrere Objekte vom Typ "Stimmabgabe" referenziert werden, um das Abstimmungsverhalten von Fraktionen oder Einzelpersonen zu dokumentieren.</w:t>
      </w:r>
    </w:p>
    <w:p>
      <w:pPr>
        <w:numPr>
          <w:numId w:val="17"/>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stimmabgabe" w:name="stimmabgabe"/>
    <w:p>
      <w:pPr>
        <w:pStyle w:val="Heading2"/>
      </w:pPr>
      <w:r>
        <w:t xml:space="preserve">Stimmabgabe</w:t>
      </w:r>
    </w:p>
    <w:bookmarkEnd w:id="stimmabgabe"/>
    <w:p>
      <w:r>
        <w:t xml:space="preserve">Wie eine Person bzw. eine Fraktion zu einem Tagesordnungspunkt abgestimmt hat, wird durch eine Stimmabgabe festgehalten. Ganze Abstimmungsergebnisse bestehen überlicherweise aus mehreren Stimmabgaben. Jede Stimmabgabe gibt entweder die (einzelne) Stimme einer Peson wieder, in diesem Fall ist die Anzahl der Stimmen zwingend 1. Oder eine Stimmabgabe gibt das Abstimmungsverhalten einer ganzen Gruppe von Personen wieder. Dann ist die Anzahl der Stimmen anzugeben und statt einer Person eine Organisation (in der Regel die Fraktion) zu referenzieren.</w:t>
      </w:r>
    </w:p>
    <w:bookmarkStart w:id="eigenschaften-6" w:name="eigenschaften-6"/>
    <w:p>
      <w:pPr>
        <w:pStyle w:val="Heading3"/>
      </w:pPr>
      <w:r>
        <w:t xml:space="preserve">Eigenschaften</w:t>
      </w:r>
    </w:p>
    <w:bookmarkEnd w:id="eigenschaften-6"/>
    <w:p>
      <w:pPr>
        <w:pStyle w:val="DefinitionTerm"/>
      </w:pPr>
      <w:r>
        <w:t xml:space="preserve">Anzahl der Stimmen</w:t>
      </w:r>
    </w:p>
    <w:p>
      <w:pPr>
        <w:pStyle w:val="Definition"/>
      </w:pPr>
      <w:r>
        <w:t xml:space="preserve">Gehört die Stimmabgabe zu einer Person, ist der Wert immer 1. Gehört sie jedoch zu einer Organisation (=Fraktion), kann der Wert hier größer als 1 sein.</w:t>
      </w:r>
    </w:p>
    <w:p>
      <w:pPr>
        <w:pStyle w:val="DefinitionTerm"/>
      </w:pPr>
      <w:r>
        <w:t xml:space="preserve">Votum</w:t>
      </w:r>
    </w:p>
    <w:p>
      <w:pPr>
        <w:pStyle w:val="Definition"/>
      </w:pPr>
      <w:r>
        <w:t xml:space="preserve">Einer der drei Werte "ja" (gleichbedeutend mit "dafür"), "nein" ("dagegen") oder "Enthaltung".</w:t>
      </w:r>
    </w:p>
    <w:bookmarkStart w:id="beziehungen-6" w:name="beziehungen-6"/>
    <w:p>
      <w:pPr>
        <w:pStyle w:val="Heading3"/>
      </w:pPr>
      <w:r>
        <w:t xml:space="preserve">Beziehungen</w:t>
      </w:r>
    </w:p>
    <w:bookmarkEnd w:id="beziehungen-6"/>
    <w:p>
      <w:pPr>
        <w:numPr>
          <w:numId w:val="18"/>
          <w:ilvl w:val="0"/>
        </w:numPr>
      </w:pPr>
      <w:r>
        <w:t xml:space="preserve">Jede Stimmabgabe gehört zu genau einem Tagesordnungspunkt.</w:t>
      </w:r>
    </w:p>
    <w:p>
      <w:pPr>
        <w:numPr>
          <w:numId w:val="18"/>
          <w:ilvl w:val="0"/>
        </w:numPr>
      </w:pPr>
      <w:r>
        <w:t xml:space="preserve">Es wird entweder genau eine Person oder genau eine Organisation (Fraktion) referenziert, die die Stimme(n) abgegeben hat.</w:t>
      </w:r>
    </w:p>
    <w:bookmarkStart w:id="drucksache" w:name="drucksache"/>
    <w:p>
      <w:pPr>
        <w:pStyle w:val="Heading2"/>
      </w:pPr>
      <w:r>
        <w:t xml:space="preserve">Drucksache</w:t>
      </w:r>
    </w:p>
    <w:bookmarkEnd w:id="drucksache"/>
    <w:p>
      <w:r>
        <w:t xml:space="preserve">Eine Drucksache bildet Mitteilungen, Antworten auf Anfragen, Beschlussvorlagen, Anfragen und Anträge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numPr>
          <w:numId w:val="19"/>
          <w:ilvl w:val="0"/>
        </w:numPr>
      </w:pPr>
      <w:r>
        <w:rPr>
          <w:b/>
        </w:rPr>
        <w:t xml:space="preserve">Beschlussvorlage</w:t>
      </w:r>
      <w:r>
        <w:t xml:space="preserve">: Entscheidungsvorschlag der Verwaltung</w:t>
      </w:r>
    </w:p>
    <w:p>
      <w:pPr>
        <w:numPr>
          <w:numId w:val="19"/>
          <w:ilvl w:val="0"/>
        </w:numPr>
      </w:pPr>
      <w:r>
        <w:rPr>
          <w:b/>
        </w:rPr>
        <w:t xml:space="preserve">Antrag</w:t>
      </w:r>
      <w:r>
        <w:t xml:space="preserve">: Entscheidungsvorschlag einer Fraktionen bzw. mehrerer Fraktionen oder einer/mehrerer Einzelperson/en</w:t>
      </w:r>
    </w:p>
    <w:p>
      <w:pPr>
        <w:numPr>
          <w:numId w:val="19"/>
          <w:ilvl w:val="0"/>
        </w:numPr>
      </w:pPr>
      <w:r>
        <w:rPr>
          <w:b/>
        </w:rPr>
        <w:t xml:space="preserve">Anfrage</w:t>
      </w:r>
      <w:r>
        <w:t xml:space="preserve">: Frage(n) einer oder mehrerer Fraktion oder Einzelpersonen an die Verwaltung</w:t>
      </w:r>
    </w:p>
    <w:p>
      <w:pPr>
        <w:numPr>
          <w:numId w:val="19"/>
          <w:ilvl w:val="0"/>
        </w:numPr>
      </w:pPr>
      <w:r>
        <w:rPr>
          <w:b/>
        </w:rPr>
        <w:t xml:space="preserve">Mitteilung/Stellungnahme der Verwaltung</w:t>
      </w:r>
      <w:r>
        <w:t xml:space="preserve">: Eine Information der Verwaltung an einzelne oder mehrere Gremien. Darunter fallen nicht Beantwortungen von Anfragen.</w:t>
      </w:r>
    </w:p>
    <w:p>
      <w:pPr>
        <w:numPr>
          <w:numId w:val="19"/>
          <w:ilvl w:val="0"/>
        </w:numPr>
      </w:pPr>
      <w:r>
        <w:rPr>
          <w:b/>
        </w:rPr>
        <w:t xml:space="preserve">Beantwortung einer Anfrage</w:t>
      </w:r>
      <w:r>
        <w:t xml:space="preserve">: Antwort der Verwaltung auf (mündliche oder schriftliche) Anfragen</w:t>
      </w:r>
    </w:p>
    <w:bookmarkStart w:id="eigenschaften-7" w:name="eigenschaften-7"/>
    <w:p>
      <w:pPr>
        <w:pStyle w:val="Heading3"/>
      </w:pPr>
      <w:r>
        <w:t xml:space="preserve">Eigenschaften</w:t>
      </w:r>
    </w:p>
    <w:bookmarkEnd w:id="eigenschaften-7"/>
    <w:p>
      <w:pPr>
        <w:pStyle w:val="DefinitionTerm"/>
      </w:pPr>
      <w:r>
        <w:t xml:space="preserve">Kennung</w:t>
      </w:r>
    </w:p>
    <w:p>
      <w:pPr>
        <w:pStyle w:val="Definition"/>
      </w:pPr>
      <w:r>
        <w:t xml:space="preserve">Die Kennung einer Drucksache muss für die jeweilige Gebietskörperschaft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w:t>
      </w:r>
    </w:p>
    <w:p>
      <w:pPr>
        <w:pStyle w:val="Definition"/>
      </w:pPr>
      <w:r>
        <w:t xml:space="preserve">Datum der Veröffentlichung</w:t>
      </w:r>
    </w:p>
    <w:p>
      <w:pPr>
        <w:pStyle w:val="DefinitionTerm"/>
      </w:pPr>
      <w:r>
        <w:t xml:space="preserve">Typ</w:t>
      </w:r>
    </w:p>
    <w:p>
      <w:pPr>
        <w:pStyle w:val="Definition"/>
      </w:pPr>
      <w:r>
        <w:t xml:space="preserve">Art der Drucksache (Erläuterung siehe oben)</w:t>
      </w:r>
    </w:p>
    <w:bookmarkStart w:id="beziehungen-7" w:name="beziehungen-7"/>
    <w:p>
      <w:pPr>
        <w:pStyle w:val="Heading3"/>
      </w:pPr>
      <w:r>
        <w:t xml:space="preserve">Beziehungen</w:t>
      </w:r>
    </w:p>
    <w:bookmarkEnd w:id="beziehungen-7"/>
    <w:p>
      <w:pPr>
        <w:numPr>
          <w:numId w:val="20"/>
          <w:ilvl w:val="0"/>
        </w:numPr>
      </w:pPr>
      <w:r>
        <w:t xml:space="preserve">Es muss genau ein</w:t>
      </w:r>
      <w:r>
        <w:t xml:space="preserve"> </w:t>
      </w:r>
      <w:r>
        <w:rPr>
          <w:b/>
        </w:rPr>
        <w:t xml:space="preserve">Hauptdokument</w:t>
      </w:r>
      <w:r>
        <w:t xml:space="preserve"> </w:t>
      </w:r>
      <w:r>
        <w:t xml:space="preserve">(Objekttyp "Dokument") referenziert werden.</w:t>
      </w:r>
    </w:p>
    <w:p>
      <w:pPr>
        <w:numPr>
          <w:numId w:val="20"/>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20"/>
          <w:ilvl w:val="0"/>
        </w:numPr>
      </w:pPr>
      <w:r>
        <w:t xml:space="preserve">Es kann ein</w:t>
      </w:r>
      <w:r>
        <w:t xml:space="preserve"> </w:t>
      </w:r>
      <w:r>
        <w:rPr>
          <w:b/>
        </w:rPr>
        <w:t xml:space="preserve">Gremium</w:t>
      </w:r>
      <w:r>
        <w:t xml:space="preserve"> </w:t>
      </w:r>
      <w:r>
        <w:t xml:space="preserve">genannt werden, dem die Drucksache zuzuordnen ist. Hier ist zu klären, inwiefern dies für einzelne Typen von Drucksachen verpflichten sein sollte. So sollte beispielsweise eine Anfrage grundsätzlich aus einem Gremium (z.B. Gemeinderat) stammen.</w:t>
      </w:r>
    </w:p>
    <w:p>
      <w:pPr>
        <w:numPr>
          <w:numId w:val="20"/>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Ihrheber verknüpft werden.</w:t>
      </w:r>
    </w:p>
    <w:p>
      <w:pPr>
        <w:numPr>
          <w:numId w:val="20"/>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20"/>
          <w:ilvl w:val="0"/>
        </w:numPr>
      </w:pPr>
      <w:r>
        <w:t xml:space="preserve">Beim Drucksachen-Typ "Beantwortung einer Anfrage" ist die Drucksache zu referenzieren, die die ursprüngliche</w:t>
      </w:r>
      <w:r>
        <w:t xml:space="preserve"> </w:t>
      </w:r>
      <w:r>
        <w:rPr>
          <w:b/>
        </w:rPr>
        <w:t xml:space="preserve">Anfrage</w:t>
      </w:r>
      <w:r>
        <w:t xml:space="preserve"> </w:t>
      </w:r>
      <w:r>
        <w:t xml:space="preserve">beinhaltet.</w:t>
      </w:r>
    </w:p>
    <w:p>
      <w:pPr>
        <w:numPr>
          <w:numId w:val="20"/>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Rollenbezeichnung versehen sein, die noch näher zu bestimmen ist (TODO).</w:t>
      </w:r>
    </w:p>
    <w:bookmarkStart w:id="dokument" w:name="dokument"/>
    <w:p>
      <w:pPr>
        <w:pStyle w:val="Heading2"/>
      </w:pPr>
      <w:r>
        <w:t xml:space="preserve">Dokument</w:t>
      </w:r>
    </w:p>
    <w:bookmarkEnd w:id="dokument"/>
    <w:p>
      <w:r>
        <w:t xml:space="preserve">Ein Dokument hält die Daten und Metadaten einer Datei vor, beispielsweise einer PDF-Datei, eines RTF- oder Word-Dokuments. Wird von einem Word-Dokument eine PDF-Ableitung hinterlegt, ist diese Ableitung ebenfalls ein Dokument, das jedoch nicht als Master gekennzeichnet wird, sondern auf den entsprechenden Master verweist.</w:t>
      </w:r>
    </w:p>
    <w:p>
      <w:r>
        <w:t xml:space="preserve">Im Unterschied zur Drucksache benötigt das Dokument keine nutzerfreundliche Kennung.</w:t>
      </w:r>
    </w:p>
    <w:bookmarkStart w:id="eigenschaften-8" w:name="eigenschaften-8"/>
    <w:p>
      <w:pPr>
        <w:pStyle w:val="Heading3"/>
      </w:pPr>
      <w:r>
        <w:t xml:space="preserve">Eigenschaften</w:t>
      </w:r>
    </w:p>
    <w:bookmarkEnd w:id="eigenschaften-8"/>
    <w:p>
      <w:pPr>
        <w:pStyle w:val="DefinitionTerm"/>
      </w:pPr>
      <w:r>
        <w:t xml:space="preserve">Kennung</w:t>
      </w:r>
    </w:p>
    <w:p>
      <w:pPr>
        <w:pStyle w:val="Definition"/>
      </w:pPr>
      <w:r>
        <w:t xml:space="preserve">Unveränderliche Kennung</w:t>
      </w:r>
    </w:p>
    <w:p>
      <w:pPr>
        <w:pStyle w:val="DefinitionTerm"/>
      </w:pPr>
      <w:r>
        <w:t xml:space="preserve">Titel</w:t>
      </w:r>
    </w:p>
    <w:p>
      <w:pPr>
        <w:pStyle w:val="Definition"/>
      </w:pPr>
      <w:r>
        <w:t xml:space="preserve">Nutzerfreundliche Bezeichnung des Dokuments</w:t>
      </w:r>
    </w:p>
    <w:p>
      <w:pPr>
        <w:pStyle w:val="DefinitionTerm"/>
      </w:pPr>
      <w:r>
        <w:t xml:space="preserve">Dateityp</w:t>
      </w:r>
    </w:p>
    <w:p>
      <w:pPr>
        <w:pStyle w:val="Definition"/>
      </w:pPr>
      <w:r>
        <w:t xml:space="preserve">Mime-Typ des Inhalts, z.B. "application/x-pdf"</w:t>
      </w:r>
    </w:p>
    <w:p>
      <w:pPr>
        <w:pStyle w:val="DefinitionTerm"/>
      </w:pPr>
      <w:r>
        <w:t xml:space="preserve">Veröffentlichungsdatum</w:t>
      </w:r>
    </w:p>
    <w:p>
      <w:pPr>
        <w:pStyle w:val="Definition"/>
      </w:pPr>
      <w:r>
        <w:t xml:space="preserve">Datum des Tages, an dem das Dokument ins System eingestellt wurde</w:t>
      </w:r>
    </w:p>
    <w:p>
      <w:pPr>
        <w:pStyle w:val="DefinitionTerm"/>
      </w:pPr>
      <w:r>
        <w:t xml:space="preserve">Änderungsdatum und -uhrzeit</w:t>
      </w:r>
    </w:p>
    <w:p>
      <w:pPr>
        <w:pStyle w:val="Definition"/>
      </w:pPr>
      <w:r>
        <w:t xml:space="preserve">Datum und Uhrzeit der letzten Änderung des Dokuments</w:t>
      </w:r>
    </w:p>
    <w:p>
      <w:pPr>
        <w:pStyle w:val="DefinitionTerm"/>
      </w:pPr>
      <w:r>
        <w:t xml:space="preserve">Prüfsumme</w:t>
      </w:r>
    </w:p>
    <w:p>
      <w:pPr>
        <w:pStyle w:val="Definition"/>
      </w:pPr>
      <w:r>
        <w:t xml:space="preserve">SHA1-Prüfsumme des Dokumenteninhalts</w:t>
      </w:r>
    </w:p>
    <w:p>
      <w:pPr>
        <w:pStyle w:val="DefinitionTerm"/>
      </w:pPr>
      <w:r>
        <w:t xml:space="preserve">Daten</w:t>
      </w:r>
    </w:p>
    <w:p>
      <w:pPr>
        <w:pStyle w:val="Definition"/>
      </w:pPr>
      <w:r>
        <w:t xml:space="preserve">Der eigentliche (Binär-)Inhalt des Dokuments</w:t>
      </w:r>
    </w:p>
    <w:p>
      <w:pPr>
        <w:pStyle w:val="DefinitionTerm"/>
      </w:pPr>
      <w:r>
        <w:t xml:space="preserve">Nur-Text-Version</w:t>
      </w:r>
    </w:p>
    <w:p>
      <w:pPr>
        <w:pStyle w:val="Definition"/>
      </w:pPr>
      <w:r>
        <w:t xml:space="preserve">Reine Text-Wiedergabe des Dokumenteninhalts, sofern es sich um ein Textdokument handelt.</w:t>
      </w:r>
    </w:p>
    <w:bookmarkStart w:id="beziehungen-8" w:name="beziehungen-8"/>
    <w:p>
      <w:pPr>
        <w:pStyle w:val="Heading3"/>
      </w:pPr>
      <w:r>
        <w:t xml:space="preserve">Beziehungen</w:t>
      </w:r>
    </w:p>
    <w:bookmarkEnd w:id="beziehungen-8"/>
    <w:p>
      <w:pPr>
        <w:numPr>
          <w:numId w:val="21"/>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21"/>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bookmarkStart w:id="ort" w:name="ort"/>
    <w:p>
      <w:pPr>
        <w:pStyle w:val="Heading2"/>
      </w:pPr>
      <w:r>
        <w:t xml:space="preserve">Ort</w:t>
      </w:r>
    </w:p>
    <w:bookmarkEnd w:id="ort"/>
    <w:p>
      <w:r>
        <w:t xml:space="preserve">Dieser Objekttyp dient dazu, einen Ortsbezug einer Drucksache formal abzubilden. Ortsangaben können sowohl aus Textinformationen bestehen (beispielsweise der Name einer Straße/eines Platzes oder eine genaue Adresse) oder aus einer Geo-Koordinatenangabe aus Längen- und Breitengrad.</w:t>
      </w:r>
    </w:p>
    <w:p>
      <w:r>
        <w:t xml:space="preserve">Bislang finden sich nur beim Bonner System Beispiele für Ortsangaben.</w:t>
      </w:r>
    </w:p>
    <w:bookmarkStart w:id="eigenschaften-9" w:name="eigenschaften-9"/>
    <w:p>
      <w:pPr>
        <w:pStyle w:val="Heading3"/>
      </w:pPr>
      <w:r>
        <w:t xml:space="preserve">Eigenschaften</w:t>
      </w:r>
    </w:p>
    <w:bookmarkEnd w:id="eigenschaften-9"/>
    <w:p>
      <w:pPr>
        <w:pStyle w:val="DefinitionTerm"/>
      </w:pPr>
      <w:r>
        <w:t xml:space="preserve">Textanabe</w:t>
      </w:r>
    </w:p>
    <w:p>
      <w:pPr>
        <w:pStyle w:val="Definition"/>
      </w:pPr>
      <w:r>
        <w:rPr>
          <w:i/>
        </w:rPr>
        <w:t xml:space="preserve">Optional.</w:t>
      </w:r>
      <w:r>
        <w:t xml:space="preserve"> </w:t>
      </w:r>
      <w:r>
        <w:t xml:space="preserve">Textliche Beschreibung eines Orts, z.B. in Form einer Adresse</w:t>
      </w:r>
    </w:p>
    <w:p>
      <w:pPr>
        <w:pStyle w:val="DefinitionTerm"/>
      </w:pPr>
      <w:r>
        <w:t xml:space="preserve">Längen- und Breitenangabe</w:t>
      </w:r>
    </w:p>
    <w:p>
      <w:pPr>
        <w:pStyle w:val="Definition"/>
      </w:pPr>
      <w:r>
        <w:rPr>
          <w:i/>
        </w:rPr>
        <w:t xml:space="preserve">Optional.</w:t>
      </w:r>
      <w:r>
        <w:t xml:space="preserve"> </w:t>
      </w:r>
      <w:r>
        <w:t xml:space="preserve">Längen- und Breitenangabe des Orts im WGS-84-System [11]</w:t>
      </w:r>
    </w:p>
    <w:bookmarkStart w:id="eigenschaften-10" w:name="eigenschaften-10"/>
    <w:p>
      <w:pPr>
        <w:pStyle w:val="Heading3"/>
      </w:pPr>
      <w:r>
        <w:t xml:space="preserve">Eigenschaften</w:t>
      </w:r>
    </w:p>
    <w:bookmarkEnd w:id="eigenschaften-10"/>
    <w:p>
      <w:pPr>
        <w:numPr>
          <w:numId w:val="22"/>
          <w:ilvl w:val="0"/>
        </w:numPr>
      </w:pPr>
      <w:r>
        <w:t xml:space="preserve">Orte können mit Drucksachen in Verbindung stehen.</w:t>
      </w:r>
    </w:p>
    <w:bookmarkStart w:id="glossar" w:name="glossar"/>
    <w:p>
      <w:pPr>
        <w:pStyle w:val="Heading1"/>
      </w:pPr>
      <w:r>
        <w:t xml:space="preserve">Glossar</w:t>
      </w:r>
    </w:p>
    <w:bookmarkEnd w:id="glossar"/>
    <w:p>
      <w:pPr>
        <w:pStyle w:val="DefinitionTerm"/>
      </w:pPr>
      <w:r>
        <w:t xml:space="preserve">AGS</w:t>
      </w:r>
    </w:p>
    <w:p>
      <w:pPr>
        <w:pStyle w:val="Definition"/>
      </w:pPr>
      <w:r>
        <w:t xml:space="preserve">Amtlicher Gemeindeschlüssel</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www.destatis.de/...</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http://www.berlin.de/ba-mitte/...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http://212.227.97.55/ratsinfo/...</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p>
      <w:r>
        <w:t xml:space="preserve">[10]: BoRis, Ratsinformationssystem der Stadt Bonn (Eigenentwicklung).</w:t>
      </w:r>
      <w:r>
        <w:t xml:space="preserve"> </w:t>
      </w:r>
      <w:hyperlink r:id="link10">
        <w:r>
          <w:rPr>
            <w:rStyle w:val="Hyperlink"/>
          </w:rPr>
          <w:t xml:space="preserve">http://www2.bonn.de/bo_ris/ris_sql/agm_index.asp</w:t>
        </w:r>
      </w:hyperlink>
    </w:p>
    <w:p>
      <w:r>
        <w:t xml:space="preserve">[11]: World Geodetic System 1984 (EPSG:4326), wird unter anderem auch vom Global Positioning System (GPS) verwendet.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hyperlink" Id="link6" Target="http://212.227.97.55/ratsinfo/roesrath" TargetMode="External" /><Relationship Type="http://schemas.openxmlformats.org/officeDocument/2006/relationships/hyperlink" Id="link2" Target="http://ratsinformation.stadt-koeln.de/"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10" Target="http://www2.bonn.de/bo_ris/ris_sql/agm_index.asp" TargetMode="External" /><Relationship Type="http://schemas.openxmlformats.org/officeDocument/2006/relationships/hyperlink" Id="link8" Target="https://sitzungsdienst.euskirchen.de/" TargetMode="External" /><Relationship Type="http://schemas.openxmlformats.org/officeDocument/2006/relationships/hyperlink" Id="link1" Target="https://www.destatis.de/DE/Methoden/Klassifikationen/Bevoelkerung/StaatsangehoerigkeitGebietsschluessel.html" TargetMode="External" /><Relationship Type="http://schemas.openxmlformats.org/officeDocument/2006/relationships/hyperlink" Id="link0" Target="mailto:marian@sendun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eines Standards für Datenmodell und Zugriffs-Protokoll für offene Ratsinformationssysteme</dc:title>
  <dcterms:created xsi:type="dcterms:W3CDTF"/>
  <dcterms:modified xsi:type="dcterms:W3CDTF"/>
  <dc:creator>Marian Steinbach marian@sendung.de</dc:creator>
</cp:coreProperties>
</file>