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körperschaft-body" w:name="körperschaft-body"/>
    <w:p>
      <w:pPr>
        <w:pStyle w:val="Heading2"/>
      </w:pPr>
      <w:r>
        <w:t xml:space="preserve">Körperschaft (</w:t>
      </w:r>
      <w:r>
        <w:rPr>
          <w:i/>
        </w:rPr>
        <w:t xml:space="preserve">body</w:t>
      </w:r>
      <w:r>
        <w:t xml:space="preserve">)</w:t>
      </w:r>
    </w:p>
    <w:bookmarkEnd w:id="körperschaft-body"/>
    <w:p>
      <w:r>
        <w:t xml:space="preserve">Die Körperschaft erlaubt es, den Betreiber bzw. Eigentümer des Informationssystems wie zum Beispiel einen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Körperschaft</w:t>
      </w:r>
    </w:p>
    <w:bookmarkStart w:id="eindeutige-identifizierung" w:name="eindeutige-identifizierung"/>
    <w:p>
      <w:pPr>
        <w:pStyle w:val="Heading3"/>
      </w:pPr>
      <w:r>
        <w:t xml:space="preserve">Eindeutige Identifizierung</w:t>
      </w:r>
    </w:p>
    <w:bookmarkEnd w:id="eindeutige-identifizierung"/>
    <w:p>
      <w:r>
        <w:t xml:space="preserve">Handelt es sich beim Betreiber des Systems um eine Gebietskörperschaft (Landkreis, Kommune etc.), soll für die eindeutige Identifizierung der Regionalschlüssel[1] verwendet werden.</w:t>
      </w:r>
    </w:p>
    <w:p>
      <w:r>
        <w:t xml:space="preserve">Darüber hinaus soll zusätzlich, sofern vorhanden, die eindeutige Kennung der Körperschaft aus der GND[12] verwendet werden.</w:t>
      </w:r>
    </w:p>
    <w:p>
      <w:r>
        <w:t xml:space="preserve">Als dritte Möglichkeit, die Körperschaft zu identifizieren, kann eine aussagekräftigen URL, unter der weitere Informationen zur Körperschaft zu finden sind, genannt werden.</w:t>
      </w:r>
    </w:p>
    <w:p>
      <w:r>
        <w:t xml:space="preserve">Sämtliche hier genannten Methoden zur Identifizierung können kombiniert werden.</w:t>
      </w:r>
    </w:p>
    <w:bookmarkStart w:id="eigenschaften" w:name="eigenschaften"/>
    <w:p>
      <w:pPr>
        <w:pStyle w:val="Heading3"/>
      </w:pPr>
      <w:r>
        <w:t xml:space="preserve">Eigenschaften</w:t>
      </w:r>
    </w:p>
    <w:bookmarkEnd w:id="eigenschaften"/>
    <w:p>
      <w:pPr>
        <w:pStyle w:val="DefinitionTerm"/>
      </w:pPr>
      <w:r>
        <w:t xml:space="preserve">Name (</w:t>
      </w:r>
      <w:r>
        <w:rPr>
          <w:i/>
        </w:rPr>
        <w:t xml:space="preserve">name</w:t>
      </w:r>
      <w:r>
        <w:t xml:space="preserve">)</w:t>
      </w:r>
    </w:p>
    <w:p>
      <w:pPr>
        <w:pStyle w:val="Definition"/>
      </w:pPr>
      <w:r>
        <w:t xml:space="preserve">Der Name der Körperschaft, z.B. "Stadt Köln"</w:t>
      </w:r>
    </w:p>
    <w:p>
      <w:pPr>
        <w:pStyle w:val="DefinitionTerm"/>
      </w:pPr>
      <w:r>
        <w:t xml:space="preserve">Regionalschlüssel (</w:t>
      </w:r>
      <w:r>
        <w:rPr>
          <w:i/>
        </w:rPr>
        <w:t xml:space="preserve">regionalschluessel</w:t>
      </w:r>
      <w:r>
        <w:t xml:space="preserve">)</w:t>
      </w:r>
    </w:p>
    <w:p>
      <w:pPr>
        <w:pStyle w:val="Definition"/>
      </w:pPr>
      <w:r>
        <w:rPr>
          <w:i/>
        </w:rPr>
        <w:t xml:space="preserve">Optional</w:t>
      </w:r>
      <w:r>
        <w:t xml:space="preserve">. Regionalschlüssel der Gebietskörperschaft, z.B. "053150000000". Muss grundsätzlich 12-stellig angegeben werden.</w:t>
      </w:r>
    </w:p>
    <w:p>
      <w:pPr>
        <w:pStyle w:val="DefinitionTerm"/>
      </w:pPr>
      <w:r>
        <w:t xml:space="preserve">GND URL (</w:t>
      </w:r>
      <w:r>
        <w:rPr>
          <w:i/>
        </w:rPr>
        <w:t xml:space="preserve">gnd_url</w:t>
      </w:r>
      <w:r>
        <w:t xml:space="preserve">)</w:t>
      </w:r>
    </w:p>
    <w:p>
      <w:pPr>
        <w:pStyle w:val="Definition"/>
      </w:pPr>
      <w:r>
        <w:rPr>
          <w:i/>
        </w:rPr>
        <w:t xml:space="preserve">Optional</w:t>
      </w:r>
      <w:r>
        <w:t xml:space="preserve">. URL des Eintrags in der GND, z.B. "http://d-nb.info/gnd/2015732-0"</w:t>
      </w:r>
    </w:p>
    <w:p>
      <w:pPr>
        <w:pStyle w:val="DefinitionTerm"/>
      </w:pPr>
      <w:r>
        <w:t xml:space="preserve">URL (</w:t>
      </w:r>
      <w:r>
        <w:rPr>
          <w:i/>
        </w:rPr>
        <w:t xml:space="preserve">url</w:t>
      </w:r>
      <w:r>
        <w:t xml:space="preserve">)</w:t>
      </w:r>
    </w:p>
    <w:p>
      <w:pPr>
        <w:pStyle w:val="Definition"/>
      </w:pPr>
      <w:r>
        <w:rPr>
          <w:i/>
        </w:rPr>
        <w:t xml:space="preserve">Optional</w:t>
      </w:r>
      <w:r>
        <w:t xml:space="preserve">. URL zu Informationen über die Körperschaft, z.B. "http://www.stadt-koeln.de/"</w:t>
      </w:r>
    </w:p>
    <w:p>
      <w:pPr>
        <w:pStyle w:val="DefinitionTerm"/>
      </w:pPr>
      <w:r>
        <w:t xml:space="preserve">Lizenz (</w:t>
      </w:r>
      <w:r>
        <w:rPr>
          <w:i/>
        </w:rPr>
        <w:t xml:space="preserve">license_url</w:t>
      </w:r>
      <w:r>
        <w:t xml:space="preserve">)</w:t>
      </w:r>
    </w:p>
    <w:p>
      <w:pPr>
        <w:pStyle w:val="Definition"/>
      </w:pPr>
      <w:r>
        <w:rPr>
          <w:i/>
        </w:rPr>
        <w:t xml:space="preserve">Optional</w:t>
      </w:r>
      <w:r>
        <w:t xml:space="preserve">. URL der Lizenz, unter der die Daten, die über die API abgerufen werden können, stehen.</w:t>
      </w:r>
    </w:p>
    <w:p>
      <w:pPr>
        <w:pStyle w:val="DefinitionTerm"/>
      </w:pPr>
      <w:r>
        <w:t xml:space="preserve">Betreiber-Kontakt (</w:t>
      </w:r>
      <w:r>
        <w:rPr>
          <w:i/>
        </w:rPr>
        <w:t xml:space="preserve">operator_contact</w:t>
      </w:r>
      <w:r>
        <w:t xml:space="preserve">)</w:t>
      </w:r>
    </w:p>
    <w:p>
      <w:pPr>
        <w:pStyle w:val="Definition"/>
      </w:pPr>
      <w:r>
        <w:rPr>
          <w:i/>
        </w:rPr>
        <w:t xml:space="preserve">Optional</w:t>
      </w:r>
      <w:r>
        <w:t xml:space="preserve">. Kontaktinformationen für die direkte Kontaktaufnahme zum Betreiber der API.</w:t>
      </w:r>
    </w:p>
    <w:bookmarkStart w:id="beziehungen" w:name="beziehungen"/>
    <w:p>
      <w:pPr>
        <w:pStyle w:val="Heading3"/>
      </w:pPr>
      <w:r>
        <w:t xml:space="preserve">Beziehungen</w:t>
      </w:r>
    </w:p>
    <w:bookmarkEnd w:id="beziehungen"/>
    <w:p>
      <w:pPr>
        <w:numPr>
          <w:numId w:val="6"/>
          <w:ilvl w:val="0"/>
        </w:numPr>
      </w:pPr>
      <w:r>
        <w:t xml:space="preserve">Objekte vom Typ "Organisation" sind zwingend genau einer Körperschaft zugeordnet. So wird beispielseise eine SPD in Köln von einer SPD in Leverkusen unterschieden.</w:t>
      </w:r>
    </w:p>
    <w:p>
      <w:pPr>
        <w:numPr>
          <w:numId w:val="6"/>
          <w:ilvl w:val="0"/>
        </w:numPr>
      </w:pPr>
      <w:r>
        <w:t xml:space="preserve">Objekte vom Typ "Gremium" sind zwingend genau einer Körperschaft zugeordnet. Damit wird der "Rat" einer bestimmten Kommune von den gleichnamigen Gremien anderer Kommunen abgegrenzt.</w:t>
      </w:r>
    </w:p>
    <w:bookmarkStart w:id="beispiel" w:name="beispiel"/>
    <w:p>
      <w:pPr>
        <w:pStyle w:val="Heading3"/>
      </w:pPr>
      <w:r>
        <w:t xml:space="preserve">Beispiel</w:t>
      </w:r>
    </w:p>
    <w:bookmarkEnd w:id="beispiel"/>
    <w:p>
      <w:pPr>
        <w:pStyle w:val="SourceCode"/>
      </w:pP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"Stadt Köln"</w:t>
      </w:r>
      <w:r>
        <w:rPr>
          <w:rStyle w:val="NormalTok"/>
        </w:rPr>
        <w:t xml:space="preserve">,</w:t>
      </w:r>
      <w:br/>
      <w:r>
        <w:rPr>
          <w:rStyle w:val="NormalTok"/>
        </w:rPr>
        <w:t xml:space="preserve">    </w:t>
      </w:r>
      <w:r>
        <w:rPr>
          <w:rStyle w:val="DataTypeTok"/>
        </w:rPr>
        <w:t xml:space="preserve">"regionalschluessel"</w:t>
      </w:r>
      <w:r>
        <w:rPr>
          <w:rStyle w:val="NormalTok"/>
        </w:rPr>
        <w:t xml:space="preserve">: </w:t>
      </w:r>
      <w:r>
        <w:rPr>
          <w:rStyle w:val="StringTok"/>
        </w:rPr>
        <w:t xml:space="preserve">"053150000000"</w:t>
      </w:r>
      <w:r>
        <w:rPr>
          <w:rStyle w:val="NormalTok"/>
        </w:rPr>
        <w:t xml:space="preserve">,</w:t>
      </w:r>
      <w:br/>
      <w:r>
        <w:rPr>
          <w:rStyle w:val="NormalTok"/>
        </w:rPr>
        <w:t xml:space="preserve">    </w:t>
      </w:r>
      <w:r>
        <w:rPr>
          <w:rStyle w:val="DataTypeTok"/>
        </w:rPr>
        <w:t xml:space="preserve">"gnd_url"</w:t>
      </w:r>
      <w:r>
        <w:rPr>
          <w:rStyle w:val="NormalTok"/>
        </w:rPr>
        <w:t xml:space="preserve">: </w:t>
      </w:r>
      <w:r>
        <w:rPr>
          <w:rStyle w:val="StringTok"/>
        </w:rPr>
        <w:t xml:space="preserve">"http://d-nb.info/gnd/2015732-0"</w:t>
      </w:r>
      <w:r>
        <w:rPr>
          <w:rStyle w:val="NormalTok"/>
        </w:rPr>
        <w:t xml:space="preserve">,</w:t>
      </w:r>
      <w:br/>
      <w:r>
        <w:rPr>
          <w:rStyle w:val="NormalTok"/>
        </w:rPr>
        <w:t xml:space="preserve">    </w:t>
      </w:r>
      <w:r>
        <w:rPr>
          <w:rStyle w:val="DataTypeTok"/>
        </w:rPr>
        <w:t xml:space="preserve">"url"</w:t>
      </w:r>
      <w:r>
        <w:rPr>
          <w:rStyle w:val="NormalTok"/>
        </w:rPr>
        <w:t xml:space="preserve">: </w:t>
      </w:r>
      <w:r>
        <w:rPr>
          <w:rStyle w:val="StringTok"/>
        </w:rPr>
        <w:t xml:space="preserve">"http://www.stadt-koeln.de/"</w:t>
      </w:r>
      <w:r>
        <w:rPr>
          <w:rStyle w:val="NormalTok"/>
        </w:rPr>
        <w:t xml:space="preserve">,</w:t>
      </w:r>
      <w:br/>
      <w:r>
        <w:rPr>
          <w:rStyle w:val="NormalTok"/>
        </w:rPr>
        <w:t xml:space="preserve">    </w:t>
      </w:r>
      <w:r>
        <w:rPr>
          <w:rStyle w:val="DataTypeTok"/>
        </w:rPr>
        <w:t xml:space="preserve">"operator_contact"</w:t>
      </w:r>
      <w:r>
        <w:rPr>
          <w:rStyle w:val="NormalTok"/>
        </w:rPr>
        <w:t xml:space="preserve">: </w:t>
      </w:r>
      <w:r>
        <w:rPr>
          <w:rStyle w:val="StringTok"/>
        </w:rPr>
        <w:t xml:space="preserve">"Tel. +49 221-221-5432, E-Mail: ris-api@stadt-koeln.de"</w:t>
      </w:r>
      <w:br/>
      <w:r>
        <w:rPr>
          <w:rStyle w:val="NormalTok"/>
        </w:rPr>
        <w:t xml:space="preserve">}</w:t>
      </w:r>
    </w:p>
    <w:bookmarkStart w:id="gremium-committee" w:name="gremium-committee"/>
    <w:p>
      <w:pPr>
        <w:pStyle w:val="Heading2"/>
      </w:pPr>
      <w:r>
        <w:t xml:space="preserve">Gremium (</w:t>
      </w:r>
      <w:r>
        <w:rPr>
          <w:i/>
        </w:rPr>
        <w:t xml:space="preserve">committee</w:t>
      </w:r>
      <w:r>
        <w:t xml:space="preserve">)</w:t>
      </w:r>
    </w:p>
    <w:bookmarkEnd w:id="gremium-committee"/>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w:t>
      </w:r>
    </w:p>
    <w:p>
      <w:r>
        <w:t xml:space="preserve">Körperschaft. In der Praxis kommen sowohl numerische IDs als auch Namenskürzel (Beispiel: "STA" für den Stadtentwicklungsausschuss) vor. Beides sollte hier Verwendung finden können. Name : Der Name des Gremiums. Beispiele: "Rat", "Hauptausschuss", "Bezirksvertretung 1 (Innenstadt)" Kurzname :</w:t>
      </w:r>
      <w:r>
        <w:t xml:space="preserve"> </w:t>
      </w:r>
      <w:r>
        <w:rPr>
          <w:i/>
        </w:rPr>
        <w:t xml:space="preserve">Optional</w:t>
      </w:r>
      <w:r>
        <w:t xml:space="preserve">. Eine zur Anzeige bestimmte, kürzere Form des Namens.</w:t>
      </w:r>
    </w:p>
    <w:bookmarkStart w:id="beziehungen-1" w:name="beziehungen-1"/>
    <w:p>
      <w:pPr>
        <w:pStyle w:val="Heading3"/>
      </w:pPr>
      <w:r>
        <w:t xml:space="preserve">Beziehungen</w:t>
      </w:r>
    </w:p>
    <w:bookmarkEnd w:id="beziehungen-1"/>
    <w:p>
      <w:pPr>
        <w:numPr>
          <w:numId w:val="7"/>
          <w:ilvl w:val="0"/>
        </w:numPr>
      </w:pPr>
      <w:r>
        <w:t xml:space="preserve">Objekte vom Typ "Person" referenzieren auf Gremien, um die Mitgliedschaft/Zugehörigkeit einer Person im/zum Gremium zu kennzeichnen. Diese Beziehung ist datiert. Das bedeutet, sie hat einen Anfangszeitpunkt und ggf. einen Endzeitpunkt.</w:t>
      </w:r>
    </w:p>
    <w:p>
      <w:pPr>
        <w:numPr>
          <w:numId w:val="7"/>
          <w:ilvl w:val="0"/>
        </w:numPr>
      </w:pPr>
      <w:r>
        <w:t xml:space="preserve">Objekte vom Typ "Drucksache" verweisen auf Gremien. Beispielsweise wird eine Anfrage oder ein Antrag dem Rat und/oder einer bestimmten Bezirksvertretung zugeordnet. Details zu dieser Beziehung werden unter "Drucksache" erläutert.</w:t>
      </w:r>
    </w:p>
    <w:bookmarkStart w:id="person-person" w:name="person-person"/>
    <w:p>
      <w:pPr>
        <w:pStyle w:val="Heading2"/>
      </w:pPr>
      <w:r>
        <w:t xml:space="preserve">Person (</w:t>
      </w:r>
      <w:r>
        <w:rPr>
          <w:i/>
        </w:rPr>
        <w:t xml:space="preserve">person</w:t>
      </w:r>
      <w:r>
        <w:t xml:space="preserve">)</w:t>
      </w:r>
    </w:p>
    <w:bookmarkEnd w:id="person-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 w:name="anmerkungen"/>
    <w:p>
      <w:pPr>
        <w:pStyle w:val="Heading4"/>
      </w:pPr>
      <w:r>
        <w:t xml:space="preserve">Anmerkungen</w:t>
      </w:r>
    </w:p>
    <w:bookmarkEnd w:id="anmerkungen"/>
    <w:p>
      <w:pPr>
        <w:numPr>
          <w:numId w:val="8"/>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8"/>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9"/>
          <w:ilvl w:val="0"/>
        </w:numPr>
      </w:pPr>
      <w:r>
        <w:t xml:space="preserve">Objekte vom Typ "Person" können einer Organisation, z.B. einer Fraktion, zugeornet werden. Diese Beziehung ist datiert.</w:t>
      </w:r>
    </w:p>
    <w:p>
      <w:pPr>
        <w:numPr>
          <w:numId w:val="9"/>
          <w:ilvl w:val="0"/>
        </w:numPr>
      </w:pPr>
      <w:r>
        <w:t xml:space="preserve">Objekte vom Typ "Person" können einem oder mehreren Gremien zugewiesen werden, um die Mitgliedschaft in diesem Gremium darzustellen. Diese Beziehungen sind ebenfalls datiert.</w:t>
      </w:r>
    </w:p>
    <w:bookmarkStart w:id="organisation-organisation" w:name="organisation-organisation"/>
    <w:p>
      <w:pPr>
        <w:pStyle w:val="Heading2"/>
      </w:pPr>
      <w:r>
        <w:t xml:space="preserve">Organisation (</w:t>
      </w:r>
      <w:r>
        <w:rPr>
          <w:i/>
        </w:rPr>
        <w:t xml:space="preserve">organisation</w:t>
      </w:r>
      <w:r>
        <w:t xml:space="preserve">)</w:t>
      </w:r>
    </w:p>
    <w:bookmarkEnd w:id="organisation-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Körperschaft Name : Der gebräuchliche Name der Organisation, z.B. "SPD" oder "DIE LINKE".</w:t>
      </w:r>
    </w:p>
    <w:bookmarkStart w:id="anmerkungen-1" w:name="anmerkungen-1"/>
    <w:p>
      <w:pPr>
        <w:pStyle w:val="Heading4"/>
      </w:pPr>
      <w:r>
        <w:t xml:space="preserve">Anmerkungen</w:t>
      </w:r>
    </w:p>
    <w:bookmarkEnd w:id="anmerkungen-1"/>
    <w:p>
      <w:pPr>
        <w:numPr>
          <w:numId w:val="10"/>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1"/>
          <w:ilvl w:val="0"/>
        </w:numPr>
      </w:pPr>
      <w:r>
        <w:t xml:space="preserve">Jede Organisationen gehört zu einer Körperschaft.</w:t>
      </w:r>
    </w:p>
    <w:p>
      <w:pPr>
        <w:numPr>
          <w:numId w:val="11"/>
          <w:ilvl w:val="0"/>
        </w:numPr>
      </w:pPr>
      <w:r>
        <w:t xml:space="preserve">Personen können Organisationen angehören (</w:t>
      </w:r>
      <w:r>
        <w:rPr>
          <w:i/>
        </w:rPr>
        <w:t xml:space="preserve">datiert</w:t>
      </w:r>
      <w:r>
        <w:t xml:space="preserve">).</w:t>
      </w:r>
    </w:p>
    <w:bookmarkStart w:id="sitzung-meeting" w:name="sitzung-meeting"/>
    <w:p>
      <w:pPr>
        <w:pStyle w:val="Heading2"/>
      </w:pPr>
      <w:r>
        <w:t xml:space="preserve">Sitzung (</w:t>
      </w:r>
      <w:r>
        <w:rPr>
          <w:i/>
        </w:rPr>
        <w:t xml:space="preserve">meeting</w:t>
      </w:r>
      <w:r>
        <w:t xml:space="preserve">)</w:t>
      </w:r>
    </w:p>
    <w:bookmarkEnd w:id="sitzung-meeti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 Ort :</w:t>
      </w:r>
      <w:r>
        <w:t xml:space="preserve"> </w:t>
      </w: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2"/>
          <w:ilvl w:val="0"/>
        </w:numPr>
      </w:pPr>
      <w:r>
        <w:t xml:space="preserve">Sitzungen sind mindestens einem Gremium zugeordnet</w:t>
      </w:r>
    </w:p>
    <w:p>
      <w:pPr>
        <w:numPr>
          <w:numId w:val="12"/>
          <w:ilvl w:val="0"/>
        </w:numPr>
      </w:pPr>
      <w:r>
        <w:t xml:space="preserve">Einer Sitzung sind Personen zugeordnet, um die Teilnahme an der Sitzung auszudrücken.</w:t>
      </w:r>
    </w:p>
    <w:p>
      <w:pPr>
        <w:numPr>
          <w:numId w:val="12"/>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3"/>
          <w:ilvl w:val="1"/>
        </w:numPr>
      </w:pPr>
      <w:r>
        <w:t xml:space="preserve">Zum Verweis auf die Einladung zur Sitzung</w:t>
      </w:r>
    </w:p>
    <w:p>
      <w:pPr>
        <w:numPr>
          <w:numId w:val="13"/>
          <w:ilvl w:val="1"/>
        </w:numPr>
      </w:pPr>
      <w:r>
        <w:t xml:space="preserve">Zum Verweis auf das Ergebnisprotokoll zur Sitzung</w:t>
      </w:r>
    </w:p>
    <w:p>
      <w:pPr>
        <w:numPr>
          <w:numId w:val="13"/>
          <w:ilvl w:val="1"/>
        </w:numPr>
      </w:pPr>
      <w:r>
        <w:t xml:space="preserve">Zum Verweis auf das Wortprotokoll zur Sitzung</w:t>
      </w:r>
    </w:p>
    <w:p>
      <w:pPr>
        <w:numPr>
          <w:numId w:val="13"/>
          <w:ilvl w:val="0"/>
        </w:numPr>
      </w:pPr>
      <w:r>
        <w:t xml:space="preserve">Weiterhin können Sitzungen beliebige weitere Dokumente, die keine eigenständigen Drucksachen sind, referenzieren. Dabei handelt es sich dann um nicht weiter spezifizierte Anlagen.</w:t>
      </w:r>
    </w:p>
    <w:bookmarkStart w:id="tagesordnungspunkt-agendaitem" w:name="tagesordnungspunkt-agendaitem"/>
    <w:p>
      <w:pPr>
        <w:pStyle w:val="Heading2"/>
      </w:pPr>
      <w:r>
        <w:t xml:space="preserve">Tagesordnungspunkt (</w:t>
      </w:r>
      <w:r>
        <w:rPr>
          <w:i/>
        </w:rPr>
        <w:t xml:space="preserve">agendaitem</w:t>
      </w:r>
      <w:r>
        <w:t xml:space="preserve">)</w:t>
      </w:r>
    </w:p>
    <w:bookmarkEnd w:id="tagesordnungspunkt-agendaitem"/>
    <w:p>
      <w:r>
        <w:t xml:space="preserve">Der Tagesordnungspunkt wird für eine bestimmte Sitzung angelegt, erhält eine (innerhalb dieser Sitzung eindeutige) Nummer und einen Titel (Betreff). Nach der Sitzung wird dem Tagesordnungspunkt außerdem ein Ergebnis angehängt. Unter Umständen kann dem Tagesordnungspunkt ein bestimmter Beschlusstext beigefügt sein. Sofern das Abstimmungsergebnis nicht einstimmig ist, kann es durch mehrere referenzierende "Stimmabgaben" festgehalten werden.</w:t>
      </w:r>
    </w:p>
    <w:p>
      <w:r>
        <w:t xml:space="preserve">Überlicherweise haben Sitzungen mehrere Tagesordnungspunkte.</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normalerweise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2" w:name="anmerkungen-2"/>
    <w:p>
      <w:pPr>
        <w:pStyle w:val="Heading4"/>
      </w:pPr>
      <w:r>
        <w:t xml:space="preserve">Anmerkungen</w:t>
      </w:r>
    </w:p>
    <w:bookmarkEnd w:id="anmerkungen-2"/>
    <w:p>
      <w:pPr>
        <w:numPr>
          <w:numId w:val="14"/>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5"/>
          <w:ilvl w:val="0"/>
        </w:numPr>
      </w:pPr>
      <w:r>
        <w:t xml:space="preserve">Jeder Tagesordnungspunkt gehört zu genau einer Sitzung.</w:t>
      </w:r>
    </w:p>
    <w:p>
      <w:pPr>
        <w:numPr>
          <w:numId w:val="15"/>
          <w:ilvl w:val="0"/>
        </w:numPr>
      </w:pPr>
      <w:r>
        <w:t xml:space="preserve">Der Tagesordnungspunkt kann auf eine Drucksache verweisen, die im Rahmen dieses Tagesordnungspunkt beraten werden soll.</w:t>
      </w:r>
    </w:p>
    <w:p>
      <w:pPr>
        <w:numPr>
          <w:numId w:val="15"/>
          <w:ilvl w:val="0"/>
        </w:numPr>
      </w:pPr>
      <w:r>
        <w:t xml:space="preserve">Es können mehrere Objekte vom Typ "Stimmabgabe" referenziert werden, um das Abstimmungsverhalten von Fraktionen oder Einzelpersonen zu dokumentieren.</w:t>
      </w:r>
    </w:p>
    <w:p>
      <w:pPr>
        <w:numPr>
          <w:numId w:val="15"/>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vote" w:name="stimmabgabe-vote"/>
    <w:p>
      <w:pPr>
        <w:pStyle w:val="Heading2"/>
      </w:pPr>
      <w:r>
        <w:t xml:space="preserve">Stimmabgabe (</w:t>
      </w:r>
      <w:r>
        <w:rPr>
          <w:i/>
        </w:rPr>
        <w:t xml:space="preserve">vote</w:t>
      </w:r>
      <w:r>
        <w:t xml:space="preserve">)</w:t>
      </w:r>
    </w:p>
    <w:bookmarkEnd w:id="stimmabgabe-vot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6"/>
          <w:ilvl w:val="0"/>
        </w:numPr>
      </w:pPr>
      <w:r>
        <w:t xml:space="preserve">Jede Stimmabgabe gehört zu genau einem Tagesordnungspunkt.</w:t>
      </w:r>
    </w:p>
    <w:p>
      <w:pPr>
        <w:numPr>
          <w:numId w:val="16"/>
          <w:ilvl w:val="0"/>
        </w:numPr>
      </w:pPr>
      <w:r>
        <w:t xml:space="preserve">Es wird entweder genau eine Person oder genau eine Organisation (Fraktion) referenziert, die die Stimme(n) abgegeben hat.</w:t>
      </w:r>
    </w:p>
    <w:bookmarkStart w:id="drucksache-paper" w:name="drucksache-paper"/>
    <w:p>
      <w:pPr>
        <w:pStyle w:val="Heading2"/>
      </w:pPr>
      <w:r>
        <w:t xml:space="preserve">Drucksache (</w:t>
      </w:r>
      <w:r>
        <w:rPr>
          <w:i/>
        </w:rPr>
        <w:t xml:space="preserve">paper</w:t>
      </w:r>
      <w:r>
        <w:t xml:space="preserve">)</w:t>
      </w:r>
    </w:p>
    <w:bookmarkEnd w:id="drucksache-paper"/>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7"/>
          <w:ilvl w:val="0"/>
        </w:numPr>
      </w:pPr>
      <w:r>
        <w:rPr>
          <w:b/>
        </w:rPr>
        <w:t xml:space="preserve">Beschlussvorlage</w:t>
      </w:r>
      <w:r>
        <w:t xml:space="preserve">: Entscheidungsvorschlag der Verwaltung</w:t>
      </w:r>
    </w:p>
    <w:p>
      <w:pPr>
        <w:numPr>
          <w:numId w:val="17"/>
          <w:ilvl w:val="0"/>
        </w:numPr>
      </w:pPr>
      <w:r>
        <w:rPr>
          <w:b/>
        </w:rPr>
        <w:t xml:space="preserve">Antrag</w:t>
      </w:r>
      <w:r>
        <w:t xml:space="preserve">: Entscheidungsvorschlag einer Fraktionen bzw. mehrerer Fraktionen oder einer/mehrerer Einzelperson/en</w:t>
      </w:r>
    </w:p>
    <w:p>
      <w:pPr>
        <w:numPr>
          <w:numId w:val="17"/>
          <w:ilvl w:val="0"/>
        </w:numPr>
      </w:pPr>
      <w:r>
        <w:rPr>
          <w:b/>
        </w:rPr>
        <w:t xml:space="preserve">Anfrage</w:t>
      </w:r>
      <w:r>
        <w:t xml:space="preserve">: Frage(n) einer oder mehrerer Fraktion oder Einzelpersonen an die Verwaltung</w:t>
      </w:r>
    </w:p>
    <w:p>
      <w:pPr>
        <w:numPr>
          <w:numId w:val="17"/>
          <w:ilvl w:val="0"/>
        </w:numPr>
      </w:pPr>
      <w:r>
        <w:rPr>
          <w:b/>
        </w:rPr>
        <w:t xml:space="preserve">Mitteilung/Stellungnahme der Verwaltung</w:t>
      </w:r>
      <w:r>
        <w:t xml:space="preserve">: Eine Information der Verwaltung an einzelne oder mehrere Gremien. Darunter fallen nicht Beantwortungen von Anfragen.</w:t>
      </w:r>
    </w:p>
    <w:p>
      <w:pPr>
        <w:numPr>
          <w:numId w:val="17"/>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18"/>
          <w:ilvl w:val="0"/>
        </w:numPr>
      </w:pPr>
      <w:r>
        <w:t xml:space="preserve">Es muss genau ein</w:t>
      </w:r>
      <w:r>
        <w:t xml:space="preserve"> </w:t>
      </w:r>
      <w:r>
        <w:rPr>
          <w:b/>
        </w:rPr>
        <w:t xml:space="preserve">Hauptdokument</w:t>
      </w:r>
      <w:r>
        <w:t xml:space="preserve"> </w:t>
      </w:r>
      <w:r>
        <w:t xml:space="preserve">(Objekttyp "Dokument") referenziert werden.</w:t>
      </w:r>
    </w:p>
    <w:p>
      <w:pPr>
        <w:numPr>
          <w:numId w:val="18"/>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18"/>
          <w:ilvl w:val="0"/>
        </w:numPr>
      </w:pPr>
      <w:r>
        <w:t xml:space="preserve">Die Drucksache ist beliebig vielen Gremien zuzuordnen, in denen diese beraten wird.</w:t>
      </w:r>
    </w:p>
    <w:p>
      <w:pPr>
        <w:numPr>
          <w:numId w:val="18"/>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Uhrheber verknüpft werden.</w:t>
      </w:r>
    </w:p>
    <w:p>
      <w:pPr>
        <w:numPr>
          <w:numId w:val="18"/>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18"/>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18"/>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Zuständigkeit versehen sein, die noch näher zu bestimmen ist (TODO).</w:t>
      </w:r>
    </w:p>
    <w:bookmarkStart w:id="dokument-document" w:name="dokument-document"/>
    <w:p>
      <w:pPr>
        <w:pStyle w:val="Heading2"/>
      </w:pPr>
      <w:r>
        <w:t xml:space="preserve">Dokument (</w:t>
      </w:r>
      <w:r>
        <w:rPr>
          <w:i/>
        </w:rPr>
        <w:t xml:space="preserve">document</w:t>
      </w:r>
      <w:r>
        <w:t xml:space="preserve">)</w:t>
      </w:r>
    </w:p>
    <w:bookmarkEnd w:id="dokument-doc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19"/>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19"/>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location" w:name="ort-location"/>
    <w:p>
      <w:pPr>
        <w:pStyle w:val="Heading2"/>
      </w:pPr>
      <w:r>
        <w:t xml:space="preserve">Ort (</w:t>
      </w:r>
      <w:r>
        <w:rPr>
          <w:i/>
        </w:rPr>
        <w:t xml:space="preserve">location</w:t>
      </w:r>
      <w:r>
        <w:t xml:space="preserve">)</w:t>
      </w:r>
    </w:p>
    <w:bookmarkEnd w:id="ort-location"/>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0"/>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1"/>
          <w:ilvl w:val="0"/>
        </w:numPr>
      </w:pPr>
      <w:r>
        <w:t xml:space="preserve">Grundlage für den Zugriff auf die Schnittstelle ist das Hypertext Transfer Protocol (HTTP).</w:t>
      </w:r>
    </w:p>
    <w:p>
      <w:pPr>
        <w:numPr>
          <w:numId w:val="21"/>
          <w:ilvl w:val="0"/>
        </w:numPr>
      </w:pPr>
      <w:r>
        <w:t xml:space="preserve">Ausschließlich HTTP GET Methode</w:t>
      </w:r>
    </w:p>
    <w:p>
      <w:pPr>
        <w:numPr>
          <w:numId w:val="21"/>
          <w:ilvl w:val="0"/>
        </w:numPr>
      </w:pPr>
      <w:r>
        <w:t xml:space="preserve">Optional gzip Encoding und andere Kodierungen, wenn Client und Server dies unterstützen</w:t>
      </w:r>
    </w:p>
    <w:p>
      <w:pPr>
        <w:numPr>
          <w:numId w:val="21"/>
          <w:ilvl w:val="0"/>
        </w:numPr>
      </w:pPr>
      <w:r>
        <w:t xml:space="preserve">HTTP Last-Modified Header sowie Conditional GET sind bei Dateiabruf (Laden von Anhängen) zu unterstützen</w:t>
      </w:r>
    </w:p>
    <w:p>
      <w:pPr>
        <w:numPr>
          <w:numId w:val="21"/>
          <w:ilvl w:val="0"/>
        </w:numPr>
      </w:pPr>
      <w:r>
        <w:t xml:space="preserve">Das Protkoll ist zustandslos</w:t>
      </w:r>
    </w:p>
    <w:p>
      <w:pPr>
        <w:numPr>
          <w:numId w:val="21"/>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de.wikipedia.org/wiki/Amtlicher_Gemeindeschlüssel</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p>
      <w:r>
        <w:t xml:space="preserve">[12]: Gemeinsame Normdatei:</w:t>
      </w:r>
      <w:r>
        <w:t xml:space="preserve"> </w:t>
      </w:r>
      <w:hyperlink r:id="link13">
        <w:r>
          <w:rPr>
            <w:rStyle w:val="Hyperlink"/>
          </w:rPr>
          <w:t xml:space="preserve">de.wikipedia.org/wiki/Gemeinsame_Normdatei</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2" Target="media/image2" /><Relationship Type="http://schemas.openxmlformats.org/officeDocument/2006/relationships/image" Id="image1" Target="media/image1"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3" Target="http://de.wikipedia.org/wiki/Amtlicher_Gemeindeschl%C3%BCssel" TargetMode="External" /><Relationship Type="http://schemas.openxmlformats.org/officeDocument/2006/relationships/hyperlink" Id="link13" Target="http://de.wikipedia.org/wiki/Gemeinsame_Normdatei"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