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körperschaft-body" w:name="körperschaft-body"/>
    <w:p>
      <w:pPr>
        <w:pStyle w:val="Heading2"/>
      </w:pPr>
      <w:r>
        <w:t xml:space="preserve">Körperschaft (</w:t>
      </w:r>
      <w:r>
        <w:rPr>
          <w:i/>
        </w:rPr>
        <w:t xml:space="preserve">body</w:t>
      </w:r>
      <w:r>
        <w:t xml:space="preserve">)</w:t>
      </w:r>
    </w:p>
    <w:bookmarkEnd w:id="körperschaft-body"/>
    <w:p>
      <w:r>
        <w:t xml:space="preserve">Die Körperschaft erlaubt es, den Betreiber bzw. Eigentümer des Informationssystems wie zum Beispiel einen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6"/>
          <w:ilvl w:val="0"/>
        </w:numPr>
      </w:pPr>
      <w:r>
        <w:t xml:space="preserve">Kompakte, einfache und einheitliche Schreibweise für jede Körperschaft.</w:t>
      </w:r>
    </w:p>
    <w:p>
      <w:pPr>
        <w:numPr>
          <w:numId w:val="6"/>
          <w:ilvl w:val="0"/>
        </w:numPr>
      </w:pPr>
      <w:r>
        <w:t xml:space="preserve">Der AGS wird von Behörden genutzt, ist anerkannt und auch in anderen Medien, z.B. der Wikipedia, verbreitet.</w:t>
      </w:r>
    </w:p>
    <w:p>
      <w:r>
        <w:t xml:space="preserve">Nachteil des AGS:</w:t>
      </w:r>
    </w:p>
    <w:p>
      <w:pPr>
        <w:numPr>
          <w:numId w:val="7"/>
          <w:ilvl w:val="0"/>
        </w:numPr>
      </w:pPr>
      <w:r>
        <w:t xml:space="preserve">Führende Nullen machen den Schlüssel fehleranfällig. Bestimmte Systeme wie z.B. Excel könnten den Inhalt als Zahlenwert erkennen und die führenden Nullen automatisch verwerfen.</w:t>
      </w:r>
    </w:p>
    <w:p>
      <w:pPr>
        <w:numPr>
          <w:numId w:val="7"/>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Körperschaft, z.B. "Köln" oder "Stadt Köln".</w:t>
      </w:r>
    </w:p>
    <w:bookmarkStart w:id="beziehungen" w:name="beziehungen"/>
    <w:p>
      <w:pPr>
        <w:pStyle w:val="Heading3"/>
      </w:pPr>
      <w:r>
        <w:t xml:space="preserve">Beziehungen</w:t>
      </w:r>
    </w:p>
    <w:bookmarkEnd w:id="beziehungen"/>
    <w:p>
      <w:pPr>
        <w:numPr>
          <w:numId w:val="8"/>
          <w:ilvl w:val="0"/>
        </w:numPr>
      </w:pPr>
      <w:r>
        <w:t xml:space="preserve">Objekte vom Typ "Organisation" sind zwingend genau einer Körperschaft zugeordnet. So wird beispielseise eine SPD in Köln von einer SPD in Leverkusen unterschieden.</w:t>
      </w:r>
    </w:p>
    <w:p>
      <w:pPr>
        <w:numPr>
          <w:numId w:val="8"/>
          <w:ilvl w:val="0"/>
        </w:numPr>
      </w:pPr>
      <w:r>
        <w:t xml:space="preserve">Objekte vom Typ "Gremium" sind zwingend genau einer Körperschaft zugeordnet. Damit wird der "Rat" einer bestimmten Kommune von den gleichnamigen Gremien anderer Kommunen abgegrenzt.</w:t>
      </w:r>
    </w:p>
    <w:bookmarkStart w:id="gremium-committee" w:name="gremium-committee"/>
    <w:p>
      <w:pPr>
        <w:pStyle w:val="Heading2"/>
      </w:pPr>
      <w:r>
        <w:t xml:space="preserve">Gremium (</w:t>
      </w:r>
      <w:r>
        <w:rPr>
          <w:i/>
        </w:rPr>
        <w:t xml:space="preserve">committee</w:t>
      </w:r>
      <w:r>
        <w:t xml:space="preserve">)</w:t>
      </w:r>
    </w:p>
    <w:bookmarkEnd w:id="gremium-committee"/>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Körperschaft. In der Praxis kommen sowohl numerische IDs als auch Namenskürzel (Beispiel: "STA" für den Stadtentwicklungsausschuss) vor. Beides sollte hier Verwendung finden können. Name : Der Name des Gremiums. Beispiele: "Rat", "Hauptausschuss", "Bezirksvertretung 1 (Innenstadt)" Kurzname :</w:t>
      </w:r>
      <w:r>
        <w:t xml:space="preserve"> </w:t>
      </w: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9"/>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9"/>
          <w:ilvl w:val="0"/>
        </w:numPr>
      </w:pPr>
      <w:r>
        <w:t xml:space="preserve">Objekte vom Typ "Drucksache" verweisen auf Gremien. Beispielsweise wird eine Anfrage oder ein Antrag dem Rat und/oder einer bestimmten Bezirksvertretung zugeordnet. Details zu dieser Beziehung werden unter "Drucksache" erläutert.</w:t>
      </w:r>
    </w:p>
    <w:bookmarkStart w:id="person-person" w:name="person-person"/>
    <w:p>
      <w:pPr>
        <w:pStyle w:val="Heading2"/>
      </w:pPr>
      <w:r>
        <w:t xml:space="preserve">Person (</w:t>
      </w:r>
      <w:r>
        <w:rPr>
          <w:i/>
        </w:rPr>
        <w:t xml:space="preserve">person</w:t>
      </w:r>
      <w:r>
        <w:t xml:space="preserve">)</w:t>
      </w:r>
    </w:p>
    <w:bookmarkEnd w:id="person-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10"/>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0"/>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1"/>
          <w:ilvl w:val="0"/>
        </w:numPr>
      </w:pPr>
      <w:r>
        <w:t xml:space="preserve">Objekte vom Typ "Person" können einer Organisation, z.B. einer Fraktion, zugeornet werden. Diese Beziehung ist datiert.</w:t>
      </w:r>
    </w:p>
    <w:p>
      <w:pPr>
        <w:numPr>
          <w:numId w:val="11"/>
          <w:ilvl w:val="0"/>
        </w:numPr>
      </w:pPr>
      <w:r>
        <w:t xml:space="preserve">Objekte vom Typ "Person" können einem oder mehreren Gremien zugewiesen werden, um die Mitgliedschaft in diesem Gremium darzustellen. Diese Beziehungen sind ebenfalls datiert.</w:t>
      </w:r>
    </w:p>
    <w:bookmarkStart w:id="organisation-organisation" w:name="organisation-organisation"/>
    <w:p>
      <w:pPr>
        <w:pStyle w:val="Heading2"/>
      </w:pPr>
      <w:r>
        <w:t xml:space="preserve">Organisation (</w:t>
      </w:r>
      <w:r>
        <w:rPr>
          <w:i/>
        </w:rPr>
        <w:t xml:space="preserve">organisation</w:t>
      </w:r>
      <w:r>
        <w:t xml:space="preserve">)</w:t>
      </w:r>
    </w:p>
    <w:bookmarkEnd w:id="organisation-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Körperschaft Name : Der gebräuchliche Name der Organisation, z.B. "SPD" oder "DIE LINKE".</w:t>
      </w:r>
    </w:p>
    <w:bookmarkStart w:id="anmerkungen-1" w:name="anmerkungen-1"/>
    <w:p>
      <w:pPr>
        <w:pStyle w:val="Heading4"/>
      </w:pPr>
      <w:r>
        <w:t xml:space="preserve">Anmerkungen</w:t>
      </w:r>
    </w:p>
    <w:bookmarkEnd w:id="anmerkungen-1"/>
    <w:p>
      <w:pPr>
        <w:numPr>
          <w:numId w:val="12"/>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3"/>
          <w:ilvl w:val="0"/>
        </w:numPr>
      </w:pPr>
      <w:r>
        <w:t xml:space="preserve">Jede Organisationen gehört zu einer Körperschaft.</w:t>
      </w:r>
    </w:p>
    <w:p>
      <w:pPr>
        <w:numPr>
          <w:numId w:val="13"/>
          <w:ilvl w:val="0"/>
        </w:numPr>
      </w:pPr>
      <w:r>
        <w:t xml:space="preserve">Personen können Organisationen angehören (</w:t>
      </w:r>
      <w:r>
        <w:rPr>
          <w:i/>
        </w:rPr>
        <w:t xml:space="preserve">datiert</w:t>
      </w:r>
      <w:r>
        <w:t xml:space="preserve">).</w:t>
      </w:r>
    </w:p>
    <w:bookmarkStart w:id="sitzung-meeting" w:name="sitzung-meeting"/>
    <w:p>
      <w:pPr>
        <w:pStyle w:val="Heading2"/>
      </w:pPr>
      <w:r>
        <w:t xml:space="preserve">Sitzung (</w:t>
      </w:r>
      <w:r>
        <w:rPr>
          <w:i/>
        </w:rPr>
        <w:t xml:space="preserve">meeting</w:t>
      </w:r>
      <w:r>
        <w:t xml:space="preserve">)</w:t>
      </w:r>
    </w:p>
    <w:bookmarkEnd w:id="sitzung-meeti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4"/>
          <w:ilvl w:val="0"/>
        </w:numPr>
      </w:pPr>
      <w:r>
        <w:t xml:space="preserve">Sitzungen sind mindestens einem Gremium zugeordnet</w:t>
      </w:r>
    </w:p>
    <w:p>
      <w:pPr>
        <w:numPr>
          <w:numId w:val="14"/>
          <w:ilvl w:val="0"/>
        </w:numPr>
      </w:pPr>
      <w:r>
        <w:t xml:space="preserve">Einer Sitzung sind Personen zugeordnet, um die Teilnahme an der Sitzung auszudrücken.</w:t>
      </w:r>
    </w:p>
    <w:p>
      <w:pPr>
        <w:numPr>
          <w:numId w:val="14"/>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5"/>
          <w:ilvl w:val="1"/>
        </w:numPr>
      </w:pPr>
      <w:r>
        <w:t xml:space="preserve">Zum Verweis auf die Einladung zur Sitzung</w:t>
      </w:r>
    </w:p>
    <w:p>
      <w:pPr>
        <w:numPr>
          <w:numId w:val="15"/>
          <w:ilvl w:val="1"/>
        </w:numPr>
      </w:pPr>
      <w:r>
        <w:t xml:space="preserve">Zum Verweis auf das Ergebnisprotokoll zur Sitzung</w:t>
      </w:r>
    </w:p>
    <w:p>
      <w:pPr>
        <w:numPr>
          <w:numId w:val="15"/>
          <w:ilvl w:val="1"/>
        </w:numPr>
      </w:pPr>
      <w:r>
        <w:t xml:space="preserve">Zum Verweis auf das Wortprotokoll zur Sitzung</w:t>
      </w:r>
    </w:p>
    <w:p>
      <w:pPr>
        <w:numPr>
          <w:numId w:val="15"/>
          <w:ilvl w:val="0"/>
        </w:numPr>
      </w:pPr>
      <w:r>
        <w:t xml:space="preserve">Weiterhin können Sitzungen beliebige weitere Dokumente, die keine eigenständigen Drucksachen sind, referenzieren. Dabei handelt es sich dann um nicht weiter spezifizierte Anlagen.</w:t>
      </w:r>
    </w:p>
    <w:bookmarkStart w:id="tagesordnungspunkt-agendaitem" w:name="tagesordnungspunkt-agendaitem"/>
    <w:p>
      <w:pPr>
        <w:pStyle w:val="Heading2"/>
      </w:pPr>
      <w:r>
        <w:t xml:space="preserve">Tagesordnungspunkt (</w:t>
      </w:r>
      <w:r>
        <w:rPr>
          <w:i/>
        </w:rPr>
        <w:t xml:space="preserve">agendaitem</w:t>
      </w:r>
      <w:r>
        <w:t xml:space="preserve">)</w:t>
      </w:r>
    </w:p>
    <w:bookmarkEnd w:id="tagesordnungspunkt-agendaitem"/>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Sofern das Abstimmungsergebnis nicht einstimmig ist, kann es durch mehrere referenzierende "Stimmabgaben"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normalerweise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6"/>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7"/>
          <w:ilvl w:val="0"/>
        </w:numPr>
      </w:pPr>
      <w:r>
        <w:t xml:space="preserve">Jeder Tagesordnungspunkt gehört zu genau einer Sitzung.</w:t>
      </w:r>
    </w:p>
    <w:p>
      <w:pPr>
        <w:numPr>
          <w:numId w:val="17"/>
          <w:ilvl w:val="0"/>
        </w:numPr>
      </w:pPr>
      <w:r>
        <w:t xml:space="preserve">Der Tagesordnungspunkt kann auf eine Drucksache verweisen, die im Rahmen dieses Tagesordnungspunkt beraten werden soll.</w:t>
      </w:r>
    </w:p>
    <w:p>
      <w:pPr>
        <w:numPr>
          <w:numId w:val="17"/>
          <w:ilvl w:val="0"/>
        </w:numPr>
      </w:pPr>
      <w:r>
        <w:t xml:space="preserve">Es können mehrere Objekte vom Typ "Stimmabgabe" referenziert werden, um das Abstimmungsverhalten von Fraktionen oder Einzelpersonen zu dokumentieren.</w:t>
      </w:r>
    </w:p>
    <w:p>
      <w:pPr>
        <w:numPr>
          <w:numId w:val="17"/>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vote" w:name="stimmabgabe-vote"/>
    <w:p>
      <w:pPr>
        <w:pStyle w:val="Heading2"/>
      </w:pPr>
      <w:r>
        <w:t xml:space="preserve">Stimmabgabe (</w:t>
      </w:r>
      <w:r>
        <w:rPr>
          <w:i/>
        </w:rPr>
        <w:t xml:space="preserve">vote</w:t>
      </w:r>
      <w:r>
        <w:t xml:space="preserve">)</w:t>
      </w:r>
    </w:p>
    <w:bookmarkEnd w:id="stimmabgabe-vot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8"/>
          <w:ilvl w:val="0"/>
        </w:numPr>
      </w:pPr>
      <w:r>
        <w:t xml:space="preserve">Jede Stimmabgabe gehört zu genau einem Tagesordnungspunkt.</w:t>
      </w:r>
    </w:p>
    <w:p>
      <w:pPr>
        <w:numPr>
          <w:numId w:val="18"/>
          <w:ilvl w:val="0"/>
        </w:numPr>
      </w:pPr>
      <w:r>
        <w:t xml:space="preserve">Es wird entweder genau eine Person oder genau eine Organisation (Fraktion) referenziert, die die Stimme(n) abgegeben hat.</w:t>
      </w:r>
    </w:p>
    <w:bookmarkStart w:id="drucksache-paper" w:name="drucksache-paper"/>
    <w:p>
      <w:pPr>
        <w:pStyle w:val="Heading2"/>
      </w:pPr>
      <w:r>
        <w:t xml:space="preserve">Drucksache (</w:t>
      </w:r>
      <w:r>
        <w:rPr>
          <w:i/>
        </w:rPr>
        <w:t xml:space="preserve">paper</w:t>
      </w:r>
      <w:r>
        <w:t xml:space="preserve">)</w:t>
      </w:r>
    </w:p>
    <w:bookmarkEnd w:id="drucksache-paper"/>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9"/>
          <w:ilvl w:val="0"/>
        </w:numPr>
      </w:pPr>
      <w:r>
        <w:rPr>
          <w:b/>
        </w:rPr>
        <w:t xml:space="preserve">Beschlussvorlage</w:t>
      </w:r>
      <w:r>
        <w:t xml:space="preserve">: Entscheidungsvorschlag der Verwaltung</w:t>
      </w:r>
    </w:p>
    <w:p>
      <w:pPr>
        <w:numPr>
          <w:numId w:val="19"/>
          <w:ilvl w:val="0"/>
        </w:numPr>
      </w:pPr>
      <w:r>
        <w:rPr>
          <w:b/>
        </w:rPr>
        <w:t xml:space="preserve">Antrag</w:t>
      </w:r>
      <w:r>
        <w:t xml:space="preserve">: Entscheidungsvorschlag einer Fraktionen bzw. mehrerer Fraktionen oder einer/mehrerer Einzelperson/en</w:t>
      </w:r>
    </w:p>
    <w:p>
      <w:pPr>
        <w:numPr>
          <w:numId w:val="19"/>
          <w:ilvl w:val="0"/>
        </w:numPr>
      </w:pPr>
      <w:r>
        <w:rPr>
          <w:b/>
        </w:rPr>
        <w:t xml:space="preserve">Anfrage</w:t>
      </w:r>
      <w:r>
        <w:t xml:space="preserve">: Frage(n) einer oder mehrerer Fraktion oder Einzelpersonen an die Verwaltung</w:t>
      </w:r>
    </w:p>
    <w:p>
      <w:pPr>
        <w:numPr>
          <w:numId w:val="19"/>
          <w:ilvl w:val="0"/>
        </w:numPr>
      </w:pPr>
      <w:r>
        <w:rPr>
          <w:b/>
        </w:rPr>
        <w:t xml:space="preserve">Mitteilung/Stellungnahme der Verwaltung</w:t>
      </w:r>
      <w:r>
        <w:t xml:space="preserve">: Eine Information der Verwaltung an einzelne oder mehrere Gremien. Darunter fallen nicht Beantwortungen von Anfragen.</w:t>
      </w:r>
    </w:p>
    <w:p>
      <w:pPr>
        <w:numPr>
          <w:numId w:val="19"/>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20"/>
          <w:ilvl w:val="0"/>
        </w:numPr>
      </w:pPr>
      <w:r>
        <w:t xml:space="preserve">Es muss genau ein</w:t>
      </w:r>
      <w:r>
        <w:t xml:space="preserve"> </w:t>
      </w:r>
      <w:r>
        <w:rPr>
          <w:b/>
        </w:rPr>
        <w:t xml:space="preserve">Hauptdokument</w:t>
      </w:r>
      <w:r>
        <w:t xml:space="preserve"> </w:t>
      </w:r>
      <w:r>
        <w:t xml:space="preserve">(Objekttyp "Dokument") referenziert werden.</w:t>
      </w:r>
    </w:p>
    <w:p>
      <w:pPr>
        <w:numPr>
          <w:numId w:val="20"/>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0"/>
          <w:ilvl w:val="0"/>
        </w:numPr>
      </w:pPr>
      <w:r>
        <w:t xml:space="preserve">Die Drucksache ist beliebig vielen Gremien zuzuordnen, in denen diese beraten wird.</w:t>
      </w:r>
    </w:p>
    <w:p>
      <w:pPr>
        <w:numPr>
          <w:numId w:val="20"/>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20"/>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0"/>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0"/>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dokument-document" w:name="dokument-document"/>
    <w:p>
      <w:pPr>
        <w:pStyle w:val="Heading2"/>
      </w:pPr>
      <w:r>
        <w:t xml:space="preserve">Dokument (</w:t>
      </w:r>
      <w:r>
        <w:rPr>
          <w:i/>
        </w:rPr>
        <w:t xml:space="preserve">document</w:t>
      </w:r>
      <w:r>
        <w:t xml:space="preserve">)</w:t>
      </w:r>
    </w:p>
    <w:bookmarkEnd w:id="dokument-doc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21"/>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1"/>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location" w:name="ort-location"/>
    <w:p>
      <w:pPr>
        <w:pStyle w:val="Heading2"/>
      </w:pPr>
      <w:r>
        <w:t xml:space="preserve">Ort (</w:t>
      </w:r>
      <w:r>
        <w:rPr>
          <w:i/>
        </w:rPr>
        <w:t xml:space="preserve">location</w:t>
      </w:r>
      <w:r>
        <w:t xml:space="preserve">)</w:t>
      </w:r>
    </w:p>
    <w:bookmarkEnd w:id="ort-location"/>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2"/>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3"/>
          <w:ilvl w:val="0"/>
        </w:numPr>
      </w:pPr>
      <w:r>
        <w:t xml:space="preserve">Grundlage für den Zugriff auf die Schnittstelle ist das Hypertext Transfer Protocol (HTTP).</w:t>
      </w:r>
    </w:p>
    <w:p>
      <w:pPr>
        <w:numPr>
          <w:numId w:val="23"/>
          <w:ilvl w:val="0"/>
        </w:numPr>
      </w:pPr>
      <w:r>
        <w:t xml:space="preserve">Ausschließlich HTTP GET Methode</w:t>
      </w:r>
    </w:p>
    <w:p>
      <w:pPr>
        <w:numPr>
          <w:numId w:val="23"/>
          <w:ilvl w:val="0"/>
        </w:numPr>
      </w:pPr>
      <w:r>
        <w:t xml:space="preserve">Optional gzip Encoding und andere Kodierungen, wenn Client und Server dies unterstützen</w:t>
      </w:r>
    </w:p>
    <w:p>
      <w:pPr>
        <w:numPr>
          <w:numId w:val="23"/>
          <w:ilvl w:val="0"/>
        </w:numPr>
      </w:pPr>
      <w:r>
        <w:t xml:space="preserve">HTTP Last-Modified Header sowie Conditional GET sind bei Dateiabruf (Laden von Anhängen) zu unterstützen</w:t>
      </w:r>
    </w:p>
    <w:p>
      <w:pPr>
        <w:numPr>
          <w:numId w:val="23"/>
          <w:ilvl w:val="0"/>
        </w:numPr>
      </w:pPr>
      <w:r>
        <w:t xml:space="preserve">Das Protkoll ist zustandslos</w:t>
      </w:r>
    </w:p>
    <w:p>
      <w:pPr>
        <w:numPr>
          <w:numId w:val="23"/>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2" Target="media/image2" /><Relationship Type="http://schemas.openxmlformats.org/officeDocument/2006/relationships/image" Id="image1" Target="media/image1"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