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bookmarkStart w:id="zielsetzung-von-oparl" w:name="zielsetzung-von-oparl"/>
    <w:p>
      <w:pPr>
        <w:pStyle w:val="Heading2"/>
      </w:pPr>
      <w:r>
        <w:t xml:space="preserve">Zielsetzung von OParl</w:t>
      </w:r>
    </w:p>
    <w:bookmarkEnd w:id="zielsetzung-von-oparl"/>
    <w:p>
      <w:pPr>
        <w:numPr>
          <w:numId w:val="3"/>
          <w:ilvl w:val="0"/>
        </w:numPr>
      </w:pPr>
      <w:r>
        <w:t xml:space="preserve">Nutzen für Kommunen, Bürger, politische Parteien</w:t>
      </w:r>
    </w:p>
    <w:p>
      <w:pPr>
        <w:numPr>
          <w:numId w:val="3"/>
          <w:ilvl w:val="0"/>
        </w:numPr>
      </w:pPr>
      <w:r>
        <w:t xml:space="preserve">Nutzen für Anbieter von RIS-Pflegesoftware</w:t>
      </w:r>
    </w:p>
    <w:p>
      <w:pPr>
        <w:numPr>
          <w:numId w:val="3"/>
          <w:ilvl w:val="0"/>
        </w:numPr>
      </w:pPr>
      <w:r>
        <w:t xml:space="preserve">Nutzen für Anbieter von RIS-Darstellungssoftware</w:t>
      </w:r>
    </w:p>
    <w:p>
      <w:pPr>
        <w:numPr>
          <w:numId w:val="3"/>
          <w:ilvl w:val="0"/>
        </w:numPr>
      </w:pPr>
      <w:r>
        <w:t xml:space="preserve">Nutzen für Open Data Initiativen</w:t>
      </w:r>
    </w:p>
    <w:p>
      <w:pPr>
        <w:numPr>
          <w:numId w:val="3"/>
          <w:ilvl w:val="0"/>
        </w:numPr>
      </w:pPr>
      <w:r>
        <w:t xml:space="preserve">Nutzen für die Wissenschaft</w:t>
      </w:r>
    </w:p>
    <w:p>
      <w:pPr>
        <w:numPr>
          <w:numId w:val="3"/>
          <w:ilvl w:val="0"/>
        </w:numPr>
      </w:pPr>
      <w:r>
        <w:t xml:space="preserve">Linked Data erwähnen</w:t>
      </w:r>
    </w:p>
    <w:bookmarkStart w:id="werdegang-von-oparl-1.0" w:name="werdegang-von-oparl-1.0"/>
    <w:p>
      <w:pPr>
        <w:pStyle w:val="Heading2"/>
      </w:pPr>
      <w:r>
        <w:t xml:space="preserve">Werdegang von OParl 1.0</w:t>
      </w:r>
    </w:p>
    <w:bookmarkEnd w:id="werdegang-von-oparl-1.0"/>
    <w:p>
      <w:r>
        <w:t xml:space="preserve">Stichpunkte:</w:t>
      </w:r>
    </w:p>
    <w:p>
      <w:pPr>
        <w:numPr>
          <w:numId w:val="5"/>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6"/>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6"/>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7"/>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8"/>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9"/>
          <w:ilvl w:val="0"/>
        </w:numPr>
      </w:pPr>
      <w:r>
        <w:t xml:space="preserve">Verfeinerung, Lücken schliessen</w:t>
      </w:r>
    </w:p>
    <w:p>
      <w:pPr>
        <w:numPr>
          <w:numId w:val="9"/>
          <w:ilvl w:val="0"/>
        </w:numPr>
      </w:pPr>
      <w:r>
        <w:t xml:space="preserve">Globalisierung</w:t>
      </w:r>
    </w:p>
    <w:p>
      <w:pPr>
        <w:numPr>
          <w:numId w:val="9"/>
          <w:ilvl w:val="0"/>
        </w:numPr>
      </w:pPr>
      <w:r>
        <w:t xml:space="preserve">Erweiterung über die kommunale Ebene hinaus (Land, Bund)</w:t>
      </w:r>
    </w:p>
    <w:p>
      <w:pPr>
        <w:numPr>
          <w:numId w:val="9"/>
          <w:ilvl w:val="0"/>
        </w:numPr>
      </w:pPr>
      <w:r>
        <w:t xml:space="preserve">Vereinheitlichung von Kategorien (Drucksachentypen, Arten von Gremien)</w:t>
      </w:r>
    </w:p>
    <w:p>
      <w:pPr>
        <w:numPr>
          <w:numId w:val="9"/>
          <w:ilvl w:val="0"/>
        </w:numPr>
      </w:pPr>
      <w:r>
        <w:t xml:space="preserve">Erweiterung von Personendaten, z.B. mit Social Media URLs</w:t>
      </w:r>
    </w:p>
    <w:p>
      <w:pPr>
        <w:numPr>
          <w:numId w:val="9"/>
          <w:ilvl w:val="0"/>
        </w:numPr>
      </w:pPr>
      <w:r>
        <w:t xml:space="preserve">Mehr Abfragekriterien</w:t>
      </w:r>
    </w:p>
    <w:p>
      <w:pPr>
        <w:numPr>
          <w:numId w:val="9"/>
          <w:ilvl w:val="0"/>
        </w:numPr>
      </w:pPr>
      <w:r>
        <w:t xml:space="preserve">Suchfunktionen (Volltextsuche)</w:t>
      </w:r>
    </w:p>
    <w:p>
      <w:pPr>
        <w:numPr>
          <w:numId w:val="9"/>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0"/>
          <w:ilvl w:val="0"/>
        </w:numPr>
      </w:pPr>
      <w:r>
        <w:t xml:space="preserve">Das Erzeugen, Bearbeiten und Darstellen von Sitzungen und deren Tagesordnung</w:t>
      </w:r>
    </w:p>
    <w:p>
      <w:pPr>
        <w:numPr>
          <w:numId w:val="10"/>
          <w:ilvl w:val="0"/>
        </w:numPr>
      </w:pPr>
      <w:r>
        <w:t xml:space="preserve">Das Erzeugen und Abrufen von Sitzungsprotokollen</w:t>
      </w:r>
    </w:p>
    <w:p>
      <w:pPr>
        <w:numPr>
          <w:numId w:val="10"/>
          <w:ilvl w:val="0"/>
        </w:numPr>
      </w:pPr>
      <w:r>
        <w:t xml:space="preserve">Das Erzeugen, Bearbeiten und Anzeigen von Drucksachen</w:t>
      </w:r>
    </w:p>
    <w:p>
      <w:pPr>
        <w:numPr>
          <w:numId w:val="10"/>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1"/>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1"/>
          <w:ilvl w:val="0"/>
        </w:numPr>
      </w:pPr>
      <w:r>
        <w:t xml:space="preserve">Eine Redakteurin der Lokalpresse geht unterwegs die Themen der nächsten Sitzungen bestimmter Gremien, für die sie sich besonders interessiert, durch.</w:t>
      </w:r>
    </w:p>
    <w:p>
      <w:pPr>
        <w:numPr>
          <w:numId w:val="11"/>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eigneständig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12"/>
          <w:ilvl w:val="0"/>
        </w:numPr>
      </w:pPr>
      <w:r>
        <w:t xml:space="preserve">Grundlage für den Zugriff auf die Schnittstelle ist das Hypertext Transfer Protocol (HTTP).</w:t>
      </w:r>
    </w:p>
    <w:p>
      <w:pPr>
        <w:numPr>
          <w:numId w:val="12"/>
          <w:ilvl w:val="0"/>
        </w:numPr>
      </w:pPr>
      <w:r>
        <w:t xml:space="preserve">Optional gzip Encoding und andere Kodierungen, wenn Client und Server dies unterstützen</w:t>
      </w:r>
    </w:p>
    <w:p>
      <w:pPr>
        <w:numPr>
          <w:numId w:val="12"/>
          <w:ilvl w:val="0"/>
        </w:numPr>
      </w:pPr>
      <w:r>
        <w:t xml:space="preserve">Das Protkoll ist zustandslos</w:t>
      </w:r>
    </w:p>
    <w:p>
      <w:pPr>
        <w:numPr>
          <w:numId w:val="12"/>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13"/>
          <w:ilvl w:val="0"/>
        </w:numPr>
      </w:pPr>
      <w:r>
        <w:t xml:space="preserve">Ausgerichtet am Status Quo</w:t>
      </w:r>
    </w:p>
    <w:p>
      <w:pPr>
        <w:numPr>
          <w:numId w:val="13"/>
          <w:ilvl w:val="0"/>
        </w:numPr>
      </w:pPr>
      <w:r>
        <w:t xml:space="preserve">Einige Möglichkeiten weisen in die Zukunft (z.B. Geodaten, Volltexte, Vereinheitlichung der Kategorien-Nomenklatur)</w:t>
      </w:r>
    </w:p>
    <w:p>
      <w:pPr>
        <w:numPr>
          <w:numId w:val="13"/>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14"/>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15"/>
          <w:ilvl w:val="0"/>
        </w:numPr>
      </w:pPr>
      <w:r>
        <w:t xml:space="preserve">Siehe RFC4627</w:t>
      </w:r>
    </w:p>
    <w:p>
      <w:pPr>
        <w:numPr>
          <w:numId w:val="15"/>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16"/>
          <w:ilvl w:val="0"/>
        </w:numPr>
      </w:pPr>
      <w:r>
        <w:t xml:space="preserve">JSON-LD: http://www.w3.org/TR/json-ld/</w:t>
      </w:r>
    </w:p>
    <w:p>
      <w:pPr>
        <w:numPr>
          <w:numId w:val="16"/>
          <w:ilvl w:val="0"/>
        </w:numPr>
      </w:pPr>
      <w:r>
        <w:t xml:space="preserve">Einschränkungen von OParl gegenüber JSON-LD</w:t>
      </w:r>
    </w:p>
    <w:p>
      <w:pPr>
        <w:numPr>
          <w:numId w:val="16"/>
          <w:ilvl w:val="0"/>
        </w:numPr>
      </w:pPr>
      <w:r>
        <w:t xml:space="preserve">Schlüssel in einem JSON-LD-Objekt müssen einzigartig sein.</w:t>
      </w:r>
    </w:p>
    <w:p>
      <w:pPr>
        <w:numPr>
          <w:numId w:val="16"/>
          <w:ilvl w:val="0"/>
        </w:numPr>
      </w:pPr>
      <w:r>
        <w:t xml:space="preserve">Unterscheidung von Groß- und Kleinschreibung</w:t>
      </w:r>
    </w:p>
    <w:p>
      <w:pPr>
        <w:numPr>
          <w:numId w:val="16"/>
          <w:ilvl w:val="0"/>
        </w:numPr>
      </w:pPr>
      <w:r>
        <w:t xml:space="preserve">Benannte Objekte (URL als Schlüssel)</w:t>
      </w:r>
    </w:p>
    <w:p>
      <w:pPr>
        <w:numPr>
          <w:numId w:val="16"/>
          <w:ilvl w:val="0"/>
        </w:numPr>
      </w:pPr>
      <w:r>
        <w:t xml:space="preserve">Anonyme Objekte (Blank Nodes)</w:t>
      </w:r>
    </w:p>
    <w:p>
      <w:pPr>
        <w:numPr>
          <w:numId w:val="16"/>
          <w:ilvl w:val="0"/>
        </w:numPr>
      </w:pPr>
      <w:r>
        <w:t xml:space="preserve">Mime Type application/ld+json</w:t>
      </w:r>
    </w:p>
    <w:p>
      <w:pPr>
        <w:numPr>
          <w:numId w:val="16"/>
          <w:ilvl w:val="0"/>
        </w:numPr>
      </w:pPr>
      <w:r>
        <w:t xml:space="preserve">Kompakte Form mit Verwendung externer @context-URL als SOLL-Anforderung</w:t>
      </w:r>
    </w:p>
    <w:p>
      <w:pPr>
        <w:numPr>
          <w:numId w:val="16"/>
          <w:ilvl w:val="0"/>
        </w:numPr>
      </w:pPr>
      <w:r>
        <w:t xml:space="preserve">Verweis auf http://www.bmi.bund.de/SharedDocs/Downloads/DE/Themen/OED_Verwaltung/ModerneVerwaltung/opengovernment.pdf?__blob=publicationFile</w:t>
      </w:r>
    </w:p>
    <w:p>
      <w:pPr>
        <w:numPr>
          <w:numId w:val="16"/>
          <w:ilvl w:val="0"/>
        </w:numPr>
      </w:pPr>
      <w:r>
        <w:t xml:space="preserve">Siehe https://github.com/OParl/specs/issues/77</w:t>
      </w:r>
    </w:p>
    <w:p>
      <w:pPr>
        <w:numPr>
          <w:numId w:val="16"/>
          <w:ilvl w:val="0"/>
        </w:numPr>
      </w:pPr>
      <w:r>
        <w:t xml:space="preserve">Siehe https://github.com/OParl/specs/issues/10</w:t>
      </w:r>
    </w:p>
    <w:bookmarkStart w:id="jsonp" w:name="jsonp"/>
    <w:p>
      <w:pPr>
        <w:pStyle w:val="Heading3"/>
      </w:pPr>
      <w:r>
        <w:t xml:space="preserve">JSONP</w:t>
      </w:r>
    </w:p>
    <w:bookmarkEnd w:id="jsonp"/>
    <w:p>
      <w:pPr>
        <w:numPr>
          <w:numId w:val="17"/>
          <w:ilvl w:val="0"/>
        </w:numPr>
      </w:pPr>
      <w:r>
        <w:t xml:space="preserve">TODO: Spezifikation finden/verlinken. (RFC gibt es nicht)</w:t>
      </w:r>
    </w:p>
    <w:p>
      <w:pPr>
        <w:numPr>
          <w:numId w:val="17"/>
          <w:ilvl w:val="0"/>
        </w:numPr>
      </w:pPr>
      <w:r>
        <w:t xml:space="preserve">https://github.com/OParl/specs/issues/67</w:t>
      </w:r>
    </w:p>
    <w:p>
      <w:pPr>
        <w:numPr>
          <w:numId w:val="17"/>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18"/>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19"/>
          <w:ilvl w:val="0"/>
        </w:numPr>
      </w:pPr>
      <w:r>
        <w:t xml:space="preserve">Hinweise und evtl. Auszüge aus</w:t>
      </w:r>
    </w:p>
    <w:p>
      <w:pPr>
        <w:numPr>
          <w:numId w:val="19"/>
          <w:ilvl w:val="0"/>
        </w:numPr>
      </w:pPr>
      <w:r>
        <w:t xml:space="preserve">http://www.w3.org/Provider/Style/URI.html</w:t>
      </w:r>
    </w:p>
    <w:p>
      <w:pPr>
        <w:numPr>
          <w:numId w:val="19"/>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0"/>
          <w:ilvl w:val="0"/>
        </w:numPr>
      </w:pPr>
      <w:r>
        <w:t xml:space="preserve">Vermeidung von Duplicate Content durch Fehlkonfiguration</w:t>
      </w:r>
    </w:p>
    <w:p>
      <w:pPr>
        <w:numPr>
          <w:numId w:val="20"/>
          <w:ilvl w:val="0"/>
        </w:numPr>
      </w:pPr>
      <w:r>
        <w:t xml:space="preserve">z.B.: verschiedene CNAMES mit der selben IP-Adresse</w:t>
      </w:r>
    </w:p>
    <w:p>
      <w:pPr>
        <w:numPr>
          <w:numId w:val="20"/>
          <w:ilvl w:val="0"/>
        </w:numPr>
      </w:pPr>
      <w:r>
        <w:t xml:space="preserve">z.B.: Aufruf über http://www.example.com und http://example.com</w:t>
      </w:r>
    </w:p>
    <w:p>
      <w:pPr>
        <w:numPr>
          <w:numId w:val="20"/>
          <w:ilvl w:val="0"/>
        </w:numPr>
      </w:pPr>
      <w:r>
        <w:t xml:space="preserve">z.B.: Direkter Aufruf über IP-Adresse http://1.2.3.4/</w:t>
      </w:r>
    </w:p>
    <w:p>
      <w:pPr>
        <w:numPr>
          <w:numId w:val="20"/>
          <w:ilvl w:val="0"/>
        </w:numPr>
      </w:pPr>
      <w:r>
        <w:t xml:space="preserve">URL-Parameter in definierter Reihenfolge verwenden</w:t>
      </w:r>
    </w:p>
    <w:p>
      <w:pPr>
        <w:numPr>
          <w:numId w:val="20"/>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21"/>
          <w:ilvl w:val="0"/>
        </w:numPr>
      </w:pPr>
      <w:r>
        <w:t xml:space="preserve">Ausgabe von URLs</w:t>
      </w:r>
    </w:p>
    <w:p>
      <w:pPr>
        <w:numPr>
          <w:numId w:val="21"/>
          <w:ilvl w:val="0"/>
        </w:numPr>
      </w:pPr>
      <w:r>
        <w:t xml:space="preserve">Stabile Sortierung (Sets vs. Lists)</w:t>
      </w:r>
    </w:p>
    <w:p>
      <w:pPr>
        <w:numPr>
          <w:numId w:val="21"/>
          <w:ilvl w:val="0"/>
        </w:numPr>
      </w:pPr>
      <w:r>
        <w:t xml:space="preserve">Paginierung</w:t>
      </w:r>
    </w:p>
    <w:p>
      <w:pPr>
        <w:numPr>
          <w:numId w:val="21"/>
          <w:ilvl w:val="0"/>
        </w:numPr>
      </w:pPr>
      <w:r>
        <w:t xml:space="preserve">Einschränkung auf Datumsbereiche</w:t>
      </w:r>
    </w:p>
    <w:p>
      <w:r>
        <w:t xml:space="preserve">Dazu:</w:t>
      </w:r>
    </w:p>
    <w:p>
      <w:pPr>
        <w:numPr>
          <w:numId w:val="22"/>
          <w:ilvl w:val="0"/>
        </w:numPr>
      </w:pPr>
      <w:r>
        <w:t xml:space="preserve">https://github.com/OParl/specs/issues/66</w:t>
      </w:r>
    </w:p>
    <w:p>
      <w:pPr>
        <w:numPr>
          <w:numId w:val="22"/>
          <w:ilvl w:val="0"/>
        </w:numPr>
      </w:pPr>
      <w:r>
        <w:t xml:space="preserve">https://github.com/OParl/specs/issues/30 )</w:t>
      </w:r>
    </w:p>
    <w:bookmarkStart w:id="feeds" w:name="feeds"/>
    <w:p>
      <w:pPr>
        <w:pStyle w:val="Heading2"/>
      </w:pPr>
      <w:r>
        <w:t xml:space="preserve">Feeds</w:t>
      </w:r>
    </w:p>
    <w:bookmarkEnd w:id="feeds"/>
    <w:p>
      <w:pPr>
        <w:numPr>
          <w:numId w:val="23"/>
          <w:ilvl w:val="0"/>
        </w:numPr>
      </w:pPr>
      <w:r>
        <w:t xml:space="preserve">Warum Feeds?</w:t>
      </w:r>
    </w:p>
    <w:p>
      <w:pPr>
        <w:numPr>
          <w:numId w:val="23"/>
          <w:ilvl w:val="0"/>
        </w:numPr>
      </w:pPr>
      <w:r>
        <w:t xml:space="preserve">Möglichst ressourcenschonendes Auffinden neuer und geänderter Objekte</w:t>
      </w:r>
    </w:p>
    <w:p>
      <w:pPr>
        <w:numPr>
          <w:numId w:val="23"/>
          <w:ilvl w:val="0"/>
        </w:numPr>
      </w:pPr>
      <w:r>
        <w:t xml:space="preserve">Cache-Invalidierung, Entfernung von gelöschten/depublizierten Objekten</w:t>
      </w:r>
    </w:p>
    <w:p>
      <w:pPr>
        <w:numPr>
          <w:numId w:val="23"/>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24"/>
          <w:ilvl w:val="0"/>
        </w:numPr>
      </w:pPr>
      <w:r>
        <w:t xml:space="preserve">Liste von Objekt-URLs</w:t>
      </w:r>
    </w:p>
    <w:bookmarkStart w:id="dokumentenabruf" w:name="dokumentenabruf"/>
    <w:p>
      <w:pPr>
        <w:pStyle w:val="Heading2"/>
      </w:pPr>
      <w:r>
        <w:t xml:space="preserve">Dokumentenabruf</w:t>
      </w:r>
    </w:p>
    <w:bookmarkEnd w:id="dokumentenabruf"/>
    <w:p>
      <w:pPr>
        <w:numPr>
          <w:numId w:val="25"/>
          <w:ilvl w:val="0"/>
        </w:numPr>
      </w:pPr>
      <w:r>
        <w:t xml:space="preserve">HTTP GET Methode MUSS unterstützt werden</w:t>
      </w:r>
    </w:p>
    <w:p>
      <w:pPr>
        <w:numPr>
          <w:numId w:val="25"/>
          <w:ilvl w:val="0"/>
        </w:numPr>
      </w:pPr>
      <w:r>
        <w:t xml:space="preserve">HEAD-Methode MUSS unterstützt werden</w:t>
      </w:r>
    </w:p>
    <w:p>
      <w:pPr>
        <w:numPr>
          <w:numId w:val="25"/>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 Liste reservierter URL-Parameter --------------------------------</w:t>
      </w:r>
    </w:p>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26"/>
          <w:ilvl w:val="0"/>
        </w:numPr>
      </w:pPr>
      <w:r>
        <w:t xml:space="preserve">(Parameter für Datums-/Zeitbereichsfilter)</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27"/>
          <w:ilvl w:val="0"/>
        </w:numPr>
      </w:pPr>
      <w:r>
        <w:t xml:space="preserve">Stadt Köln [2] - Plattform: Somacos SessionNet [3]</w:t>
      </w:r>
    </w:p>
    <w:p>
      <w:pPr>
        <w:numPr>
          <w:numId w:val="27"/>
          <w:ilvl w:val="0"/>
        </w:numPr>
      </w:pPr>
      <w:r>
        <w:t xml:space="preserve">Bezirksverwaltung Berlin Mitte [4] - Plattform: ALLRIS [5]</w:t>
      </w:r>
    </w:p>
    <w:p>
      <w:pPr>
        <w:numPr>
          <w:numId w:val="27"/>
          <w:ilvl w:val="0"/>
        </w:numPr>
      </w:pPr>
      <w:r>
        <w:t xml:space="preserve">Stadt Rösrath [6] - Plattform der Firma PROVOX [7]</w:t>
      </w:r>
    </w:p>
    <w:p>
      <w:pPr>
        <w:numPr>
          <w:numId w:val="27"/>
          <w:ilvl w:val="0"/>
        </w:numPr>
      </w:pPr>
      <w:r>
        <w:t xml:space="preserve">Stadt Euskirchen [8] - Plattform: SD.NET RIM 4 [9]</w:t>
      </w:r>
    </w:p>
    <w:p>
      <w:pPr>
        <w:numPr>
          <w:numId w:val="27"/>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28"/>
          <w:ilvl w:val="0"/>
        </w:numPr>
      </w:pPr>
      <w:r>
        <w:t xml:space="preserve">Objekte vom Typ "Organisation" sind zwingend genau einer Körperschaft zugeordnet. So wird beispielseise eine SPD in Köln von einer SPD in Leverkusen unterschieden.</w:t>
      </w:r>
    </w:p>
    <w:p>
      <w:pPr>
        <w:numPr>
          <w:numId w:val="28"/>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29"/>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29"/>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29"/>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0"/>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0"/>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31"/>
          <w:ilvl w:val="0"/>
        </w:numPr>
      </w:pPr>
      <w:r>
        <w:t xml:space="preserve">Objekte vom Typ "Person" können einer Organisation, z.B. einer Fraktion, zugeornet werden. Diese Beziehung ist datiert.</w:t>
      </w:r>
    </w:p>
    <w:p>
      <w:pPr>
        <w:numPr>
          <w:numId w:val="31"/>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32"/>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33"/>
          <w:ilvl w:val="0"/>
        </w:numPr>
      </w:pPr>
      <w:r>
        <w:t xml:space="preserve">Jede Organisationen gehört zu einer Körperschaft.</w:t>
      </w:r>
    </w:p>
    <w:p>
      <w:pPr>
        <w:numPr>
          <w:numId w:val="33"/>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34"/>
          <w:ilvl w:val="0"/>
        </w:numPr>
      </w:pPr>
      <w:r>
        <w:t xml:space="preserve">Sitzungen sind mindestens einem Gremium zugeordnet</w:t>
      </w:r>
    </w:p>
    <w:p>
      <w:pPr>
        <w:numPr>
          <w:numId w:val="34"/>
          <w:ilvl w:val="0"/>
        </w:numPr>
      </w:pPr>
      <w:r>
        <w:t xml:space="preserve">Einer Sitzung sind Personen zugeordnet, um die Teilnahme an der Sitzung auszudrücken.</w:t>
      </w:r>
    </w:p>
    <w:p>
      <w:pPr>
        <w:numPr>
          <w:numId w:val="34"/>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35"/>
          <w:ilvl w:val="1"/>
        </w:numPr>
      </w:pPr>
      <w:r>
        <w:t xml:space="preserve">Zum Verweis auf die Einladung zur Sitzung</w:t>
      </w:r>
    </w:p>
    <w:p>
      <w:pPr>
        <w:numPr>
          <w:numId w:val="35"/>
          <w:ilvl w:val="1"/>
        </w:numPr>
      </w:pPr>
      <w:r>
        <w:t xml:space="preserve">Zum Verweis auf das Ergebnisprotokoll zur Sitzung</w:t>
      </w:r>
    </w:p>
    <w:p>
      <w:pPr>
        <w:numPr>
          <w:numId w:val="35"/>
          <w:ilvl w:val="1"/>
        </w:numPr>
      </w:pPr>
      <w:r>
        <w:t xml:space="preserve">Zum Verweis auf das Wortprotokoll zur Sitzung</w:t>
      </w:r>
    </w:p>
    <w:p>
      <w:pPr>
        <w:numPr>
          <w:numId w:val="35"/>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3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36"/>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37"/>
          <w:ilvl w:val="0"/>
        </w:numPr>
      </w:pPr>
      <w:r>
        <w:t xml:space="preserve">Jeder Tagesordnungspunkt gehört zu genau einer Sitzung.</w:t>
      </w:r>
    </w:p>
    <w:p>
      <w:pPr>
        <w:numPr>
          <w:numId w:val="37"/>
          <w:ilvl w:val="0"/>
        </w:numPr>
      </w:pPr>
      <w:r>
        <w:t xml:space="preserve">Der Tagesordnungspunkt kann auf eine Drucksache verweisen, die im Rahmen dieses Tagesordnungspunkt beraten werden soll.</w:t>
      </w:r>
    </w:p>
    <w:p>
      <w:pPr>
        <w:numPr>
          <w:numId w:val="37"/>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38"/>
          <w:ilvl w:val="0"/>
        </w:numPr>
      </w:pPr>
      <w:r>
        <w:rPr>
          <w:b/>
        </w:rPr>
        <w:t xml:space="preserve">Beschlussvorlage</w:t>
      </w:r>
      <w:r>
        <w:t xml:space="preserve">: Entscheidungsvorschlag der Verwaltung</w:t>
      </w:r>
    </w:p>
    <w:p>
      <w:pPr>
        <w:numPr>
          <w:numId w:val="38"/>
          <w:ilvl w:val="0"/>
        </w:numPr>
      </w:pPr>
      <w:r>
        <w:rPr>
          <w:b/>
        </w:rPr>
        <w:t xml:space="preserve">Antrag</w:t>
      </w:r>
      <w:r>
        <w:t xml:space="preserve">: Entscheidungsvorschlag einer Fraktionen bzw. mehrerer Fraktionen oder einer/mehrerer Einzelperson/en</w:t>
      </w:r>
    </w:p>
    <w:p>
      <w:pPr>
        <w:numPr>
          <w:numId w:val="38"/>
          <w:ilvl w:val="0"/>
        </w:numPr>
      </w:pPr>
      <w:r>
        <w:rPr>
          <w:b/>
        </w:rPr>
        <w:t xml:space="preserve">Anfrage</w:t>
      </w:r>
      <w:r>
        <w:t xml:space="preserve">: Frage(n) einer oder mehrerer Fraktion oder Einzelpersonen an die Verwaltung</w:t>
      </w:r>
    </w:p>
    <w:p>
      <w:pPr>
        <w:numPr>
          <w:numId w:val="38"/>
          <w:ilvl w:val="0"/>
        </w:numPr>
      </w:pPr>
      <w:r>
        <w:rPr>
          <w:b/>
        </w:rPr>
        <w:t xml:space="preserve">Mitteilung/Stellungnahme der Verwaltung</w:t>
      </w:r>
      <w:r>
        <w:t xml:space="preserve">: Eine Information der Verwaltung an einzelne oder mehrere Gremien. Darunter fallen nicht Beantwortungen von Anfragen.</w:t>
      </w:r>
    </w:p>
    <w:p>
      <w:pPr>
        <w:numPr>
          <w:numId w:val="38"/>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39"/>
          <w:ilvl w:val="0"/>
        </w:numPr>
      </w:pPr>
      <w:r>
        <w:t xml:space="preserve">Es muss genau ein</w:t>
      </w:r>
      <w:r>
        <w:t xml:space="preserve"> </w:t>
      </w:r>
      <w:r>
        <w:rPr>
          <w:b/>
        </w:rPr>
        <w:t xml:space="preserve">Hauptdokument</w:t>
      </w:r>
      <w:r>
        <w:t xml:space="preserve"> </w:t>
      </w:r>
      <w:r>
        <w:t xml:space="preserve">(Objekttyp "Dokument") referenziert werden.</w:t>
      </w:r>
    </w:p>
    <w:p>
      <w:pPr>
        <w:numPr>
          <w:numId w:val="3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39"/>
          <w:ilvl w:val="0"/>
        </w:numPr>
      </w:pPr>
      <w:r>
        <w:t xml:space="preserve">Die Drucksache ist beliebig vielen Gremien zuzuordnen, in denen diese beraten wird.</w:t>
      </w:r>
    </w:p>
    <w:p>
      <w:pPr>
        <w:numPr>
          <w:numId w:val="3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3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3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3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40"/>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0"/>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41"/>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fußnoten" w:name="fußnoten"/>
    <w:p>
      <w:pPr>
        <w:pStyle w:val="Heading1"/>
      </w:pPr>
      <w:r>
        <w:t xml:space="preserve">Fußnoten</w:t>
      </w:r>
    </w:p>
    <w:bookmarkEnd w:id="fußnoten"/>
    <w:p>
      <w:r>
        <w:t xml:space="preserve">[1]: Siehe</w:t>
      </w:r>
      <w:r>
        <w:t xml:space="preserve"> </w:t>
      </w:r>
      <w:hyperlink r:id="link2">
        <w:r>
          <w:rPr>
            <w:rStyle w:val="Hyperlink"/>
          </w:rPr>
          <w:t xml:space="preserve">de.wikipedia.org/wiki/Amtlicher_Gemeindeschlüssel</w:t>
        </w:r>
      </w:hyperlink>
    </w:p>
    <w:p>
      <w:r>
        <w:t xml:space="preserve">[2]: Ratsinformationssystem der Stadt Köln,</w:t>
      </w:r>
      <w:r>
        <w:t xml:space="preserve"> </w:t>
      </w:r>
      <w:hyperlink r:id="link3">
        <w:r>
          <w:rPr>
            <w:rStyle w:val="Hyperlink"/>
          </w:rPr>
          <w:t xml:space="preserve">http://ratsinformation.stadt-koeln.de/</w:t>
        </w:r>
      </w:hyperlink>
    </w:p>
    <w:p>
      <w:r>
        <w:t xml:space="preserve">[3]: Firma Somacos,</w:t>
      </w:r>
      <w:r>
        <w:t xml:space="preserve"> </w:t>
      </w:r>
      <w:hyperlink r:id="link4">
        <w:r>
          <w:rPr>
            <w:rStyle w:val="Hyperlink"/>
          </w:rPr>
          <w:t xml:space="preserve">SessionNet Produktinformation</w:t>
        </w:r>
      </w:hyperlink>
    </w:p>
    <w:p>
      <w:r>
        <w:t xml:space="preserve">[4]: Ratsinformationssystem der Bezirksverwaltugn Berlin Mitte,</w:t>
      </w:r>
      <w:r>
        <w:t xml:space="preserve"> </w:t>
      </w:r>
      <w:hyperlink r:id="link5">
        <w:r>
          <w:rPr>
            <w:rStyle w:val="Hyperlink"/>
          </w:rPr>
          <w:t xml:space="preserve">http://www.berlin.de/...</w:t>
        </w:r>
      </w:hyperlink>
    </w:p>
    <w:p>
      <w:r>
        <w:t xml:space="preserve">[5]: CC e-gov GmbH,</w:t>
      </w:r>
      <w:r>
        <w:t xml:space="preserve"> </w:t>
      </w:r>
      <w:hyperlink r:id="link6">
        <w:r>
          <w:rPr>
            <w:rStyle w:val="Hyperlink"/>
          </w:rPr>
          <w:t xml:space="preserve">ALLRIS Produktionformationen</w:t>
        </w:r>
      </w:hyperlink>
    </w:p>
    <w:p>
      <w:r>
        <w:t xml:space="preserve">[6]: Ratsinformationssystem der Stadt Rösrath,</w:t>
      </w:r>
      <w:r>
        <w:t xml:space="preserve"> </w:t>
      </w:r>
      <w:hyperlink r:id="link7">
        <w:r>
          <w:rPr>
            <w:rStyle w:val="Hyperlink"/>
          </w:rPr>
          <w:t xml:space="preserve">http://212.227.97.55/...</w:t>
        </w:r>
      </w:hyperlink>
    </w:p>
    <w:p>
      <w:r>
        <w:t xml:space="preserve">[7]:</w:t>
      </w:r>
      <w:r>
        <w:t xml:space="preserve"> </w:t>
      </w:r>
      <w:hyperlink r:id="link8">
        <w:r>
          <w:rPr>
            <w:rStyle w:val="Hyperlink"/>
          </w:rPr>
          <w:t xml:space="preserve">Firma PROVOX</w:t>
        </w:r>
      </w:hyperlink>
    </w:p>
    <w:p>
      <w:r>
        <w:t xml:space="preserve">[8]: Ratsinformationssystem der Stadt Euskirchen,</w:t>
      </w:r>
      <w:r>
        <w:t xml:space="preserve"> </w:t>
      </w:r>
      <w:hyperlink r:id="link9">
        <w:r>
          <w:rPr>
            <w:rStyle w:val="Hyperlink"/>
          </w:rPr>
          <w:t xml:space="preserve">https://sitzungsdienst.euskirchen.de/</w:t>
        </w:r>
      </w:hyperlink>
    </w:p>
    <w:p>
      <w:r>
        <w:t xml:space="preserve">[9]: Firma Sternberg,</w:t>
      </w:r>
      <w:r>
        <w:t xml:space="preserve"> </w:t>
      </w:r>
      <w:hyperlink r:id="link10">
        <w:r>
          <w:rPr>
            <w:rStyle w:val="Hyperlink"/>
          </w:rPr>
          <w:t xml:space="preserve">SD.NET RIM Produktionformationen</w:t>
        </w:r>
      </w:hyperlink>
    </w:p>
    <w:p>
      <w:r>
        <w:t xml:space="preserve">[10]: BoRis, Ratsinformationssystem der Stadt Bonn (Eigenentwicklung).</w:t>
      </w:r>
      <w:r>
        <w:t xml:space="preserve"> </w:t>
      </w:r>
      <w:hyperlink r:id="link11">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2">
        <w:r>
          <w:rPr>
            <w:rStyle w:val="Hyperlink"/>
          </w:rPr>
          <w:t xml:space="preserve">de.wikipedia.org/wiki/Gemeinsame_Normdatei</w:t>
        </w:r>
      </w:hyperlink>
    </w:p>
    <w:p>
      <w:r>
        <w:t xml:space="preserve">[13]: GeoJSON</w:t>
      </w:r>
      <w:r>
        <w:t xml:space="preserve"> </w:t>
      </w:r>
      <w:hyperlink r:id="link13">
        <w:r>
          <w:rPr>
            <w:rStyle w:val="Hyperlink"/>
          </w:rPr>
          <w:t xml:space="preserve">www.geojson.org</w:t>
        </w:r>
      </w:hyperlink>
    </w:p>
    <w:p>
      <w:r>
        <w:t xml:space="preserve">[14]: Frankfurt Gestalten</w:t>
      </w:r>
      <w:r>
        <w:t xml:space="preserve"> </w:t>
      </w:r>
      <w:hyperlink r:id="link13">
        <w:r>
          <w:rPr>
            <w:rStyle w:val="Hyperlink"/>
          </w:rPr>
          <w:t xml:space="preserve">www.geojson.org</w:t>
        </w:r>
      </w:hyperlink>
    </w:p>
    <w:p>
      <w:r>
        <w:t xml:space="preserve">[15]: Offenes Köln</w:t>
      </w:r>
      <w:r>
        <w:t xml:space="preserve"> </w:t>
      </w:r>
      <w:hyperlink r:id="link14">
        <w:r>
          <w:rPr>
            <w:rStyle w:val="Hyperlink"/>
          </w:rPr>
          <w:t xml:space="preserve">offeneskoeln.de</w:t>
        </w:r>
      </w:hyperlink>
    </w:p>
    <w:p>
      <w:r>
        <w:t xml:space="preserve">[16]: OpenRuhr:RIS</w:t>
      </w:r>
      <w:r>
        <w:t xml:space="preserve"> </w:t>
      </w:r>
      <w:hyperlink r:id="link15">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0">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1">
            <w:r>
              <w:rPr>
                <w:rStyle w:val="VerbatimChar"/>
                <w:rStyle w:val="Hyperlink"/>
              </w:rPr>
              <w:t xml:space="preserve">http://www.w3.org/TR/webarch/</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8">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7" Target="http://212.227.97.55/ratsinfo/roesrath" TargetMode="External" /><Relationship Type="http://schemas.openxmlformats.org/officeDocument/2006/relationships/hyperlink" Id="link2" Target="http://de.wikipedia.org/wiki/Amtlicher_Gemeindeschl%C3%BCssel" TargetMode="External" /><Relationship Type="http://schemas.openxmlformats.org/officeDocument/2006/relationships/hyperlink" Id="link12" Target="http://de.wikipedia.org/wiki/Gemeinsame_Normdatei" TargetMode="External" /><Relationship Type="http://schemas.openxmlformats.org/officeDocument/2006/relationships/hyperlink" Id="link14" Target="http://offeneskoeln.de/" TargetMode="External" /><Relationship Type="http://schemas.openxmlformats.org/officeDocument/2006/relationships/hyperlink" Id="link15" Target="http://openruhr.de/openruhrris/" TargetMode="External" /><Relationship Type="http://schemas.openxmlformats.org/officeDocument/2006/relationships/hyperlink" Id="link3" Target="http://ratsinformation.stadt-koeln.de/" TargetMode="External" /><Relationship Type="http://schemas.openxmlformats.org/officeDocument/2006/relationships/hyperlink" Id="link0" Target="http://tools.ietf.org/html/rfc2119" TargetMode="External" /><Relationship Type="http://schemas.openxmlformats.org/officeDocument/2006/relationships/hyperlink" Id="link5" Target="http://www.berlin.de/ba-mitte/bvv-online/allris.net.asp" TargetMode="External" /><Relationship Type="http://schemas.openxmlformats.org/officeDocument/2006/relationships/hyperlink" Id="link6" Target="http://www.cc-egov.de/allris.htm" TargetMode="External" /><Relationship Type="http://schemas.openxmlformats.org/officeDocument/2006/relationships/hyperlink" Id="link13" Target="http://www.geojson.org/" TargetMode="External" /><Relationship Type="http://schemas.openxmlformats.org/officeDocument/2006/relationships/hyperlink" Id="link8" Target="http://www.provox.de/" TargetMode="External" /><Relationship Type="http://schemas.openxmlformats.org/officeDocument/2006/relationships/hyperlink" Id="link10" Target="http://www.sitzungsdienst.net/produkte/ratsinformationsmanagement" TargetMode="External" /><Relationship Type="http://schemas.openxmlformats.org/officeDocument/2006/relationships/hyperlink" Id="link4" Target="http://www.somacos.de/de/sitzungsdienst/ratsinfo.html" TargetMode="External" /><Relationship Type="http://schemas.openxmlformats.org/officeDocument/2006/relationships/hyperlink" Id="link1" Target="http://www.w3.org/TR/webarch/" TargetMode="External" /><Relationship Type="http://schemas.openxmlformats.org/officeDocument/2006/relationships/hyperlink" Id="link11" Target="http://www2.bonn.de/bo_ris/ris_sql/agm_index.asp" TargetMode="External" /><Relationship Type="http://schemas.openxmlformats.org/officeDocument/2006/relationships/hyperlink" Id="link9"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