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motivationen-für-den-standardisierten-datenzugriff" w:name="motivationen-für-den-standardisierten-datenzugriff"/>
    <w:p>
      <w:pPr>
        <w:pStyle w:val="Heading2"/>
      </w:pPr>
      <w:r>
        <w:t xml:space="preserve">Motivationen für den standardisierten Datenzugriff</w:t>
      </w:r>
    </w:p>
    <w:bookmarkEnd w:id="motivationen-für-den-standardisierten-datenzugriff"/>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2"/>
          <w:ilvl w:val="0"/>
        </w:numPr>
      </w:pPr>
      <w:r>
        <w:t xml:space="preserve">Apps für den Abruf auf mobilen Endgeräten</w:t>
      </w:r>
    </w:p>
    <w:p>
      <w:pPr>
        <w:numPr>
          <w:numId w:val="2"/>
          <w:ilvl w:val="0"/>
        </w:numPr>
      </w:pPr>
      <w:r>
        <w:t xml:space="preserve">Möglichkeiten zur Wiedergabe für Nutzerinnen und Nutzer mit Beeinträchtigung des Sehvermögens</w:t>
      </w:r>
    </w:p>
    <w:p>
      <w:pPr>
        <w:numPr>
          <w:numId w:val="2"/>
          <w:ilvl w:val="0"/>
        </w:numPr>
      </w:pPr>
      <w:r>
        <w:t xml:space="preserve">Alternative und erweiterte Suchmöglichkeiten in Inhalten</w:t>
      </w:r>
    </w:p>
    <w:p>
      <w:pPr>
        <w:numPr>
          <w:numId w:val="2"/>
          <w:ilvl w:val="0"/>
        </w:numPr>
      </w:pPr>
      <w:r>
        <w:t xml:space="preserve">Auswertung und Analyse von Themen, Inhalten, Sprache etc.</w:t>
      </w:r>
    </w:p>
    <w:p>
      <w:pPr>
        <w:numPr>
          <w:numId w:val="2"/>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funktionsumfang-der-oparl-schnittstelle" w:name="funktionsumfang-der-oparl-schnittstelle"/>
    <w:p>
      <w:pPr>
        <w:pStyle w:val="Heading2"/>
      </w:pPr>
      <w:r>
        <w:t xml:space="preserve">Funktionsumfang der OParl-Schnittstelle</w:t>
      </w:r>
    </w:p>
    <w:bookmarkEnd w:id="funktionsumfang-der-oparl-schnittstelle"/>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bookmarkStart w:id="zielsetzung-von-oparl" w:name="zielsetzung-von-oparl"/>
    <w:p>
      <w:pPr>
        <w:pStyle w:val="Heading2"/>
      </w:pPr>
      <w:r>
        <w:t xml:space="preserve">Zielsetzung von OParl</w:t>
      </w:r>
    </w:p>
    <w:bookmarkEnd w:id="zielsetzung-von-oparl"/>
    <w:p>
      <w:pPr>
        <w:numPr>
          <w:numId w:val="3"/>
          <w:ilvl w:val="0"/>
        </w:numPr>
      </w:pPr>
      <w:r>
        <w:t xml:space="preserve">Nutzen für Kommunen, Bürger, politische Parteien</w:t>
      </w:r>
    </w:p>
    <w:p>
      <w:pPr>
        <w:numPr>
          <w:numId w:val="3"/>
          <w:ilvl w:val="0"/>
        </w:numPr>
      </w:pPr>
      <w:r>
        <w:t xml:space="preserve">Nutzen für Anbieter von RIS-Pflegesoftware</w:t>
      </w:r>
    </w:p>
    <w:p>
      <w:pPr>
        <w:numPr>
          <w:numId w:val="3"/>
          <w:ilvl w:val="0"/>
        </w:numPr>
      </w:pPr>
      <w:r>
        <w:t xml:space="preserve">Nutzen für Anbieter von RIS-Darstellungssoftware</w:t>
      </w:r>
    </w:p>
    <w:p>
      <w:pPr>
        <w:numPr>
          <w:numId w:val="3"/>
          <w:ilvl w:val="0"/>
        </w:numPr>
      </w:pPr>
      <w:r>
        <w:t xml:space="preserve">Nutzen für Open Data Initiativen</w:t>
      </w:r>
    </w:p>
    <w:p>
      <w:pPr>
        <w:numPr>
          <w:numId w:val="3"/>
          <w:ilvl w:val="0"/>
        </w:numPr>
      </w:pPr>
      <w:r>
        <w:t xml:space="preserve">Nutzen für die Wissenschaft</w:t>
      </w:r>
    </w:p>
    <w:p>
      <w:pPr>
        <w:numPr>
          <w:numId w:val="3"/>
          <w:ilvl w:val="0"/>
        </w:numPr>
      </w:pPr>
      <w:r>
        <w:t xml:space="preserve">Linked Data erwähnen</w:t>
      </w:r>
    </w:p>
    <w:bookmarkStart w:id="werdegang-von-oparl-1.0" w:name="werdegang-von-oparl-1.0"/>
    <w:p>
      <w:pPr>
        <w:pStyle w:val="Heading2"/>
      </w:pPr>
      <w:r>
        <w:t xml:space="preserve">Werdegang von OParl 1.0</w:t>
      </w:r>
    </w:p>
    <w:bookmarkEnd w:id="werdegang-von-oparl-1.0"/>
    <w:p>
      <w:r>
        <w:t xml:space="preserve">Stichpunkte:</w:t>
      </w:r>
    </w:p>
    <w:p>
      <w:pPr>
        <w:numPr>
          <w:numId w:val="5"/>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6"/>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6"/>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7"/>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8"/>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9"/>
          <w:ilvl w:val="0"/>
        </w:numPr>
      </w:pPr>
      <w:r>
        <w:t xml:space="preserve">Verfeinerung, Lücken schliessen</w:t>
      </w:r>
    </w:p>
    <w:p>
      <w:pPr>
        <w:numPr>
          <w:numId w:val="9"/>
          <w:ilvl w:val="0"/>
        </w:numPr>
      </w:pPr>
      <w:r>
        <w:t xml:space="preserve">Globalisierung</w:t>
      </w:r>
    </w:p>
    <w:p>
      <w:pPr>
        <w:numPr>
          <w:numId w:val="9"/>
          <w:ilvl w:val="0"/>
        </w:numPr>
      </w:pPr>
      <w:r>
        <w:t xml:space="preserve">Erweiterung über die kommunale Ebene hinaus (Land, Bund)</w:t>
      </w:r>
    </w:p>
    <w:p>
      <w:pPr>
        <w:numPr>
          <w:numId w:val="9"/>
          <w:ilvl w:val="0"/>
        </w:numPr>
      </w:pPr>
      <w:r>
        <w:t xml:space="preserve">Vereinheitlichung von Kategorien (Drucksachentypen, Arten von Gremien)</w:t>
      </w:r>
    </w:p>
    <w:p>
      <w:pPr>
        <w:numPr>
          <w:numId w:val="9"/>
          <w:ilvl w:val="0"/>
        </w:numPr>
      </w:pPr>
      <w:r>
        <w:t xml:space="preserve">Erweiterung von Personendaten, z.B. mit Social Media URLs</w:t>
      </w:r>
    </w:p>
    <w:p>
      <w:pPr>
        <w:numPr>
          <w:numId w:val="9"/>
          <w:ilvl w:val="0"/>
        </w:numPr>
      </w:pPr>
      <w:r>
        <w:t xml:space="preserve">Mehr Abfragekriterien</w:t>
      </w:r>
    </w:p>
    <w:p>
      <w:pPr>
        <w:numPr>
          <w:numId w:val="9"/>
          <w:ilvl w:val="0"/>
        </w:numPr>
      </w:pPr>
      <w:r>
        <w:t xml:space="preserve">Suchfunktionen (Volltextsuche)</w:t>
      </w:r>
    </w:p>
    <w:p>
      <w:pPr>
        <w:numPr>
          <w:numId w:val="9"/>
          <w:ilvl w:val="0"/>
        </w:numPr>
      </w:pPr>
      <w:r>
        <w:t xml:space="preserve">Abstimmungsverhalten und maschinenlesbare Protokolle</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r>
        <w:t xml:space="preserve">.</w:t>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bookmarkStart w:id="überblick" w:name="überblick"/>
    <w:p>
      <w:pPr>
        <w:pStyle w:val="Heading2"/>
      </w:pPr>
      <w:r>
        <w:t xml:space="preserve">Überblick</w:t>
      </w:r>
    </w:p>
    <w:bookmarkEnd w:id="überblick"/>
    <w:p>
      <w:r>
        <w:t xml:space="preserve">TODO: Architekturdiagramm einbinden</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0"/>
          <w:ilvl w:val="0"/>
        </w:numPr>
      </w:pPr>
      <w:r>
        <w:t xml:space="preserve">Das Erzeugen, Bearbeiten und Darstellen von Sitzungen und deren Tagesordnung</w:t>
      </w:r>
    </w:p>
    <w:p>
      <w:pPr>
        <w:numPr>
          <w:numId w:val="10"/>
          <w:ilvl w:val="0"/>
        </w:numPr>
      </w:pPr>
      <w:r>
        <w:t xml:space="preserve">Das Erzeugen und Abrufen von Sitzungsprotokollen</w:t>
      </w:r>
    </w:p>
    <w:p>
      <w:pPr>
        <w:numPr>
          <w:numId w:val="10"/>
          <w:ilvl w:val="0"/>
        </w:numPr>
      </w:pPr>
      <w:r>
        <w:t xml:space="preserve">Das Erzeugen, Bearbeiten und Anzeigen von Drucksachen</w:t>
      </w:r>
    </w:p>
    <w:p>
      <w:pPr>
        <w:numPr>
          <w:numId w:val="10"/>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nutzungsszenarien" w:name="nutzungsszenarien"/>
    <w:p>
      <w:pPr>
        <w:pStyle w:val="Heading1"/>
      </w:pPr>
      <w:r>
        <w:t xml:space="preserve">Nutzungsszenarien</w:t>
      </w:r>
    </w:p>
    <w:bookmarkEnd w:id="nutzungsszenarien"/>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11"/>
          <w:ilvl w:val="0"/>
        </w:numPr>
      </w:pPr>
      <w:r>
        <w:t xml:space="preserve">Grundlage für den Zugriff auf die Schnittstelle ist das Hypertext Transfer Protocol (HTTP).</w:t>
      </w:r>
    </w:p>
    <w:p>
      <w:pPr>
        <w:numPr>
          <w:numId w:val="11"/>
          <w:ilvl w:val="0"/>
        </w:numPr>
      </w:pPr>
      <w:r>
        <w:t xml:space="preserve">Optional gzip Encoding und andere Kodierungen, wenn Client und Server dies unterstützen</w:t>
      </w:r>
    </w:p>
    <w:p>
      <w:pPr>
        <w:numPr>
          <w:numId w:val="11"/>
          <w:ilvl w:val="0"/>
        </w:numPr>
      </w:pPr>
      <w:r>
        <w:t xml:space="preserve">Das Protkoll ist zustandslos</w:t>
      </w:r>
    </w:p>
    <w:p>
      <w:pPr>
        <w:numPr>
          <w:numId w:val="11"/>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llgemein" w:name="allgemein"/>
    <w:p>
      <w:pPr>
        <w:pStyle w:val="Heading3"/>
      </w:pPr>
      <w:r>
        <w:t xml:space="preserve">Allgemein</w:t>
      </w:r>
    </w:p>
    <w:bookmarkEnd w:id="allgemein"/>
    <w:p>
      <w:pPr>
        <w:numPr>
          <w:numId w:val="12"/>
          <w:ilvl w:val="0"/>
        </w:numPr>
      </w:pPr>
      <w:r>
        <w:t xml:space="preserve">Ausgerichtet am Status Quo</w:t>
      </w:r>
    </w:p>
    <w:p>
      <w:pPr>
        <w:numPr>
          <w:numId w:val="12"/>
          <w:ilvl w:val="0"/>
        </w:numPr>
      </w:pPr>
      <w:r>
        <w:t xml:space="preserve">Einige Möglichkeiten weisen in die Zukunft (z.B. Geodaten, Volltexte, Vereinheitlichung der Kategorien-Nomenklatur)</w:t>
      </w:r>
    </w:p>
    <w:p>
      <w:pPr>
        <w:numPr>
          <w:numId w:val="12"/>
          <w:ilvl w:val="0"/>
        </w:numPr>
      </w:pPr>
      <w:r>
        <w:t xml:space="preserve">Ziel: Schnelle Implementierbarkeit in vielen bestehenden RIS</w:t>
      </w:r>
    </w:p>
    <w:bookmarkStart w:id="restful" w:name="restful"/>
    <w:p>
      <w:pPr>
        <w:pStyle w:val="Heading3"/>
      </w:pPr>
      <w:r>
        <w:t xml:space="preserve">RESTful</w:t>
      </w:r>
    </w:p>
    <w:bookmarkEnd w:id="restful"/>
    <w:bookmarkStart w:id="selbstbeschreibungsfähigkeit" w:name="selbstbeschreibungsfähigkeit"/>
    <w:p>
      <w:pPr>
        <w:pStyle w:val="Heading3"/>
      </w:pPr>
      <w:r>
        <w:t xml:space="preserve">Selbstbeschreibungsfähigkeit</w:t>
      </w:r>
    </w:p>
    <w:bookmarkEnd w:id="selbstbeschreibungsfähigkeit"/>
    <w:bookmarkStart w:id="erweiterbarkeit" w:name="erweiterbarkeit"/>
    <w:p>
      <w:pPr>
        <w:pStyle w:val="Heading3"/>
      </w:pPr>
      <w:r>
        <w:t xml:space="preserve">Erweiterbarkeit</w:t>
      </w:r>
    </w:p>
    <w:bookmarkEnd w:id="erweiterbarkeit"/>
    <w:bookmarkStart w:id="browseabilityverlinkung" w:name="browseabilityverlinkung"/>
    <w:p>
      <w:pPr>
        <w:pStyle w:val="Heading3"/>
      </w:pPr>
      <w:r>
        <w:t xml:space="preserve">Browseability/Verlinkung</w:t>
      </w:r>
    </w:p>
    <w:bookmarkEnd w:id="browseabilityverlinkung"/>
    <w:bookmarkStart w:id="zukunftssicherheit" w:name="zukunftssicherheit"/>
    <w:p>
      <w:pPr>
        <w:pStyle w:val="Heading2"/>
      </w:pPr>
      <w:r>
        <w:t xml:space="preserve">Zukunftssicherheit</w:t>
      </w:r>
    </w:p>
    <w:bookmarkEnd w:id="zukunftssicherheit"/>
    <w:p>
      <w:r>
        <w:t xml:space="preserve">(In diesem Abschnitt wird die Zielsetzung beschrieben, zukünftige Versionen der OParl Spezifikation auf dieser Version aufbauen zu lassen. Damit soll nach Mögloichkeit Abwärtskompatibilität erreicht werden, so dass z.B. OParl-1.0-Clients mit einem 1.1-Server kommunizieren können.</w:t>
      </w:r>
    </w:p>
    <w:p>
      <w:r>
        <w:t xml:space="preserve">Ein Garantie wird es jedoch nicht geben.)</w:t>
      </w:r>
    </w:p>
    <w:bookmarkStart w:id="http-und-https" w:name="http-und-https"/>
    <w:p>
      <w:pPr>
        <w:pStyle w:val="Heading2"/>
      </w:pPr>
      <w:r>
        <w:t xml:space="preserve">HTTP und HTTPS</w:t>
      </w:r>
    </w:p>
    <w:bookmarkEnd w:id="http-und-https"/>
    <w:p>
      <w:r>
        <w:t xml:space="preserve">(Hier geht es um die Verwendung von HTTP im Sinne der OParl-Spezifikation.</w:t>
      </w:r>
    </w:p>
    <w:p>
      <w:pPr>
        <w:numPr>
          <w:numId w:val="13"/>
          <w:ilvl w:val="0"/>
        </w:numPr>
      </w:pPr>
      <w:r>
        <w:t xml:space="preserve">HTTPS kann optional an Stelle von HTTP eingesetzt werden.</w:t>
      </w:r>
    </w:p>
    <w:p>
      <w:r>
        <w:t xml:space="preserve">Siehe auch https://github.com/OParl/specs/issues/90)</w:t>
      </w:r>
    </w:p>
    <w:bookmarkStart w:id="serialisierung-mittels-json-ld-und-jsonp" w:name="serialisierung-mittels-json-ld-und-jsonp"/>
    <w:p>
      <w:pPr>
        <w:pStyle w:val="Heading2"/>
      </w:pPr>
      <w:r>
        <w:t xml:space="preserve">Serialisierung mittels JSON-LD und JSONP</w:t>
      </w:r>
    </w:p>
    <w:bookmarkEnd w:id="serialisierung-mittels-json-ld-und-jsonp"/>
    <w:bookmarkStart w:id="json" w:name="json"/>
    <w:p>
      <w:pPr>
        <w:pStyle w:val="Heading3"/>
      </w:pPr>
      <w:r>
        <w:t xml:space="preserve">JSON</w:t>
      </w:r>
    </w:p>
    <w:bookmarkEnd w:id="json"/>
    <w:p>
      <w:pPr>
        <w:numPr>
          <w:numId w:val="14"/>
          <w:ilvl w:val="0"/>
        </w:numPr>
      </w:pPr>
      <w:r>
        <w:t xml:space="preserve">Siehe RFC4627</w:t>
      </w:r>
    </w:p>
    <w:p>
      <w:pPr>
        <w:numPr>
          <w:numId w:val="14"/>
          <w:ilvl w:val="0"/>
        </w:numPr>
      </w:pPr>
      <w:r>
        <w:t xml:space="preserve">Generelle Terminologie übernehmen (JSON-Objekt, Array, String, Number, true/false, null)</w:t>
      </w:r>
    </w:p>
    <w:bookmarkStart w:id="json-ld" w:name="json-ld"/>
    <w:p>
      <w:pPr>
        <w:pStyle w:val="Heading3"/>
      </w:pPr>
      <w:r>
        <w:t xml:space="preserve">JSON-LD</w:t>
      </w:r>
    </w:p>
    <w:bookmarkEnd w:id="json-ld"/>
    <w:p>
      <w:pPr>
        <w:numPr>
          <w:numId w:val="15"/>
          <w:ilvl w:val="0"/>
        </w:numPr>
      </w:pPr>
      <w:r>
        <w:t xml:space="preserve">JSON-LD: http://www.w3.org/TR/json-ld/</w:t>
      </w:r>
    </w:p>
    <w:p>
      <w:pPr>
        <w:numPr>
          <w:numId w:val="15"/>
          <w:ilvl w:val="0"/>
        </w:numPr>
      </w:pPr>
      <w:r>
        <w:t xml:space="preserve">Einschränkungen von OParl gegenüber JSON-LD</w:t>
      </w:r>
    </w:p>
    <w:p>
      <w:pPr>
        <w:numPr>
          <w:numId w:val="15"/>
          <w:ilvl w:val="0"/>
        </w:numPr>
      </w:pPr>
      <w:r>
        <w:t xml:space="preserve">Schlüssel in einem JSON-LD-Objekt müssen einzigartig sein.</w:t>
      </w:r>
    </w:p>
    <w:p>
      <w:pPr>
        <w:numPr>
          <w:numId w:val="15"/>
          <w:ilvl w:val="0"/>
        </w:numPr>
      </w:pPr>
      <w:r>
        <w:t xml:space="preserve">Unterscheidung von Groß- und Kleinschreibung</w:t>
      </w:r>
    </w:p>
    <w:p>
      <w:pPr>
        <w:numPr>
          <w:numId w:val="15"/>
          <w:ilvl w:val="0"/>
        </w:numPr>
      </w:pPr>
      <w:r>
        <w:t xml:space="preserve">Benannte Objekte (URL als Schlüssel)</w:t>
      </w:r>
    </w:p>
    <w:p>
      <w:pPr>
        <w:numPr>
          <w:numId w:val="15"/>
          <w:ilvl w:val="0"/>
        </w:numPr>
      </w:pPr>
      <w:r>
        <w:t xml:space="preserve">Anonyme Objekte (Blank Nodes)</w:t>
      </w:r>
    </w:p>
    <w:p>
      <w:pPr>
        <w:numPr>
          <w:numId w:val="15"/>
          <w:ilvl w:val="0"/>
        </w:numPr>
      </w:pPr>
      <w:r>
        <w:t xml:space="preserve">Mime Type application/ld+json</w:t>
      </w:r>
    </w:p>
    <w:p>
      <w:pPr>
        <w:numPr>
          <w:numId w:val="15"/>
          <w:ilvl w:val="0"/>
        </w:numPr>
      </w:pPr>
      <w:r>
        <w:t xml:space="preserve">Verweis auf http://www.bmi.bund.de/SharedDocs/Downloads/DE/Themen/OED_Verwaltung/ModerneVerwaltung/opengovernment.pdf?__blob=publicationFile</w:t>
      </w:r>
    </w:p>
    <w:bookmarkStart w:id="jsonp" w:name="jsonp"/>
    <w:p>
      <w:pPr>
        <w:pStyle w:val="Heading3"/>
      </w:pPr>
      <w:r>
        <w:t xml:space="preserve">JSONP</w:t>
      </w:r>
    </w:p>
    <w:bookmarkEnd w:id="jsonp"/>
    <w:p>
      <w:pPr>
        <w:numPr>
          <w:numId w:val="16"/>
          <w:ilvl w:val="0"/>
        </w:numPr>
      </w:pPr>
      <w:r>
        <w:t xml:space="preserve">TODO: Spezifikation finden/verlinken. (RFC gibt es nicht)</w:t>
      </w:r>
    </w:p>
    <w:p>
      <w:pPr>
        <w:numPr>
          <w:numId w:val="16"/>
          <w:ilvl w:val="0"/>
        </w:numPr>
      </w:pPr>
      <w:r>
        <w:t xml:space="preserve">https://github.com/OParl/specs/issues/67</w:t>
      </w:r>
    </w:p>
    <w:bookmarkStart w:id="benannte-und-anonyme-objekte" w:name="benannte-und-anonyme-objekte"/>
    <w:p>
      <w:pPr>
        <w:pStyle w:val="Heading2"/>
      </w:pPr>
      <w:r>
        <w:t xml:space="preserve">Benannte und anonyme Objekte</w:t>
      </w:r>
    </w:p>
    <w:bookmarkEnd w:id="benannte-und-anonyme-objekte"/>
    <w:bookmarkStart w:id="benannte-objekte" w:name="benannte-objekte"/>
    <w:p>
      <w:pPr>
        <w:pStyle w:val="Heading3"/>
      </w:pPr>
      <w:r>
        <w:t xml:space="preserve">Benannte Objekte</w:t>
      </w:r>
    </w:p>
    <w:bookmarkEnd w:id="benannte-objekte"/>
    <w:p>
      <w:pPr>
        <w:numPr>
          <w:numId w:val="17"/>
          <w:ilvl w:val="0"/>
        </w:numPr>
      </w:pPr>
      <w:r>
        <w:t xml:space="preserve">IRIs (RFC3987) als eindeutige Kennung</w:t>
      </w:r>
    </w:p>
    <w:bookmarkStart w:id="anonyme-objekte-blank-nodes" w:name="anonyme-objekte-blank-nodes"/>
    <w:p>
      <w:pPr>
        <w:pStyle w:val="Heading3"/>
      </w:pPr>
      <w:r>
        <w:t xml:space="preserve">Anonyme Objekte (Blank Nodes)</w:t>
      </w:r>
    </w:p>
    <w:bookmarkEnd w:id="anonyme-objekte-blank-nodes"/>
    <w:bookmarkStart w:id="empfehlungen-für-langlebige-irisurisurls" w:name="empfehlungen-für-langlebige-irisurisurls"/>
    <w:p>
      <w:pPr>
        <w:pStyle w:val="Heading3"/>
      </w:pPr>
      <w:r>
        <w:t xml:space="preserve">Empfehlungen für langlebige IRIs/URIs/URLs</w:t>
      </w:r>
    </w:p>
    <w:bookmarkEnd w:id="empfehlungen-für-langlebige-irisurisurls"/>
    <w:p>
      <w:pPr>
        <w:numPr>
          <w:numId w:val="18"/>
          <w:ilvl w:val="0"/>
        </w:numPr>
      </w:pPr>
      <w:r>
        <w:t xml:space="preserve">Hinweise und evtl. Auszüge aus</w:t>
      </w:r>
    </w:p>
    <w:p>
      <w:pPr>
        <w:numPr>
          <w:numId w:val="18"/>
          <w:ilvl w:val="0"/>
        </w:numPr>
      </w:pPr>
      <w:r>
        <w:t xml:space="preserve">http://www.w3.org/Provider/Style/URI.html</w:t>
      </w:r>
    </w:p>
    <w:p>
      <w:pPr>
        <w:numPr>
          <w:numId w:val="18"/>
          <w:ilvl w:val="0"/>
        </w:numPr>
      </w:pPr>
      <w:r>
        <w:t xml:space="preserve">https://joinup.ec.europa.eu/sites/default/files/D7.1.3%20-%20Study%20on%20persistent%20URIs.pdf</w:t>
      </w:r>
    </w:p>
    <w:bookmarkStart w:id="objektlisten" w:name="objektlisten"/>
    <w:p>
      <w:pPr>
        <w:pStyle w:val="Heading2"/>
      </w:pPr>
      <w:r>
        <w:t xml:space="preserve">Objektlisten</w:t>
      </w:r>
    </w:p>
    <w:bookmarkEnd w:id="objektlisten"/>
    <w:p>
      <w:r>
        <w:t xml:space="preserve">(Hier geht es darum, wie Listen von Objekten ausgegeben werden.</w:t>
      </w:r>
    </w:p>
    <w:p>
      <w:r>
        <w:t xml:space="preserve">Dazu:</w:t>
      </w:r>
    </w:p>
    <w:p>
      <w:pPr>
        <w:numPr>
          <w:numId w:val="19"/>
          <w:ilvl w:val="0"/>
        </w:numPr>
      </w:pPr>
      <w:r>
        <w:t xml:space="preserve">https://github.com/OParl/specs/issues/66 )</w:t>
      </w:r>
    </w:p>
    <w:bookmarkStart w:id="feeds" w:name="feeds"/>
    <w:p>
      <w:pPr>
        <w:pStyle w:val="Heading2"/>
      </w:pPr>
      <w:r>
        <w:t xml:space="preserve">Feeds</w:t>
      </w:r>
    </w:p>
    <w:bookmarkEnd w:id="feeds"/>
    <w:p>
      <w:pPr>
        <w:numPr>
          <w:numId w:val="20"/>
          <w:ilvl w:val="0"/>
        </w:numPr>
      </w:pPr>
      <w:r>
        <w:t xml:space="preserve">Warum Feeds?</w:t>
      </w:r>
    </w:p>
    <w:p>
      <w:pPr>
        <w:numPr>
          <w:numId w:val="20"/>
          <w:ilvl w:val="0"/>
        </w:numPr>
      </w:pPr>
      <w:r>
        <w:t xml:space="preserve">Möglichst ressourcenschonendes Auffinden neuer und geänderter Objekte</w:t>
      </w:r>
    </w:p>
    <w:p>
      <w:pPr>
        <w:numPr>
          <w:numId w:val="20"/>
          <w:ilvl w:val="0"/>
        </w:numPr>
      </w:pPr>
      <w:r>
        <w:t xml:space="preserve">Cache-Invalidierung, Entfernung von gelöschten/depublizierten Objekten</w:t>
      </w:r>
    </w:p>
    <w:p>
      <w:pPr>
        <w:numPr>
          <w:numId w:val="20"/>
          <w:ilvl w:val="0"/>
        </w:numPr>
      </w:pPr>
      <w:r>
        <w:t xml:space="preserve">https://github.com/OParl/specs/issues/19</w:t>
      </w:r>
    </w:p>
    <w:bookmarkStart w:id="neue-objekte" w:name="neue-objekte"/>
    <w:p>
      <w:pPr>
        <w:pStyle w:val="Heading3"/>
      </w:pPr>
      <w:r>
        <w:t xml:space="preserve">Neue Objekte</w:t>
      </w:r>
    </w:p>
    <w:bookmarkEnd w:id="neue-objekte"/>
    <w:bookmarkStart w:id="geänderte-objekte" w:name="geänderte-objekte"/>
    <w:p>
      <w:pPr>
        <w:pStyle w:val="Heading3"/>
      </w:pPr>
      <w:r>
        <w:t xml:space="preserve">Geänderte Objekte</w:t>
      </w:r>
    </w:p>
    <w:bookmarkEnd w:id="geänderte-objekte"/>
    <w:bookmarkStart w:id="entfernte-objekte" w:name="entfernte-objekte"/>
    <w:p>
      <w:pPr>
        <w:pStyle w:val="Heading3"/>
      </w:pPr>
      <w:r>
        <w:t xml:space="preserve">Entfernte Objekte</w:t>
      </w:r>
    </w:p>
    <w:bookmarkEnd w:id="entfernte-objekte"/>
    <w:p>
      <w:pPr>
        <w:numPr>
          <w:numId w:val="21"/>
          <w:ilvl w:val="0"/>
        </w:numPr>
      </w:pPr>
      <w:r>
        <w:t xml:space="preserve">Liste von Objekt-URLs</w:t>
      </w:r>
    </w:p>
    <w:bookmarkStart w:id="dokumentenabruf" w:name="dokumentenabruf"/>
    <w:p>
      <w:pPr>
        <w:pStyle w:val="Heading2"/>
      </w:pPr>
      <w:r>
        <w:t xml:space="preserve">Dokumentenabruf</w:t>
      </w:r>
    </w:p>
    <w:bookmarkEnd w:id="dokumentenabruf"/>
    <w:p>
      <w:pPr>
        <w:numPr>
          <w:numId w:val="22"/>
          <w:ilvl w:val="0"/>
        </w:numPr>
      </w:pPr>
      <w:r>
        <w:t xml:space="preserve">HTTP GET Methode MUSS unterstützt werden</w:t>
      </w:r>
    </w:p>
    <w:p>
      <w:pPr>
        <w:numPr>
          <w:numId w:val="22"/>
          <w:ilvl w:val="0"/>
        </w:numPr>
      </w:pPr>
      <w:r>
        <w:t xml:space="preserve">HEAD-Methode MUSS unterstützt werden</w:t>
      </w:r>
    </w:p>
    <w:p>
      <w:pPr>
        <w:numPr>
          <w:numId w:val="22"/>
          <w:ilvl w:val="0"/>
        </w:numPr>
      </w:pPr>
      <w:r>
        <w:t xml:space="preserve">HTTP Last-Modified Header sowie Conditional GET sind zu unterstützen</w:t>
      </w:r>
    </w:p>
    <w:bookmarkStart w:id="liste-reservierter-url-parameter" w:name="liste-reservierter-url-parameter"/>
    <w:p>
      <w:pPr>
        <w:pStyle w:val="Heading2"/>
      </w:pPr>
      <w:r>
        <w:t xml:space="preserve">Liste reservierter URL-Parameter</w:t>
      </w:r>
    </w:p>
    <w:bookmarkEnd w:id="liste-reservierter-url-parameter"/>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startdate:</w:t>
      </w:r>
    </w:p>
    <w:p>
      <w:pPr>
        <w:pStyle w:val="Definition"/>
      </w:pPr>
      <w:r>
        <w:t xml:space="preserve">Parameter für die Einschränkung einer Abfrage anhand eines Datums bzw. einer Zeitangabe.</w:t>
      </w:r>
    </w:p>
    <w:p>
      <w:pPr>
        <w:numPr>
          <w:numId w:val="23"/>
          <w:ilvl w:val="0"/>
        </w:numPr>
      </w:pPr>
      <w:r>
        <w:t xml:space="preserve">(Parameter für Datums-/Zeitbereichsfilter)</w:t>
      </w:r>
    </w:p>
    <w:bookmarkStart w:id="datenmodell" w:name="datenmodell"/>
    <w:p>
      <w:pPr>
        <w:pStyle w:val="Heading1"/>
      </w:pPr>
      <w:r>
        <w:t xml:space="preserve">Datenmodell</w:t>
      </w:r>
    </w:p>
    <w:bookmarkEnd w:id="datenmodell"/>
    <w:p>
      <w:r>
        <w:t xml:space="preserve">Das Datenmodell definiert die Objekttypen bzw. die Klassen, auf die über die Schnittstelle zugegriffen werden kann.</w:t>
      </w:r>
    </w:p>
    <w:p>
      <w:r>
        <w:t xml:space="preserve">Die Hinweise auf die Praxis in bestehenden Ratsinformationssystemen beziehen sich auf nach außen, bei Nutzung der jeweiligen Weboberflächen, feststellbare Eigenschaften. Dabei wird vereinzelt und beispielhaft auf die folgenden Systeme Bezug genommen:</w:t>
      </w:r>
    </w:p>
    <w:p>
      <w:pPr>
        <w:numPr>
          <w:numId w:val="24"/>
          <w:ilvl w:val="0"/>
        </w:numPr>
      </w:pPr>
      <w:r>
        <w:t xml:space="preserve">Stadt Köln [2] - Plattform: Somacos SessionNet [3]</w:t>
      </w:r>
    </w:p>
    <w:p>
      <w:pPr>
        <w:numPr>
          <w:numId w:val="24"/>
          <w:ilvl w:val="0"/>
        </w:numPr>
      </w:pPr>
      <w:r>
        <w:t xml:space="preserve">Bezirksverwaltung Berlin Mitte [4] - Plattform: ALLRIS [5]</w:t>
      </w:r>
    </w:p>
    <w:p>
      <w:pPr>
        <w:numPr>
          <w:numId w:val="24"/>
          <w:ilvl w:val="0"/>
        </w:numPr>
      </w:pPr>
      <w:r>
        <w:t xml:space="preserve">Stadt Rösrath [6] - Plattform der Firma PROVOX [7]</w:t>
      </w:r>
    </w:p>
    <w:p>
      <w:pPr>
        <w:numPr>
          <w:numId w:val="24"/>
          <w:ilvl w:val="0"/>
        </w:numPr>
      </w:pPr>
      <w:r>
        <w:t xml:space="preserve">Stadt Euskirchen [8] - Plattform: SD.NET RIM 4 [9]</w:t>
      </w:r>
    </w:p>
    <w:p>
      <w:pPr>
        <w:numPr>
          <w:numId w:val="24"/>
          <w:ilvl w:val="0"/>
        </w:numPr>
      </w:pPr>
      <w:r>
        <w:t xml:space="preserve">Stadt Bonn - BoRis [10]</w:t>
      </w:r>
    </w:p>
    <w:bookmarkStart w:id="übergreifende-aspekte" w:name="übergreifende-aspekte"/>
    <w:p>
      <w:pPr>
        <w:pStyle w:val="Heading2"/>
      </w:pPr>
      <w:r>
        <w:t xml:space="preserve">Übergreifende Aspekte</w:t>
      </w:r>
    </w:p>
    <w:bookmarkEnd w:id="übergreifende-aspekte"/>
    <w:bookmarkStart w:id="eindeutige-identifizierung-von-objekten" w:name="eindeutige-identifizierung-von-objekten"/>
    <w:p>
      <w:pPr>
        <w:pStyle w:val="Heading3"/>
      </w:pPr>
      <w:r>
        <w:t xml:space="preserve">Eindeutige Identifizierung von Objekten</w:t>
      </w:r>
    </w:p>
    <w:bookmarkEnd w:id="eindeutige-identifizierung-von-objekten"/>
    <w:p>
      <w:r>
        <w:t xml:space="preserve">Sämtliche Objekte, die über die Schnittstelle geladen werden können, sollen anhand einer einzigen Objekteigenschaft eindeutig identifizierbar sein. Die Objekteigenschaft, mit der dies erreicht wird, wird hier im folgenden - unabhängig vom tatsächlichen Namen der Eigenschaft - als "Schlüssel" bezeichnet.</w:t>
      </w:r>
    </w:p>
    <w:p>
      <w:r>
        <w:t xml:space="preserve">Eindeutigkeit meint hier eine Einzigartigkeit innerhalb des Informationssystems und für den jeweiligen Objekttyp. Das bedeutet: zwei von einander unabhängige Ratsinformationssysteme für verschiedene Körperschaften dürfen sich überlappende Schlüssel nutzen. Innerhalb eines Systems dürfen zwei Objekte unterschiedlichen Typs (beispielsweise eine Person ud ein Gremium) den selben Schlüssel nutzen. Jedoch MÜSSEN zwei Objekte des selben Typs innerhalb des selben Systems grundsätzlich verschiedene Schlüssel haben.</w:t>
      </w:r>
    </w:p>
    <w:p>
      <w:r>
        <w:t xml:space="preserve">Schlüssel-Eigenschaften werden grundsätzlich als Unicode-Zeichenkette übergeben. Sie können daher gleichermaßen aus numerischen wie alphanumerischen Werten befüllt werden.</w:t>
      </w:r>
    </w:p>
    <w:p>
      <w:r>
        <w:t xml:space="preserve">Es wird grundsätzlich vorausgesetzt, dass Schlüssel unveränderlich sind. Ändert sich der Schlüssel eines Objekts nach der Erzeugung, werden Nutzer der Schnittstelle annehmen, dass es sich nicht mehr um das selbe Objekt handelt.</w:t>
      </w:r>
    </w:p>
    <w:bookmarkStart w:id="objekteigenschaften" w:name="objekteigenschaften"/>
    <w:p>
      <w:pPr>
        <w:pStyle w:val="Heading3"/>
      </w:pPr>
      <w:r>
        <w:t xml:space="preserve">Objekteigenschaften</w:t>
      </w:r>
    </w:p>
    <w:bookmarkEnd w:id="objekteigenschaften"/>
    <w:p>
      <w:r>
        <w:t xml:space="preserve">Die nachfolgend beschriebenen Eigenschaften der Objekttypen sind, wenn nicht anders angegeben, verpflichtend. Das bedeutet: Bei jedem von der Schnittstelle ausgelieferten Objekt muss diese Eigenschaften definiert sein. Optionale Eigenschaften sind entsprechend gekennzeichnet.</w:t>
      </w:r>
    </w:p>
    <w:p>
      <w:r>
        <w:t xml:space="preserve">Eigenschaften werden deutschsprachig und englischsprachig benannt. Die deutschsprachige Benennung dient der bestmöglichen Verständlichkeit im Kontext dieses Dokuments, während die Schnittstelle aus Gründen der Zugänglichkeit für möglichst viele Entwickler mit englischsprachigen Begriffen arbeiten soll.</w:t>
      </w:r>
    </w:p>
    <w:bookmarkStart w:id="zu-den-beziehungen" w:name="zu-den-beziehungen"/>
    <w:p>
      <w:pPr>
        <w:pStyle w:val="Heading3"/>
      </w:pPr>
      <w:r>
        <w:t xml:space="preserve">Zu den Beziehungen</w:t>
      </w:r>
    </w:p>
    <w:bookmarkEnd w:id="zu-den-beziehungen"/>
    <w:p>
      <w:r>
        <w:t xml:space="preserve">Bei der Beschreibung von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körperschaft-body" w:name="körperschaft-body"/>
    <w:p>
      <w:pPr>
        <w:pStyle w:val="Heading2"/>
      </w:pPr>
      <w:r>
        <w:t xml:space="preserve">Körperschaft (</w:t>
      </w:r>
      <w:r>
        <w:rPr>
          <w:i/>
        </w:rPr>
        <w:t xml:space="preserve">body</w:t>
      </w:r>
      <w:r>
        <w:t xml:space="preserve">)</w:t>
      </w:r>
    </w:p>
    <w:bookmarkEnd w:id="körperschaft-body"/>
    <w:p>
      <w:r>
        <w:t xml:space="preserve">Die Körperschaft erlaubt es, den Betreiber bzw. Eigentümer des Informationssystems wie zum Beispiel einen Landkreis, eine bestimmte Gemeinde oder einen bestimmten Stadtbezirk in Form eines Datenobjekts abzubilden.</w:t>
      </w:r>
    </w:p>
    <w:p>
      <w:r>
        <w:t xml:space="preserve">Viele RIS werden nur genau eine Instanz dieses Typs „beherbergen“. Einige Systeme werden jedoch für mehrere Mandanten betrieben, wobei die Mandanten verschiedene Körperschaften repräsentieren (z.B. "Verbandsgemeinde Ulmen" und "Stadt Ulmen".)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1"/>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Körperschaft</w:t>
      </w:r>
    </w:p>
    <w:bookmarkStart w:id="eindeutige-identifizierung" w:name="eindeutige-identifizierung"/>
    <w:p>
      <w:pPr>
        <w:pStyle w:val="Heading3"/>
      </w:pPr>
      <w:r>
        <w:t xml:space="preserve">Eindeutige Identifizierung</w:t>
      </w:r>
    </w:p>
    <w:bookmarkEnd w:id="eindeutige-identifizierung"/>
    <w:p>
      <w:r>
        <w:t xml:space="preserve">Die Körperschaft hat eine innerhalb des Systems eindeutige ID.</w:t>
      </w:r>
    </w:p>
    <w:p>
      <w:r>
        <w:t xml:space="preserve">Darüber hinaus werden verschiedene Möglichkeiten geboten, die Körperschaft semantisch zu repräsentieren.</w:t>
      </w:r>
    </w:p>
    <w:p>
      <w:r>
        <w:t xml:space="preserve">Handelt es sich beim Betreiber des Systems um eine Gebietskörperschaft (Landkreis, Kommune etc.), soll für die eindeutige Identifizierung der Regionalschlüssel[1] verwendet werden.</w:t>
      </w:r>
    </w:p>
    <w:p>
      <w:r>
        <w:t xml:space="preserve">Darüber hinaus soll zusätzlich, sofern vorhanden, die eindeutige Kennung der Körperschaft aus der GND[12] verwendet werden.</w:t>
      </w:r>
    </w:p>
    <w:p>
      <w:r>
        <w:t xml:space="preserve">Als dritte Möglichkeit, die Körperschaft zu identifizieren, kann eine aussagekräftigen URL, unter der weitere Informationen zur Körperschaft zu finden sind, genannt werden.</w:t>
      </w:r>
    </w:p>
    <w:p>
      <w:r>
        <w:t xml:space="preserve">Sämtliche hier genannten Methoden zur Identifizierung können kombiniert werden.</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der Körperschaft im System</w:t>
      </w:r>
    </w:p>
    <w:p>
      <w:pPr>
        <w:pStyle w:val="DefinitionTerm"/>
      </w:pPr>
      <w:r>
        <w:t xml:space="preserve">Name (</w:t>
      </w:r>
      <w:r>
        <w:rPr>
          <w:rStyle w:val="VerbatimChar"/>
        </w:rPr>
        <w:t xml:space="preserve">name</w:t>
      </w:r>
      <w:r>
        <w:t xml:space="preserve">)</w:t>
      </w:r>
    </w:p>
    <w:p>
      <w:pPr>
        <w:pStyle w:val="Definition"/>
      </w:pPr>
      <w:r>
        <w:t xml:space="preserve">Der Name der Körperschaft, z.B. "Stadt Köln"</w:t>
      </w:r>
    </w:p>
    <w:p>
      <w:pPr>
        <w:pStyle w:val="DefinitionTerm"/>
      </w:pPr>
      <w:r>
        <w:t xml:space="preserve">Regionalschlüssel (</w:t>
      </w:r>
      <w:r>
        <w:rPr>
          <w:rStyle w:val="VerbatimChar"/>
        </w:rPr>
        <w:t xml:space="preserve">regionalschluessel</w:t>
      </w:r>
      <w:r>
        <w:t xml:space="preserve">)</w:t>
      </w:r>
    </w:p>
    <w:p>
      <w:pPr>
        <w:pStyle w:val="Definition"/>
      </w:pPr>
      <w:r>
        <w:rPr>
          <w:i/>
        </w:rPr>
        <w:t xml:space="preserve">Optional</w:t>
      </w:r>
      <w:r>
        <w:t xml:space="preserve">. Regionalschlüssel der Gebietskörperschaft, z.B. "053150000000". Muss grundsätzlich 12-stellig angegeben werden.</w:t>
      </w:r>
    </w:p>
    <w:p>
      <w:pPr>
        <w:pStyle w:val="DefinitionTerm"/>
      </w:pPr>
      <w:r>
        <w:t xml:space="preserve">GND URL (</w:t>
      </w:r>
      <w:r>
        <w:rPr>
          <w:rStyle w:val="VerbatimChar"/>
        </w:rPr>
        <w:t xml:space="preserve">gnd_url</w:t>
      </w:r>
      <w:r>
        <w:t xml:space="preserve">)</w:t>
      </w:r>
    </w:p>
    <w:p>
      <w:pPr>
        <w:pStyle w:val="Definition"/>
      </w:pPr>
      <w:r>
        <w:rPr>
          <w:i/>
        </w:rPr>
        <w:t xml:space="preserve">Optional</w:t>
      </w:r>
      <w:r>
        <w:t xml:space="preserve">. URL des Eintrags in der GND, z.B. "http://d-nb.info/gnd/2015732-0"</w:t>
      </w:r>
    </w:p>
    <w:p>
      <w:pPr>
        <w:pStyle w:val="DefinitionTerm"/>
      </w:pPr>
      <w:r>
        <w:t xml:space="preserve">URL (</w:t>
      </w:r>
      <w:r>
        <w:rPr>
          <w:rStyle w:val="VerbatimChar"/>
        </w:rPr>
        <w:t xml:space="preserve">url</w:t>
      </w:r>
      <w:r>
        <w:t xml:space="preserve">)</w:t>
      </w:r>
    </w:p>
    <w:p>
      <w:pPr>
        <w:pStyle w:val="Definition"/>
      </w:pPr>
      <w:r>
        <w:rPr>
          <w:i/>
        </w:rPr>
        <w:t xml:space="preserve">Optional</w:t>
      </w:r>
      <w:r>
        <w:t xml:space="preserve">. URL der Homepage oder einer vergleichbaren Seite mit Informationen über die Körperschaft, z.B. "http://www.stadt-koeln.de/"</w:t>
      </w:r>
    </w:p>
    <w:p>
      <w:pPr>
        <w:pStyle w:val="DefinitionTerm"/>
      </w:pPr>
      <w:r>
        <w:t xml:space="preserve">Lizenz (</w:t>
      </w:r>
      <w:r>
        <w:rPr>
          <w:rStyle w:val="VerbatimChar"/>
        </w:rPr>
        <w:t xml:space="preserve">license_url</w:t>
      </w:r>
      <w:r>
        <w:t xml:space="preserve">)</w:t>
      </w:r>
    </w:p>
    <w:p>
      <w:pPr>
        <w:pStyle w:val="Definition"/>
      </w:pPr>
      <w:r>
        <w:rPr>
          <w:i/>
        </w:rPr>
        <w:t xml:space="preserve">Optional</w:t>
      </w:r>
      <w:r>
        <w:t xml:space="preserve">. URL der Lizenz, unter der die Daten, die über die API abgerufen werden können, stehen.</w:t>
      </w:r>
    </w:p>
    <w:p>
      <w:pPr>
        <w:pStyle w:val="DefinitionTerm"/>
      </w:pPr>
      <w:r>
        <w:t xml:space="preserve">Betreiber-Kontakt (</w:t>
      </w:r>
      <w:r>
        <w:rPr>
          <w:rStyle w:val="VerbatimChar"/>
        </w:rPr>
        <w:t xml:space="preserve">operator_contact</w:t>
      </w:r>
      <w:r>
        <w:t xml:space="preserve">)</w:t>
      </w:r>
    </w:p>
    <w:p>
      <w:pPr>
        <w:pStyle w:val="Definition"/>
      </w:pPr>
      <w:r>
        <w:rPr>
          <w:i/>
        </w:rPr>
        <w:t xml:space="preserve">Optional</w:t>
      </w:r>
      <w:r>
        <w:t xml:space="preserve">. Kontaktinformationen für die direkte Kontaktaufnahme zum Betreiber der API.</w:t>
      </w:r>
    </w:p>
    <w:bookmarkStart w:id="beziehungen" w:name="beziehungen"/>
    <w:p>
      <w:pPr>
        <w:pStyle w:val="Heading3"/>
      </w:pPr>
      <w:r>
        <w:t xml:space="preserve">Beziehungen</w:t>
      </w:r>
    </w:p>
    <w:bookmarkEnd w:id="beziehungen"/>
    <w:p>
      <w:pPr>
        <w:numPr>
          <w:numId w:val="25"/>
          <w:ilvl w:val="0"/>
        </w:numPr>
      </w:pPr>
      <w:r>
        <w:t xml:space="preserve">Objekte vom Typ "Organisation" sind zwingend genau einer Körperschaft zugeordnet. So wird beispielseise eine SPD in Köln von einer SPD in Leverkusen unterschieden.</w:t>
      </w:r>
    </w:p>
    <w:p>
      <w:pPr>
        <w:numPr>
          <w:numId w:val="25"/>
          <w:ilvl w:val="0"/>
        </w:numPr>
      </w:pPr>
      <w:r>
        <w:t xml:space="preserve">Objekte vom Typ "Gremium" sind zwingend genau einer Körperschaft zugeordnet. Damit wird der "Rat" einer bestimmten Kommune von den gleichnamigen Gremien anderer Kommunen abgegrenzt.</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br/>
      <w:r>
        <w:rPr>
          <w:rStyle w:val="NormalTok"/>
        </w:rPr>
        <w:t xml:space="preserve">    </w:t>
      </w:r>
      <w:r>
        <w:rPr>
          <w:rStyle w:val="DataTypeTok"/>
        </w:rPr>
        <w:t xml:space="preserve">"regionalschluessel"</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r>
        <w:rPr>
          <w:rStyle w:val="NormalTok"/>
        </w:rPr>
        <w:t xml:space="preserve">,</w:t>
      </w:r>
      <w:br/>
      <w:r>
        <w:rPr>
          <w:rStyle w:val="NormalTok"/>
        </w:rPr>
        <w:t xml:space="preserve">    </w:t>
      </w:r>
      <w:r>
        <w:rPr>
          <w:rStyle w:val="DataTypeTok"/>
        </w:rPr>
        <w:t xml:space="preserve">"operator_contact"</w:t>
      </w:r>
      <w:r>
        <w:rPr>
          <w:rStyle w:val="NormalTok"/>
        </w:rPr>
        <w:t xml:space="preserve">: </w:t>
      </w:r>
      <w:r>
        <w:rPr>
          <w:rStyle w:val="StringTok"/>
        </w:rPr>
        <w:t xml:space="preserve">"Tel. +49 221-221-5432, E-Mail: ris-api@stadt-koeln.de"</w:t>
      </w:r>
      <w:r>
        <w:rPr>
          <w:rStyle w:val="NormalTok"/>
        </w:rPr>
        <w:t xml:space="preserve">,</w:t>
      </w:r>
      <w:br/>
      <w:r>
        <w:rPr>
          <w:rStyle w:val="NormalTok"/>
        </w:rPr>
        <w:t xml:space="preserve">    </w:t>
      </w:r>
      <w:r>
        <w:rPr>
          <w:rStyle w:val="DataTypeTok"/>
        </w:rPr>
        <w:t xml:space="preserve">"license_url"</w:t>
      </w:r>
      <w:r>
        <w:rPr>
          <w:rStyle w:val="NormalTok"/>
        </w:rPr>
        <w:t xml:space="preserve">: </w:t>
      </w:r>
      <w:r>
        <w:rPr>
          <w:rStyle w:val="StringTok"/>
        </w:rPr>
        <w:t xml:space="preserve">"http://opendatacommons.org/licenses/odbl/1.0/"</w:t>
      </w:r>
      <w:br/>
      <w:r>
        <w:rPr>
          <w:rStyle w:val="NormalTok"/>
        </w:rPr>
        <w:t xml:space="preserve">}</w:t>
      </w:r>
    </w:p>
    <w:bookmarkStart w:id="gremium-committee" w:name="gremium-committee"/>
    <w:p>
      <w:pPr>
        <w:pStyle w:val="Heading2"/>
      </w:pPr>
      <w:r>
        <w:t xml:space="preserve">Gremium (</w:t>
      </w:r>
      <w:r>
        <w:rPr>
          <w:i/>
        </w:rPr>
        <w:t xml:space="preserve">committee</w:t>
      </w:r>
      <w:r>
        <w:t xml:space="preserve">)</w:t>
      </w:r>
    </w:p>
    <w:bookmarkEnd w:id="gremium-committee"/>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2"/>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Gremium</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1" w:name="beziehungen-1"/>
    <w:p>
      <w:pPr>
        <w:pStyle w:val="Heading3"/>
      </w:pPr>
      <w:r>
        <w:t xml:space="preserve">Beziehungen</w:t>
      </w:r>
    </w:p>
    <w:bookmarkEnd w:id="beziehungen-1"/>
    <w:p>
      <w:pPr>
        <w:numPr>
          <w:numId w:val="26"/>
          <w:ilvl w:val="0"/>
        </w:numPr>
      </w:pPr>
      <w:r>
        <w:t xml:space="preserve">Objekte vom Typ "Person" referenzieren auf Gremien, um die Mitgliedschaft/Zugehörigkeit einer Person im/zum Gremium zu kennzeichnen. Diese Beziehung ist datiert. Das bedeutet, sie hat einen Anfangszeitpunkt und ggf. einen Endzeitpunkt.</w:t>
      </w:r>
    </w:p>
    <w:p>
      <w:pPr>
        <w:numPr>
          <w:numId w:val="26"/>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26"/>
          <w:ilvl w:val="0"/>
        </w:numPr>
      </w:pPr>
      <w:r>
        <w:t xml:space="preserve">Das Gremium verweist auf die Körperschaft, zu der das Gremium gehört.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person-person" w:name="person-person"/>
    <w:p>
      <w:pPr>
        <w:pStyle w:val="Heading2"/>
      </w:pPr>
      <w:r>
        <w:t xml:space="preserve">Person (</w:t>
      </w:r>
      <w:r>
        <w:rPr>
          <w:i/>
        </w:rPr>
        <w:t xml:space="preserve">person</w:t>
      </w:r>
      <w:r>
        <w:t xml:space="preserve">)</w:t>
      </w:r>
    </w:p>
    <w:bookmarkEnd w:id="person-person"/>
    <w:p>
      <w:r>
        <w:t xml:space="preserve">Jede natürliche Person, die Mitglied eines Gremiums ist, ist als Person 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3"/>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27"/>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27"/>
          <w:ilvl w:val="0"/>
        </w:numPr>
      </w:pPr>
      <w:r>
        <w:t xml:space="preserve">Das System PROVOX unterscheidet zwischen privaten und geschäftlichen Anschriften.</w:t>
      </w:r>
    </w:p>
    <w:bookmarkStart w:id="beziehungen-2" w:name="beziehungen-2"/>
    <w:p>
      <w:pPr>
        <w:pStyle w:val="Heading3"/>
      </w:pPr>
      <w:r>
        <w:t xml:space="preserve">Beziehungen</w:t>
      </w:r>
    </w:p>
    <w:bookmarkEnd w:id="beziehungen-2"/>
    <w:p>
      <w:pPr>
        <w:numPr>
          <w:numId w:val="28"/>
          <w:ilvl w:val="0"/>
        </w:numPr>
      </w:pPr>
      <w:r>
        <w:t xml:space="preserve">Objekte vom Typ "Person" können einer Organisation, z.B. einer Fraktion, zugeornet werden. Diese Beziehung ist datiert.</w:t>
      </w:r>
    </w:p>
    <w:p>
      <w:pPr>
        <w:numPr>
          <w:numId w:val="28"/>
          <w:ilvl w:val="0"/>
        </w:numPr>
      </w:pPr>
      <w:r>
        <w:t xml:space="preserve">Objekte vom Typ "Person" können einem oder mehreren Gremien zugewiesen werden, um die Mitgliedschaft in diesem Gremium darzustellen. Diese Beziehungen sind ebenfalls datiert.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rganisation-organisation" w:name="organisation-organisation"/>
    <w:p>
      <w:pPr>
        <w:pStyle w:val="Heading2"/>
      </w:pPr>
      <w:r>
        <w:t xml:space="preserve">Organisation (</w:t>
      </w:r>
      <w:r>
        <w:rPr>
          <w:rStyle w:val="VerbatimChar"/>
        </w:rPr>
        <w:t xml:space="preserve">organisation</w:t>
      </w:r>
      <w:r>
        <w:t xml:space="preserve">)</w:t>
      </w:r>
    </w:p>
    <w:bookmarkEnd w:id="organis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4"/>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29"/>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bookmarkStart w:id="beziehungen-3" w:name="beziehungen-3"/>
    <w:p>
      <w:pPr>
        <w:pStyle w:val="Heading3"/>
      </w:pPr>
      <w:r>
        <w:t xml:space="preserve">Beziehungen</w:t>
      </w:r>
    </w:p>
    <w:bookmarkEnd w:id="beziehungen-3"/>
    <w:p>
      <w:pPr>
        <w:numPr>
          <w:numId w:val="30"/>
          <w:ilvl w:val="0"/>
        </w:numPr>
      </w:pPr>
      <w:r>
        <w:t xml:space="preserve">Jede Organisationen gehört zu einer Körperschaft.</w:t>
      </w:r>
    </w:p>
    <w:p>
      <w:pPr>
        <w:numPr>
          <w:numId w:val="30"/>
          <w:ilvl w:val="0"/>
        </w:numPr>
      </w:pPr>
      <w:r>
        <w:t xml:space="preserve">Personen können Organisationen angehören (</w:t>
      </w:r>
      <w:r>
        <w:rPr>
          <w:i/>
        </w:rPr>
        <w:t xml:space="preserve">datiert</w:t>
      </w:r>
      <w:r>
        <w:t xml:space="preserve">).</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sitzung-meeting" w:name="sitzung-meeting"/>
    <w:p>
      <w:pPr>
        <w:pStyle w:val="Heading2"/>
      </w:pPr>
      <w:r>
        <w:t xml:space="preserve">Sitzung (</w:t>
      </w:r>
      <w:r>
        <w:rPr>
          <w:rStyle w:val="VerbatimChar"/>
        </w:rPr>
        <w:t xml:space="preserve">meeting</w:t>
      </w:r>
      <w:r>
        <w:t xml:space="preserve">)</w:t>
      </w:r>
    </w:p>
    <w:bookmarkEnd w:id="sitzung-meeti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5"/>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Sitzung</w:t>
      </w:r>
    </w:p>
    <w:bookmarkStart w:id="eigenschaften-4" w:name="eigenschaften-4"/>
    <w:p>
      <w:pPr>
        <w:pStyle w:val="Heading3"/>
      </w:pPr>
      <w:r>
        <w:t xml:space="preserve">Eigenschaften</w:t>
      </w:r>
    </w:p>
    <w:bookmarkEnd w:id="eigenschaften-4"/>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4" w:name="beziehungen-4"/>
    <w:p>
      <w:pPr>
        <w:pStyle w:val="Heading3"/>
      </w:pPr>
      <w:r>
        <w:t xml:space="preserve">Beziehungen</w:t>
      </w:r>
    </w:p>
    <w:bookmarkEnd w:id="beziehungen-4"/>
    <w:p>
      <w:pPr>
        <w:numPr>
          <w:numId w:val="31"/>
          <w:ilvl w:val="0"/>
        </w:numPr>
      </w:pPr>
      <w:r>
        <w:t xml:space="preserve">Sitzungen sind mindestens einem Gremium zugeordnet</w:t>
      </w:r>
    </w:p>
    <w:p>
      <w:pPr>
        <w:numPr>
          <w:numId w:val="31"/>
          <w:ilvl w:val="0"/>
        </w:numPr>
      </w:pPr>
      <w:r>
        <w:t xml:space="preserve">Einer Sitzung sind Personen zugeordnet, um die Teilnahme an der Sitzung auszudrücken.</w:t>
      </w:r>
    </w:p>
    <w:p>
      <w:pPr>
        <w:numPr>
          <w:numId w:val="31"/>
          <w:ilvl w:val="0"/>
        </w:numPr>
      </w:pPr>
      <w:r>
        <w:t xml:space="preserve">Dokumente können vom Typ "Sitzung"</w:t>
      </w:r>
      <w:r>
        <w:t xml:space="preserve"> </w:t>
      </w:r>
      <w:r>
        <w:rPr>
          <w:i/>
        </w:rPr>
        <w:t xml:space="preserve">optional</w:t>
      </w:r>
      <w:r>
        <w:t xml:space="preserve"> </w:t>
      </w:r>
      <w:r>
        <w:t xml:space="preserve">zu mehreren Zwecken referenziert werden:</w:t>
      </w:r>
    </w:p>
    <w:p>
      <w:pPr>
        <w:numPr>
          <w:numId w:val="32"/>
          <w:ilvl w:val="1"/>
        </w:numPr>
      </w:pPr>
      <w:r>
        <w:t xml:space="preserve">Zum Verweis auf die Einladung zur Sitzung</w:t>
      </w:r>
    </w:p>
    <w:p>
      <w:pPr>
        <w:numPr>
          <w:numId w:val="32"/>
          <w:ilvl w:val="1"/>
        </w:numPr>
      </w:pPr>
      <w:r>
        <w:t xml:space="preserve">Zum Verweis auf das Ergebnisprotokoll zur Sitzung</w:t>
      </w:r>
    </w:p>
    <w:p>
      <w:pPr>
        <w:numPr>
          <w:numId w:val="32"/>
          <w:ilvl w:val="1"/>
        </w:numPr>
      </w:pPr>
      <w:r>
        <w:t xml:space="preserve">Zum Verweis auf das Wortprotokoll zur Sitzung</w:t>
      </w:r>
    </w:p>
    <w:p>
      <w:pPr>
        <w:numPr>
          <w:numId w:val="32"/>
          <w:ilvl w:val="0"/>
        </w:numPr>
      </w:pPr>
      <w:r>
        <w:t xml:space="preserve">Weiterhin können Sitzungen beliebige weitere Dokumente, die keine eigenständigen Drucksachen sind, referenzieren. Dabei handelt es sich dann um nicht weiter spezifizierte Anlagen.</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tagesordnungspunkt-agendaitem" w:name="tagesordnungspunkt-agendaitem"/>
    <w:p>
      <w:pPr>
        <w:pStyle w:val="Heading2"/>
      </w:pPr>
      <w:r>
        <w:t xml:space="preserve">Tagesordnungspunkt (</w:t>
      </w:r>
      <w:r>
        <w:rPr>
          <w:rStyle w:val="VerbatimChar"/>
        </w:rPr>
        <w:t xml:space="preserve">agendaitem</w:t>
      </w:r>
      <w:r>
        <w:t xml:space="preserve">)</w:t>
      </w:r>
    </w:p>
    <w:bookmarkEnd w:id="tagesordnungspunkt-agendaitem"/>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6"/>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Tagesordnungspunkt</w:t>
      </w:r>
    </w:p>
    <w:bookmarkStart w:id="eigenschaften-5" w:name="eigenschaften-5"/>
    <w:p>
      <w:pPr>
        <w:pStyle w:val="Heading3"/>
      </w:pPr>
      <w:r>
        <w:t xml:space="preserve">Eigenschaften</w:t>
      </w:r>
    </w:p>
    <w:bookmarkEnd w:id="eigenschaften-5"/>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33"/>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33"/>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5" w:name="beziehungen-5"/>
    <w:p>
      <w:pPr>
        <w:pStyle w:val="Heading3"/>
      </w:pPr>
      <w:r>
        <w:t xml:space="preserve">Beziehungen</w:t>
      </w:r>
    </w:p>
    <w:bookmarkEnd w:id="beziehungen-5"/>
    <w:p>
      <w:pPr>
        <w:numPr>
          <w:numId w:val="34"/>
          <w:ilvl w:val="0"/>
        </w:numPr>
      </w:pPr>
      <w:r>
        <w:t xml:space="preserve">Jeder Tagesordnungspunkt gehört zu genau einer Sitzung.</w:t>
      </w:r>
    </w:p>
    <w:p>
      <w:pPr>
        <w:numPr>
          <w:numId w:val="34"/>
          <w:ilvl w:val="0"/>
        </w:numPr>
      </w:pPr>
      <w:r>
        <w:t xml:space="preserve">Der Tagesordnungspunkt kann auf eine Drucksache verweisen, die im Rahmen dieses Tagesordnungspunkt beraten werden soll.</w:t>
      </w:r>
    </w:p>
    <w:p>
      <w:pPr>
        <w:numPr>
          <w:numId w:val="34"/>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drucksache-paper" w:name="drucksache-paper"/>
    <w:p>
      <w:pPr>
        <w:pStyle w:val="Heading2"/>
      </w:pPr>
      <w:r>
        <w:t xml:space="preserve">Drucksache (</w:t>
      </w:r>
      <w:r>
        <w:rPr>
          <w:rStyle w:val="VerbatimChar"/>
        </w:rPr>
        <w:t xml:space="preserve">paper</w:t>
      </w:r>
      <w:r>
        <w:t xml:space="preserve">)</w:t>
      </w:r>
    </w:p>
    <w:bookmarkEnd w:id="drucksache-paper"/>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7"/>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Drucksache</w:t>
      </w:r>
    </w:p>
    <w:p>
      <w:r>
        <w:t xml:space="preserve">Jede Drucksache ist über die Eigenschaft "Typ" als eine der folgenden Arten von Drucksachen gekennzeichnet:</w:t>
      </w:r>
    </w:p>
    <w:p>
      <w:pPr>
        <w:numPr>
          <w:numId w:val="35"/>
          <w:ilvl w:val="0"/>
        </w:numPr>
      </w:pPr>
      <w:r>
        <w:rPr>
          <w:b/>
        </w:rPr>
        <w:t xml:space="preserve">Beschlussvorlage</w:t>
      </w:r>
      <w:r>
        <w:t xml:space="preserve">: Entscheidungsvorschlag der Verwaltung</w:t>
      </w:r>
    </w:p>
    <w:p>
      <w:pPr>
        <w:numPr>
          <w:numId w:val="35"/>
          <w:ilvl w:val="0"/>
        </w:numPr>
      </w:pPr>
      <w:r>
        <w:rPr>
          <w:b/>
        </w:rPr>
        <w:t xml:space="preserve">Antrag</w:t>
      </w:r>
      <w:r>
        <w:t xml:space="preserve">: Entscheidungsvorschlag einer Fraktionen bzw. mehrerer Fraktionen oder einer/mehrerer Einzelperson/en</w:t>
      </w:r>
    </w:p>
    <w:p>
      <w:pPr>
        <w:numPr>
          <w:numId w:val="35"/>
          <w:ilvl w:val="0"/>
        </w:numPr>
      </w:pPr>
      <w:r>
        <w:rPr>
          <w:b/>
        </w:rPr>
        <w:t xml:space="preserve">Anfrage</w:t>
      </w:r>
      <w:r>
        <w:t xml:space="preserve">: Frage(n) einer oder mehrerer Fraktion oder Einzelpersonen an die Verwaltung</w:t>
      </w:r>
    </w:p>
    <w:p>
      <w:pPr>
        <w:numPr>
          <w:numId w:val="35"/>
          <w:ilvl w:val="0"/>
        </w:numPr>
      </w:pPr>
      <w:r>
        <w:rPr>
          <w:b/>
        </w:rPr>
        <w:t xml:space="preserve">Mitteilung/Stellungnahme der Verwaltung</w:t>
      </w:r>
      <w:r>
        <w:t xml:space="preserve">: Eine Information der Verwaltung an einzelne oder mehrere Gremien. Darunter fallen nicht Beantwortungen von Anfragen.</w:t>
      </w:r>
    </w:p>
    <w:p>
      <w:pPr>
        <w:numPr>
          <w:numId w:val="35"/>
          <w:ilvl w:val="0"/>
        </w:numPr>
      </w:pPr>
      <w:r>
        <w:rPr>
          <w:b/>
        </w:rPr>
        <w:t xml:space="preserve">Beantwortung einer Anfrage</w:t>
      </w:r>
      <w:r>
        <w:t xml:space="preserve">: Antwort der Verwaltung auf (mündliche oder schriftliche) Anfragen</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6" w:name="beziehungen-6"/>
    <w:p>
      <w:pPr>
        <w:pStyle w:val="Heading3"/>
      </w:pPr>
      <w:r>
        <w:t xml:space="preserve">Beziehungen</w:t>
      </w:r>
    </w:p>
    <w:bookmarkEnd w:id="beziehungen-6"/>
    <w:p>
      <w:pPr>
        <w:numPr>
          <w:numId w:val="36"/>
          <w:ilvl w:val="0"/>
        </w:numPr>
      </w:pPr>
      <w:r>
        <w:t xml:space="preserve">Es muss genau ein</w:t>
      </w:r>
      <w:r>
        <w:t xml:space="preserve"> </w:t>
      </w:r>
      <w:r>
        <w:rPr>
          <w:b/>
        </w:rPr>
        <w:t xml:space="preserve">Hauptdokument</w:t>
      </w:r>
      <w:r>
        <w:t xml:space="preserve"> </w:t>
      </w:r>
      <w:r>
        <w:t xml:space="preserve">(Objekttyp "Dokument") referenziert werden.</w:t>
      </w:r>
    </w:p>
    <w:p>
      <w:pPr>
        <w:numPr>
          <w:numId w:val="36"/>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36"/>
          <w:ilvl w:val="0"/>
        </w:numPr>
      </w:pPr>
      <w:r>
        <w:t xml:space="preserve">Die Drucksache ist beliebig vielen Gremien zuzuordnen, in denen diese beraten wird.</w:t>
      </w:r>
    </w:p>
    <w:p>
      <w:pPr>
        <w:numPr>
          <w:numId w:val="36"/>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36"/>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36"/>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36"/>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dokument-document" w:name="dokument-document"/>
    <w:p>
      <w:pPr>
        <w:pStyle w:val="Heading2"/>
      </w:pPr>
      <w:r>
        <w:t xml:space="preserve">Dokument (</w:t>
      </w:r>
      <w:r>
        <w:rPr>
          <w:rStyle w:val="VerbatimChar"/>
        </w:rPr>
        <w:t xml:space="preserve">document</w:t>
      </w:r>
      <w:r>
        <w:t xml:space="preserve">)</w:t>
      </w:r>
    </w:p>
    <w:bookmarkEnd w:id="dokument-document"/>
    <w:p>
      <w:r>
        <w:t xml:space="preserve">Ein Dokument hält die Metadaten einer Datei vor, beispielsweise einer PDF-Datei, eines RTF- oder Word-Dokuments.</w:t>
      </w:r>
    </w:p>
    <w:p>
      <w:r>
        <w:t xml:space="preserve">Wird von einem Word-Dokument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8"/>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Dokument</w:t>
      </w:r>
    </w:p>
    <w:bookmarkStart w:id="eigenschaften-7" w:name="eigenschaften-7"/>
    <w:p>
      <w:pPr>
        <w:pStyle w:val="Heading3"/>
      </w:pPr>
      <w:r>
        <w:t xml:space="preserve">Eigenschaften</w:t>
      </w:r>
    </w:p>
    <w:bookmarkEnd w:id="eigenschaften-7"/>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7" w:name="beziehungen-7"/>
    <w:p>
      <w:pPr>
        <w:pStyle w:val="Heading3"/>
      </w:pPr>
      <w:r>
        <w:t xml:space="preserve">Beziehungen</w:t>
      </w:r>
    </w:p>
    <w:bookmarkEnd w:id="beziehungen-7"/>
    <w:p>
      <w:pPr>
        <w:numPr>
          <w:numId w:val="37"/>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37"/>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rt-location" w:name="ort-location"/>
    <w:p>
      <w:pPr>
        <w:pStyle w:val="Heading2"/>
      </w:pPr>
      <w:r>
        <w:t xml:space="preserve">Ort (</w:t>
      </w:r>
      <w:r>
        <w:rPr>
          <w:rStyle w:val="VerbatimChar"/>
        </w:rPr>
        <w:t xml:space="preserve">location</w:t>
      </w:r>
      <w:r>
        <w:t xml:space="preserve">)</w:t>
      </w:r>
    </w:p>
    <w:bookmarkEnd w:id="ort-location"/>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9"/>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Ort</w:t>
      </w:r>
    </w:p>
    <w:bookmarkStart w:id="eigenschaften-8" w:name="eigenschaften-8"/>
    <w:p>
      <w:pPr>
        <w:pStyle w:val="Heading3"/>
      </w:pPr>
      <w:r>
        <w:t xml:space="preserve">Eigenschaften</w:t>
      </w:r>
    </w:p>
    <w:bookmarkEnd w:id="eigenschaften-8"/>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8" w:name="beziehungen-8"/>
    <w:p>
      <w:pPr>
        <w:pStyle w:val="Heading3"/>
      </w:pPr>
      <w:r>
        <w:t xml:space="preserve">Beziehungen</w:t>
      </w:r>
    </w:p>
    <w:bookmarkEnd w:id="beziehungen-8"/>
    <w:p>
      <w:pPr>
        <w:numPr>
          <w:numId w:val="38"/>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fußnoten" w:name="fußnoten"/>
    <w:p>
      <w:pPr>
        <w:pStyle w:val="Heading1"/>
      </w:pPr>
      <w:r>
        <w:t xml:space="preserve">Fußnoten</w:t>
      </w:r>
    </w:p>
    <w:bookmarkEnd w:id="fußnoten"/>
    <w:p>
      <w:r>
        <w:t xml:space="preserve">[1]: Siehe</w:t>
      </w:r>
      <w:r>
        <w:t xml:space="preserve"> </w:t>
      </w:r>
      <w:hyperlink r:id="link1">
        <w:r>
          <w:rPr>
            <w:rStyle w:val="Hyperlink"/>
          </w:rPr>
          <w:t xml:space="preserve">de.wikipedia.org/wiki/Amtlicher_Gemeindeschlüssel</w:t>
        </w:r>
      </w:hyperlink>
    </w:p>
    <w:p>
      <w:r>
        <w:t xml:space="preserve">[2]: Ratsinformationssystem der Stadt Köln,</w:t>
      </w:r>
      <w:r>
        <w:t xml:space="preserve"> </w:t>
      </w:r>
      <w:hyperlink r:id="link2">
        <w:r>
          <w:rPr>
            <w:rStyle w:val="Hyperlink"/>
          </w:rPr>
          <w:t xml:space="preserve">http://ratsinformation.stadt-koeln.de/</w:t>
        </w:r>
      </w:hyperlink>
    </w:p>
    <w:p>
      <w:r>
        <w:t xml:space="preserve">[3]: Firma Somacos,</w:t>
      </w:r>
      <w:r>
        <w:t xml:space="preserve"> </w:t>
      </w:r>
      <w:hyperlink r:id="link3">
        <w:r>
          <w:rPr>
            <w:rStyle w:val="Hyperlink"/>
          </w:rPr>
          <w:t xml:space="preserve">SessionNet Produktinformation</w:t>
        </w:r>
      </w:hyperlink>
    </w:p>
    <w:p>
      <w:r>
        <w:t xml:space="preserve">[4]: Ratsinformationssystem der Bezirksverwaltugn Berlin Mitte,</w:t>
      </w:r>
      <w:r>
        <w:t xml:space="preserve"> </w:t>
      </w:r>
      <w:hyperlink r:id="link4">
        <w:r>
          <w:rPr>
            <w:rStyle w:val="Hyperlink"/>
          </w:rPr>
          <w:t xml:space="preserve">http://www.berlin.de/...</w:t>
        </w:r>
      </w:hyperlink>
    </w:p>
    <w:p>
      <w:r>
        <w:t xml:space="preserve">[5]: CC e-gov GmbH,</w:t>
      </w:r>
      <w:r>
        <w:t xml:space="preserve"> </w:t>
      </w:r>
      <w:hyperlink r:id="link5">
        <w:r>
          <w:rPr>
            <w:rStyle w:val="Hyperlink"/>
          </w:rPr>
          <w:t xml:space="preserve">ALLRIS Produktionformationen</w:t>
        </w:r>
      </w:hyperlink>
    </w:p>
    <w:p>
      <w:r>
        <w:t xml:space="preserve">[6]: Ratsinformationssystem der Stadt Rösrath,</w:t>
      </w:r>
      <w:r>
        <w:t xml:space="preserve"> </w:t>
      </w:r>
      <w:hyperlink r:id="link6">
        <w:r>
          <w:rPr>
            <w:rStyle w:val="Hyperlink"/>
          </w:rPr>
          <w:t xml:space="preserve">http://212.227.97.55/...</w:t>
        </w:r>
      </w:hyperlink>
    </w:p>
    <w:p>
      <w:r>
        <w:t xml:space="preserve">[7]:</w:t>
      </w:r>
      <w:r>
        <w:t xml:space="preserve"> </w:t>
      </w:r>
      <w:hyperlink r:id="link7">
        <w:r>
          <w:rPr>
            <w:rStyle w:val="Hyperlink"/>
          </w:rPr>
          <w:t xml:space="preserve">Firma PROVOX</w:t>
        </w:r>
      </w:hyperlink>
    </w:p>
    <w:p>
      <w:r>
        <w:t xml:space="preserve">[8]: Ratsinformationssystem der Stadt Euskirchen,</w:t>
      </w:r>
      <w:r>
        <w:t xml:space="preserve"> </w:t>
      </w:r>
      <w:hyperlink r:id="link8">
        <w:r>
          <w:rPr>
            <w:rStyle w:val="Hyperlink"/>
          </w:rPr>
          <w:t xml:space="preserve">https://sitzungsdienst.euskirchen.de/</w:t>
        </w:r>
      </w:hyperlink>
    </w:p>
    <w:p>
      <w:r>
        <w:t xml:space="preserve">[9]: Firma Sternberg,</w:t>
      </w:r>
      <w:r>
        <w:t xml:space="preserve"> </w:t>
      </w:r>
      <w:hyperlink r:id="link9">
        <w:r>
          <w:rPr>
            <w:rStyle w:val="Hyperlink"/>
          </w:rPr>
          <w:t xml:space="preserve">SD.NET RIM Produktionformationen</w:t>
        </w:r>
      </w:hyperlink>
    </w:p>
    <w:p>
      <w:r>
        <w:t xml:space="preserve">[10]: BoRis, Ratsinformationssystem der Stadt Bonn (Eigenentwicklung).</w:t>
      </w:r>
      <w:r>
        <w:t xml:space="preserve"> </w:t>
      </w:r>
      <w:hyperlink r:id="link10">
        <w:r>
          <w:rPr>
            <w:rStyle w:val="Hyperlink"/>
          </w:rPr>
          <w:t xml:space="preserve">http://www2.bonn.de/...</w:t>
        </w:r>
      </w:hyperlink>
    </w:p>
    <w:p>
      <w:r>
        <w:t xml:space="preserve">[11]: World Geodetic System 1984 (EPSG:4326), wird unter anderem auch vom Global Positioning System (GPS) verwendet.</w:t>
      </w:r>
    </w:p>
    <w:p>
      <w:r>
        <w:t xml:space="preserve">[12]: Gemeinsame Normdatei:</w:t>
      </w:r>
      <w:r>
        <w:t xml:space="preserve"> </w:t>
      </w:r>
      <w:hyperlink r:id="link11">
        <w:r>
          <w:rPr>
            <w:rStyle w:val="Hyperlink"/>
          </w:rPr>
          <w:t xml:space="preserve">de.wikipedia.org/wiki/Gemeinsame_Normdatei</w:t>
        </w:r>
      </w:hyperlink>
    </w:p>
    <w:p>
      <w:r>
        <w:t xml:space="preserve">[13]: GeoJSON</w:t>
      </w:r>
      <w:r>
        <w:t xml:space="preserve"> </w:t>
      </w:r>
      <w:hyperlink r:id="link12">
        <w:r>
          <w:rPr>
            <w:rStyle w:val="Hyperlink"/>
          </w:rPr>
          <w:t xml:space="preserve">www.geojson.org</w:t>
        </w:r>
      </w:hyperlink>
    </w:p>
    <w:p>
      <w:r>
        <w:t xml:space="preserve">[14]: Frankfurt Gestalten</w:t>
      </w:r>
      <w:r>
        <w:t xml:space="preserve"> </w:t>
      </w:r>
      <w:hyperlink r:id="link12">
        <w:r>
          <w:rPr>
            <w:rStyle w:val="Hyperlink"/>
          </w:rPr>
          <w:t xml:space="preserve">www.geojson.org</w:t>
        </w:r>
      </w:hyperlink>
    </w:p>
    <w:p>
      <w:r>
        <w:t xml:space="preserve">[15]: Offenes Köln</w:t>
      </w:r>
      <w:r>
        <w:t xml:space="preserve"> </w:t>
      </w:r>
      <w:hyperlink r:id="link13">
        <w:r>
          <w:rPr>
            <w:rStyle w:val="Hyperlink"/>
          </w:rPr>
          <w:t xml:space="preserve">offeneskoeln.de</w:t>
        </w:r>
      </w:hyperlink>
    </w:p>
    <w:p>
      <w:r>
        <w:t xml:space="preserve">[16]: OpenRuhr:RIS</w:t>
      </w:r>
      <w:r>
        <w:t xml:space="preserve"> </w:t>
      </w:r>
      <w:hyperlink r:id="link14">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0">
            <w:r>
              <w:rPr>
                <w:rStyle w:val="Hyperlink"/>
              </w:rPr>
              <w:t xml:space="preserve">http://tools.ietf.org/html/rfc2119</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6">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7">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8">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8" Target="media/image8.png" /><Relationship Type="http://schemas.openxmlformats.org/officeDocument/2006/relationships/image" Id="image7" Target="media/image7.png" /><Relationship Type="http://schemas.openxmlformats.org/officeDocument/2006/relationships/image" Id="image2" Target="media/image2.png" /><Relationship Type="http://schemas.openxmlformats.org/officeDocument/2006/relationships/image" Id="image1" Target="media/image1.png" /><Relationship Type="http://schemas.openxmlformats.org/officeDocument/2006/relationships/image" Id="image4" Target="media/image4.png" /><Relationship Type="http://schemas.openxmlformats.org/officeDocument/2006/relationships/image" Id="image9" Target="media/image9.png" /><Relationship Type="http://schemas.openxmlformats.org/officeDocument/2006/relationships/image" Id="image3" Target="media/image3.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hyperlink" Id="link6" Target="http://212.227.97.55/ratsinfo/roesrath" TargetMode="External" /><Relationship Type="http://schemas.openxmlformats.org/officeDocument/2006/relationships/hyperlink" Id="link1" Target="http://de.wikipedia.org/wiki/Amtlicher_Gemeindeschl%C3%BCssel" TargetMode="External" /><Relationship Type="http://schemas.openxmlformats.org/officeDocument/2006/relationships/hyperlink" Id="link11" Target="http://de.wikipedia.org/wiki/Gemeinsame_Normdatei" TargetMode="External" /><Relationship Type="http://schemas.openxmlformats.org/officeDocument/2006/relationships/hyperlink" Id="link13" Target="http://offeneskoeln.de/" TargetMode="External" /><Relationship Type="http://schemas.openxmlformats.org/officeDocument/2006/relationships/hyperlink" Id="link14" Target="http://openruhr.de/openruhrris/" TargetMode="External" /><Relationship Type="http://schemas.openxmlformats.org/officeDocument/2006/relationships/hyperlink" Id="link2" Target="http://ratsinformation.stadt-koeln.de/" TargetMode="External" /><Relationship Type="http://schemas.openxmlformats.org/officeDocument/2006/relationships/hyperlink" Id="link0" Target="http://tools.ietf.org/html/rfc2119" TargetMode="External" /><Relationship Type="http://schemas.openxmlformats.org/officeDocument/2006/relationships/hyperlink" Id="link4" Target="http://www.berlin.de/ba-mitte/bvv-online/allris.net.asp" TargetMode="External" /><Relationship Type="http://schemas.openxmlformats.org/officeDocument/2006/relationships/hyperlink" Id="link5" Target="http://www.cc-egov.de/allris.htm" TargetMode="External" /><Relationship Type="http://schemas.openxmlformats.org/officeDocument/2006/relationships/hyperlink" Id="link12" Target="http://www.geojson.org/" TargetMode="External" /><Relationship Type="http://schemas.openxmlformats.org/officeDocument/2006/relationships/hyperlink" Id="link7" Target="http://www.provox.de/" TargetMode="External" /><Relationship Type="http://schemas.openxmlformats.org/officeDocument/2006/relationships/hyperlink" Id="link9" Target="http://www.sitzungsdienst.net/produkte/ratsinformationsmanagement" TargetMode="External" /><Relationship Type="http://schemas.openxmlformats.org/officeDocument/2006/relationships/hyperlink" Id="link3" Target="http://www.somacos.de/de/sitzungsdienst/ratsinfo.html" TargetMode="External" /><Relationship Type="http://schemas.openxmlformats.org/officeDocument/2006/relationships/hyperlink" Id="link10" Target="http://www2.bonn.de/bo_ris/ris_sql/agm_index.asp" TargetMode="External" /><Relationship Type="http://schemas.openxmlformats.org/officeDocument/2006/relationships/hyperlink" Id="link8" Target="https://sitzungsdienst.euskirche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