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ächste-schritte" w:name="nächste-schritte"/>
    <w:p>
      <w:pPr>
        <w:pStyle w:val="Heading2"/>
      </w:pPr>
      <w:r>
        <w:t xml:space="preserve">Nächste Schritte</w:t>
      </w:r>
    </w:p>
    <w:bookmarkEnd w:id="nächste-schritte"/>
    <w:p>
      <w:pPr>
        <w:numPr>
          <w:numId w:val="2"/>
          <w:ilvl w:val="0"/>
        </w:numPr>
      </w:pPr>
      <w:r>
        <w:t xml:space="preserve">Bis Ende Januar 2012: Einsammeln von Feedback zum Entwurf des Datenmodells Anpassen des Entwurfs anhand von Feedback</w:t>
      </w:r>
    </w:p>
    <w:p>
      <w:pPr>
        <w:numPr>
          <w:numId w:val="2"/>
          <w:ilvl w:val="0"/>
        </w:numPr>
      </w:pPr>
      <w:r>
        <w:t xml:space="preserve">Erarbeitung eines Entwurfs für eine REST-Schnittstelle</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 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3"/>
          <w:ilvl w:val="0"/>
        </w:numPr>
      </w:pPr>
      <w:r>
        <w:t xml:space="preserve">Stadt Köln [2] - Plattform: Somacos SessionNet [3]</w:t>
      </w:r>
    </w:p>
    <w:p>
      <w:pPr>
        <w:numPr>
          <w:numId w:val="3"/>
          <w:ilvl w:val="0"/>
        </w:numPr>
      </w:pPr>
      <w:r>
        <w:t xml:space="preserve">Bezirksverwaltung Berlin Mitte [4] - Plattform: ALLRIS [5]</w:t>
      </w:r>
    </w:p>
    <w:p>
      <w:pPr>
        <w:numPr>
          <w:numId w:val="3"/>
          <w:ilvl w:val="0"/>
        </w:numPr>
      </w:pPr>
      <w:r>
        <w:t xml:space="preserve">Stadt Rösrath [6] - Plattform der Firma PROVOX [7]</w:t>
      </w:r>
    </w:p>
    <w:p>
      <w:pPr>
        <w:numPr>
          <w:numId w:val="3"/>
          <w:ilvl w:val="0"/>
        </w:numPr>
      </w:pPr>
      <w:r>
        <w:t xml:space="preserve">Stadt Euskirchen [8] - Plattform: SD.NET RIM 4 [9]</w:t>
      </w:r>
    </w:p>
    <w:bookmarkStart w:id="zu-den-eigenschaften" w:name="zu-den-eigenschaften"/>
    <w:p>
      <w:pPr>
        <w:pStyle w:val="Heading3"/>
      </w:pPr>
      <w:r>
        <w:t xml:space="preserve">Zu den Eigenschaften</w:t>
      </w:r>
    </w:p>
    <w:bookmarkEnd w:id="zu-den-eigenschaften"/>
    <w:p>
      <w:r>
        <w:t xml:space="preserve">Eigenschaften der einzelnen Objekttypen sind, wenn nicht anders angegeben, verpflichtend. Optionale Eigenschaften sind entsprechend gekennzeichnet.</w:t>
      </w:r>
    </w:p>
    <w:p>
      <w:r>
        <w:t xml:space="preserve">Durch die aktuelle Detailtiefe der Beschreibungen soll vor allem die Frage "Was soll/kann gespeichert bzw. ausgedrückt werden?" geklärt werden.</w:t>
      </w:r>
    </w:p>
    <w:p>
      <w:r>
        <w:t xml:space="preserve">Detailliertere Anforderungen an die Eigenschaften ("Wie genau soll eine Information gespeichert werden?") werden zu einem späteren Zeitpunkt erörtert.</w:t>
      </w:r>
    </w:p>
    <w:bookmarkStart w:id="zu-den-beziehungen" w:name="zu-den-beziehungen"/>
    <w:p>
      <w:pPr>
        <w:pStyle w:val="Heading3"/>
      </w:pPr>
      <w:r>
        <w:t xml:space="preserve">Zu den Beziehungen</w:t>
      </w:r>
    </w:p>
    <w:bookmarkEnd w:id="zu-den-beziehungen"/>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7086600" cy="26289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7086600" cy="2628900"/>
                    </a:xfrm>
                    <a:prstGeom prst="rect">
                      <a:avLst/>
                    </a:prstGeom>
                    <a:noFill/>
                    <a:ln w="9525">
                      <a:noFill/>
                      <a:headEnd/>
                      <a:tailEnd/>
                    </a:ln>
                  </pic:spPr>
                </pic:pic>
              </a:graphicData>
            </a:graphic>
          </wp:inline>
        </w:drawing>
      </w:r>
    </w:p>
    <w:p>
      <w:pPr>
        <w:pStyle w:val="ImageCaption"/>
      </w:pPr>
      <w:r>
        <w:t xml:space="preserve">Abbildung: 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für Deutschland alle Gemeinden, Landkreise, kreisfreien Städte etc. eindeutig erfasst.</w:t>
      </w:r>
    </w:p>
    <w:p>
      <w:r>
        <w:t xml:space="preserve">Vorteil der Verwendung des AGS:</w:t>
      </w:r>
    </w:p>
    <w:p>
      <w:pPr>
        <w:numPr>
          <w:numId w:val="4"/>
          <w:ilvl w:val="0"/>
        </w:numPr>
      </w:pPr>
      <w:r>
        <w:t xml:space="preserve">Kompakte, einfache und einheitliche Schreibweise für jede Körperschaft.</w:t>
      </w:r>
    </w:p>
    <w:p>
      <w:pPr>
        <w:numPr>
          <w:numId w:val="4"/>
          <w:ilvl w:val="0"/>
        </w:numPr>
      </w:pPr>
      <w:r>
        <w:t xml:space="preserve">Der AGS wird von Behörden genutzt, ist anerkannt und auch in anderen Medien, z.B. der Wikipedia, verbreitet.</w:t>
      </w:r>
    </w:p>
    <w:p>
      <w:r>
        <w:t xml:space="preserve">Nachteil des AGS:</w:t>
      </w:r>
    </w:p>
    <w:p>
      <w:pPr>
        <w:numPr>
          <w:numId w:val="5"/>
          <w:ilvl w:val="0"/>
        </w:numPr>
      </w:pPr>
      <w:r>
        <w:t xml:space="preserve">Führende Nullen machen den Schlüssel fehleranfällig. Bestimmte Systeme wie z.B. Excel könnten den Inhalt als Zahlenwert erkennen und die führenden Nullen automatisch verwerfen.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Gebietskörperschaft zugeordnet. So wird beispielseise eine SPD in Köln von einer SPD in Leverkusen unterschieden.</w:t>
      </w:r>
    </w:p>
    <w:p>
      <w:pPr>
        <w:numPr>
          <w:numId w:val="6"/>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w:t>
      </w:r>
    </w:p>
    <w:p>
      <w:pPr>
        <w:numPr>
          <w:numId w:val="7"/>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p>
      <w:pPr>
        <w:pStyle w:val="DefinitionTerm"/>
      </w:pPr>
      <w:r>
        <w:t xml:space="preserve">Kennung</w:t>
      </w:r>
    </w:p>
    <w:p>
      <w:pPr>
        <w:pStyle w:val="Definition"/>
      </w:pPr>
      <w:r>
        <w:t xml:space="preserve">Zur eundeitigen Kennzeichnung einer Organisation innerhalb einer Gebietskörperschaft</w:t>
      </w:r>
    </w:p>
    <w:p>
      <w:pPr>
        <w:pStyle w:val="DefinitionTerm"/>
      </w:pPr>
      <w:r>
        <w:t xml:space="preserve">Name</w:t>
      </w:r>
    </w:p>
    <w:p>
      <w:pPr>
        <w:pStyle w:val="Definition"/>
      </w:pPr>
      <w:r>
        <w:t xml:space="preserve">Der gebräuchliche Name der Organisation, z.B. "SPD" oder "DIE LINKE".</w:t>
      </w:r>
    </w:p>
    <w:bookmarkStart w:id="anmerkungen-2" w:name="anmerkungen-2"/>
    <w:p>
      <w:pPr>
        <w:pStyle w:val="Heading4"/>
      </w:pPr>
      <w:r>
        <w:t xml:space="preserve">Anmerkungen</w:t>
      </w:r>
    </w:p>
    <w:bookmarkEnd w:id="anmerkungen-2"/>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Gebietskörperschaft.</w:t>
      </w:r>
    </w:p>
    <w:p>
      <w:pPr>
        <w:numPr>
          <w:numId w:val="11"/>
          <w:ilvl w:val="0"/>
        </w:numPr>
      </w:pPr>
      <w:r>
        <w:t xml:space="preserve">Personen können Organisationen angehören (</w:t>
      </w:r>
      <w:r>
        <w:rPr>
          <w:i/>
        </w:rPr>
        <w:t xml:space="preserve">datiert</w:t>
      </w:r>
      <w:r>
        <w:t xml:space="preserve">).</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p>
      <w:pPr>
        <w:pStyle w:val="DefinitionTerm"/>
      </w:pPr>
      <w:r>
        <w:t xml:space="preserve">Kennung</w:t>
      </w:r>
    </w:p>
    <w:p>
      <w:pPr>
        <w:pStyle w:val="Definition"/>
      </w:pPr>
      <w:r>
        <w:t xml:space="preserve">Zur eindeutigen Identifizierung der Sitzung innerhalb einer Gebietskörperschaft. In der Praxis wird eine solche Kennzeichnung entweder durch eine laufende Nummer gebildet, oder durch Kombination mehrerer Merkmale wie dem Kürzel des Gremiums, der laufenden Nummer der Sitzung in einem Jahr und der Jahreszahl (z.B. "BV1/0034/2012").</w:t>
      </w:r>
    </w:p>
    <w:p>
      <w:pPr>
        <w:pStyle w:val="DefinitionTerm"/>
      </w:pPr>
      <w:r>
        <w:t xml:space="preserve">Nummer</w:t>
      </w:r>
    </w:p>
    <w:p>
      <w:pPr>
        <w:pStyle w:val="Definition"/>
      </w:pPr>
      <w:r>
        <w:rPr>
          <w:i/>
        </w:rPr>
        <w:t xml:space="preserve">Optional</w:t>
      </w:r>
      <w:r>
        <w:t xml:space="preserve">. Laufende Nummer der Sitzung, üblicherweise innerhalb der Wahlperiode mit 1 beginnend. In der Praxis wird dadurch z.B. die "2. Sitzung des Rats" gekennzeichnet.</w:t>
      </w:r>
    </w:p>
    <w:p>
      <w:pPr>
        <w:pStyle w:val="DefinitionTerm"/>
      </w:pPr>
      <w:r>
        <w:t xml:space="preserve">Anfang</w:t>
      </w:r>
    </w:p>
    <w:p>
      <w:pPr>
        <w:pStyle w:val="Definition"/>
      </w:pPr>
      <w:r>
        <w:t xml:space="preserve">Datum und Uhrzeit des Anfangs der Sitzung</w:t>
      </w:r>
    </w:p>
    <w:p>
      <w:pPr>
        <w:pStyle w:val="DefinitionTerm"/>
      </w:pPr>
      <w:r>
        <w:t xml:space="preserve">Ende</w:t>
      </w:r>
    </w:p>
    <w:p>
      <w:pPr>
        <w:pStyle w:val="Definition"/>
      </w:pPr>
      <w:r>
        <w:rPr>
          <w:i/>
        </w:rPr>
        <w:t xml:space="preserve">Optional</w:t>
      </w:r>
      <w:r>
        <w:t xml:space="preserve">. Datum und Uhrzeit vom Ende der Sitzung</w:t>
      </w:r>
    </w:p>
    <w:bookmarkStart w:id="anmerkung" w:name="anmerkung"/>
    <w:p>
      <w:pPr>
        <w:pStyle w:val="Heading4"/>
      </w:pPr>
      <w:r>
        <w:t xml:space="preserve">Anmerkung</w:t>
      </w:r>
    </w:p>
    <w:bookmarkEnd w:id="anmerkung"/>
    <w:p>
      <w:pPr>
        <w:numPr>
          <w:numId w:val="12"/>
          <w:ilvl w:val="0"/>
        </w:numPr>
      </w:pPr>
      <w:r>
        <w:t xml:space="preserve">Unklar ist, ob der Anfangszeitpunkt besser durch zwei getrennte Felder kodiert werden sollte: Anfangs-Datum (als Pflichtfeld) und Anfangs-Uhrzeit als optionales Feld. Dadurch könnten zukünftige Sitzungen, deren Uhrzeit noch nicht feststeht, korrekt abgebildet werden. Es müsste geprüft werden, ob dies in der Praxis relevant ist.</w:t>
      </w:r>
    </w:p>
    <w:bookmarkStart w:id="beziehungen-4" w:name="beziehungen-4"/>
    <w:p>
      <w:pPr>
        <w:pStyle w:val="Heading3"/>
      </w:pPr>
      <w:r>
        <w:t xml:space="preserve">Beziehungen</w:t>
      </w:r>
    </w:p>
    <w:bookmarkEnd w:id="beziehungen-4"/>
    <w:p>
      <w:pPr>
        <w:numPr>
          <w:numId w:val="13"/>
          <w:ilvl w:val="0"/>
        </w:numPr>
      </w:pPr>
      <w:r>
        <w:t xml:space="preserve">Sitzungen sind grundsätzlich genau einem Gremium zugeordnet.</w:t>
      </w:r>
    </w:p>
    <w:p>
      <w:pPr>
        <w:numPr>
          <w:numId w:val="13"/>
          <w:ilvl w:val="0"/>
        </w:numPr>
      </w:pPr>
      <w:r>
        <w:t xml:space="preserve">Personen sind Sitzungen zugeordnet, um die Teilnahme an der Sitzung auszudrücken.</w:t>
      </w:r>
    </w:p>
    <w:p>
      <w:pPr>
        <w:numPr>
          <w:numId w:val="13"/>
          <w:ilvl w:val="0"/>
        </w:numPr>
      </w:pPr>
      <w:r>
        <w:t xml:space="preserve">Drucksachen werden vom Typ "Sitzung"</w:t>
      </w:r>
      <w:r>
        <w:t xml:space="preserve"> </w:t>
      </w:r>
      <w:r>
        <w:rPr>
          <w:i/>
        </w:rPr>
        <w:t xml:space="preserve">optional</w:t>
      </w:r>
      <w:r>
        <w:t xml:space="preserve"> </w:t>
      </w:r>
      <w:r>
        <w:t xml:space="preserve">zu mehreren zwecken referenziert:</w:t>
      </w:r>
    </w:p>
    <w:p>
      <w:pPr>
        <w:numPr>
          <w:numId w:val="14"/>
          <w:ilvl w:val="1"/>
        </w:numPr>
      </w:pPr>
      <w:r>
        <w:t xml:space="preserve">Zum Verweis auf die Einladung zur Sitzung</w:t>
      </w:r>
    </w:p>
    <w:p>
      <w:pPr>
        <w:numPr>
          <w:numId w:val="14"/>
          <w:ilvl w:val="1"/>
        </w:numPr>
      </w:pPr>
      <w:r>
        <w:t xml:space="preserve">Zum Verweis auf das Ergebnisprotokoll zur Sitzung</w:t>
      </w:r>
    </w:p>
    <w:p>
      <w:pPr>
        <w:numPr>
          <w:numId w:val="14"/>
          <w:ilvl w:val="1"/>
        </w:numPr>
      </w:pPr>
      <w:r>
        <w:t xml:space="preserve">Zum Verweis auf das Wortprotokoll zur Sitzung</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p>
      <w:r>
        <w:t xml:space="preserve">In der Praxis werden die meisten Sitzungen mehrere Tagesordnungspunkte haben.</w:t>
      </w:r>
    </w:p>
    <w:bookmarkStart w:id="eigenschaften-5" w:name="eigenschaften-5"/>
    <w:p>
      <w:pPr>
        <w:pStyle w:val="Heading3"/>
      </w:pPr>
      <w:r>
        <w:t xml:space="preserve">Eigenschaften</w:t>
      </w:r>
    </w:p>
    <w:bookmarkEnd w:id="eigenschaften-5"/>
    <w:p>
      <w:pPr>
        <w:pStyle w:val="DefinitionTerm"/>
      </w:pPr>
      <w:r>
        <w:t xml:space="preserve">Nummer</w:t>
      </w:r>
    </w:p>
    <w:p>
      <w:pPr>
        <w:pStyle w:val="Definition"/>
      </w:pPr>
      <w:r>
        <w:t xml:space="preserve">Beispiel: "1.2.3". Diese Nummer gibt an, in welcher Reihenfolge die Tagesordnungspunkte einer Sitzung behandelt werden. Im Kontext einer Sitzung ist diese Nummer eindeutig.</w:t>
      </w:r>
    </w:p>
    <w:p>
      <w:pPr>
        <w:pStyle w:val="DefinitionTerm"/>
      </w:pPr>
      <w:r>
        <w:t xml:space="preserve">Öffentlich</w:t>
      </w:r>
    </w:p>
    <w:p>
      <w:pPr>
        <w:pStyle w:val="Definition"/>
      </w:pPr>
      <w:r>
        <w:t xml:space="preserve">ja/nein. Kennzeichnet, ob der Tagesordnungspunkt in öffentlicher Sitzung behandelt wird.</w:t>
      </w:r>
    </w:p>
    <w:p>
      <w:pPr>
        <w:pStyle w:val="DefinitionTerm"/>
      </w:pPr>
      <w:r>
        <w:t xml:space="preserve">Titel</w:t>
      </w:r>
    </w:p>
    <w:p>
      <w:pPr>
        <w:pStyle w:val="Definition"/>
      </w:pPr>
      <w:r>
        <w:t xml:space="preserve">Das Thema des Tagesordnungspunktes</w:t>
      </w:r>
    </w:p>
    <w:p>
      <w:pPr>
        <w:pStyle w:val="DefinitionTerm"/>
      </w:pPr>
      <w:r>
        <w:t xml:space="preserve">Ergebnis</w:t>
      </w:r>
    </w:p>
    <w:p>
      <w:pPr>
        <w:pStyle w:val="Definition"/>
      </w:pPr>
      <w:r>
        <w:t xml:space="preserve">Eines aus einer Liste definierter Ergebnisse. Möglich sind: "Unverändert beschlossen", "Geändert beschlossen", "Endgültig abgelehnt", "Zur Kenntnis genommen", "Ohne Votum in nachfolgende Gremien überwiesen"</w:t>
      </w:r>
    </w:p>
    <w:p>
      <w:pPr>
        <w:pStyle w:val="DefinitionTerm"/>
      </w:pPr>
      <w:r>
        <w:t xml:space="preserve">Beschlusstext</w:t>
      </w:r>
    </w:p>
    <w:p>
      <w:pPr>
        <w:pStyle w:val="Definition"/>
      </w:pPr>
      <w:r>
        <w:rPr>
          <w:i/>
        </w:rPr>
        <w:t xml:space="preserve">Optional</w:t>
      </w:r>
      <w:r>
        <w:t xml:space="preserve">. Falls in diesem Tagesordnungspunkt ein Beschluss gefasst wurde, kann der Text hier hinterlegt werden. Das ist besonders dann in de Praxis relevant, wenn der gefasste Beschluss (z.B. durch Änderungsantrag) von der Beschlussvorlage abweicht.</w:t>
      </w:r>
    </w:p>
    <w:bookmarkStart w:id="anmerkungen-3" w:name="anmerkungen-3"/>
    <w:p>
      <w:pPr>
        <w:pStyle w:val="Heading4"/>
      </w:pPr>
      <w:r>
        <w:t xml:space="preserve">Anmerkungen</w:t>
      </w:r>
    </w:p>
    <w:bookmarkEnd w:id="anmerkungen-3"/>
    <w:p>
      <w:pPr>
        <w:numPr>
          <w:numId w:val="1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kann.</w:t>
      </w:r>
    </w:p>
    <w:bookmarkStart w:id="beziehungen-5" w:name="beziehungen-5"/>
    <w:p>
      <w:pPr>
        <w:pStyle w:val="Heading3"/>
      </w:pPr>
      <w:r>
        <w:t xml:space="preserve">Beziehungen</w:t>
      </w:r>
    </w:p>
    <w:bookmarkEnd w:id="beziehungen-5"/>
    <w:p>
      <w:pPr>
        <w:numPr>
          <w:numId w:val="16"/>
          <w:ilvl w:val="0"/>
        </w:numPr>
      </w:pPr>
      <w:r>
        <w:t xml:space="preserve">Es können mehrere Objekte vom Typ "Stimmabgabe" referenziert werden, um das Abstimmungsverhalten von Fraktionen oder Einzelpersonen zu dokumentieren.</w:t>
      </w:r>
    </w:p>
    <w:p>
      <w:pPr>
        <w:numPr>
          <w:numId w:val="1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p>
      <w:pPr>
        <w:pStyle w:val="DefinitionTerm"/>
      </w:pPr>
      <w:r>
        <w:t xml:space="preserve">Anzahl der Stimmen</w:t>
      </w:r>
    </w:p>
    <w:p>
      <w:pPr>
        <w:pStyle w:val="Definition"/>
      </w:pPr>
      <w:r>
        <w:t xml:space="preserve">Gehört die Stimmabgabe zu einer Person, ist der Wert immer 1. Gehört sie jedoch zu einer Organisation (=Fraktion), kann der Wert hier größer als 1 sein.</w:t>
      </w:r>
    </w:p>
    <w:p>
      <w:pPr>
        <w:pStyle w:val="DefinitionTerm"/>
      </w:pPr>
      <w:r>
        <w:t xml:space="preserve">Votum</w:t>
      </w:r>
    </w:p>
    <w:p>
      <w:pPr>
        <w:pStyle w:val="Definition"/>
      </w:pPr>
      <w:r>
        <w:t xml:space="preserve">Einer der drei Werte "ja" (gleichbedeutend mit "dafür"), "nein" ("dagegen") oder "Enthaltung".</w:t>
      </w:r>
    </w:p>
    <w:bookmarkStart w:id="beziehungen-6" w:name="beziehungen-6"/>
    <w:p>
      <w:pPr>
        <w:pStyle w:val="Heading3"/>
      </w:pPr>
      <w:r>
        <w:t xml:space="preserve">Beziehungen</w:t>
      </w:r>
    </w:p>
    <w:bookmarkEnd w:id="beziehungen-6"/>
    <w:p>
      <w:pPr>
        <w:numPr>
          <w:numId w:val="17"/>
          <w:ilvl w:val="0"/>
        </w:numPr>
      </w:pPr>
      <w:r>
        <w:t xml:space="preserve">Jede Stimmabgabe gehört zu genau einem Tagesordnungspunkt.</w:t>
      </w:r>
    </w:p>
    <w:p>
      <w:pPr>
        <w:numPr>
          <w:numId w:val="17"/>
          <w:ilvl w:val="0"/>
        </w:numPr>
      </w:pPr>
      <w:r>
        <w:t xml:space="preserve">Es wird entweder genau eine Person oder genau eine Organisation (Fraktion) referenziert, die die Stimme(n) abgegeben hat.</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 Das Datum gibt an, wann die Drucksache erzeugt bzw. veröffentlicht wurde.</w:t>
      </w:r>
    </w:p>
    <w:p>
      <w:r>
        <w:t xml:space="preserve">Die Drucksache verweist auf genau ein Hauptdokument. Darüber hinaus können beliebig viele Dokumente als Anhang referenziert werden.</w:t>
      </w:r>
    </w:p>
    <w:bookmarkStart w:id="eigenschaften-7" w:name="eigenschaften-7"/>
    <w:p>
      <w:pPr>
        <w:pStyle w:val="Heading3"/>
      </w:pPr>
      <w:r>
        <w:t xml:space="preserve">Eigenschaften</w:t>
      </w:r>
    </w:p>
    <w:bookmarkEnd w:id="eigenschaften-7"/>
    <w:bookmarkStart w:id="beziehungen-7" w:name="beziehungen-7"/>
    <w:p>
      <w:pPr>
        <w:pStyle w:val="Heading3"/>
      </w:pPr>
      <w:r>
        <w:t xml:space="preserve">Beziehungen</w:t>
      </w:r>
    </w:p>
    <w:bookmarkEnd w:id="beziehungen-7"/>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bookmarkStart w:id="eigenschaften-8" w:name="eigenschaften-8"/>
    <w:p>
      <w:pPr>
        <w:pStyle w:val="Heading3"/>
      </w:pPr>
      <w:r>
        <w:t xml:space="preserve">Eigenschaften</w:t>
      </w:r>
    </w:p>
    <w:bookmarkEnd w:id="eigenschaften-8"/>
    <w:bookmarkStart w:id="beziehungen-8" w:name="beziehungen-8"/>
    <w:p>
      <w:pPr>
        <w:pStyle w:val="Heading3"/>
      </w:pPr>
      <w:r>
        <w:t xml:space="preserve">Beziehungen</w:t>
      </w:r>
    </w:p>
    <w:bookmarkEnd w:id="beziehungen-8"/>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bookmarkStart w:id="noch-nicht-abgedeckt" w:name="noch-nicht-abgedeckt"/>
    <w:p>
      <w:pPr>
        <w:pStyle w:val="Heading2"/>
      </w:pPr>
      <w:r>
        <w:t xml:space="preserve">Noch nicht abgedeckt</w:t>
      </w:r>
    </w:p>
    <w:bookmarkEnd w:id="noch-nicht-abgedeckt"/>
    <w:p>
      <w:pPr>
        <w:numPr>
          <w:numId w:val="18"/>
          <w:ilvl w:val="0"/>
        </w:numPr>
      </w:pPr>
      <w:r>
        <w:t xml:space="preserve">Angaben von Personen zu Tätigkeiten (z.B. Auskunft nach § 17 Korruptionsbekämpfungsgesetz). Diese werden von mehreren Systemen geführt und ausgegeben.</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bookmarkStart w:id="fußnoten" w:name="fußnoten"/>
    <w:p>
      <w:pPr>
        <w:pStyle w:val="Heading1"/>
      </w:pPr>
      <w:r>
        <w:t xml:space="preserve">Fußnoten</w:t>
      </w:r>
    </w:p>
    <w:bookmarkEnd w:id="fußnoten"/>
    <w:p>
      <w:r>
        <w:t xml:space="preserve">[1]: Siehe</w:t>
      </w:r>
      <w:r>
        <w:t xml:space="preserve"> </w:t>
      </w:r>
      <w:hyperlink r:id="link0">
        <w:r>
          <w:rPr>
            <w:rStyle w:val="Hyperlink"/>
          </w:rPr>
          <w:t xml:space="preserve">www.destatis.de/...</w:t>
        </w:r>
      </w:hyperlink>
    </w:p>
    <w:p>
      <w:r>
        <w:t xml:space="preserve">[2]: Ratsinformationssystem der Stadt Köln,</w:t>
      </w:r>
      <w:r>
        <w:t xml:space="preserve"> </w:t>
      </w:r>
      <w:hyperlink r:id="link1">
        <w:r>
          <w:rPr>
            <w:rStyle w:val="Hyperlink"/>
          </w:rPr>
          <w:t xml:space="preserve">http://ratsinformation.stadt-koeln.de/</w:t>
        </w:r>
      </w:hyperlink>
    </w:p>
    <w:p>
      <w:r>
        <w:t xml:space="preserve">[3]: Firma Somacos,</w:t>
      </w:r>
      <w:r>
        <w:t xml:space="preserve"> </w:t>
      </w:r>
      <w:hyperlink r:id="link2">
        <w:r>
          <w:rPr>
            <w:rStyle w:val="Hyperlink"/>
          </w:rPr>
          <w:t xml:space="preserve">SessionNet Produktinformation</w:t>
        </w:r>
      </w:hyperlink>
    </w:p>
    <w:p>
      <w:r>
        <w:t xml:space="preserve">[4]: Ratsinformationssystem der Bezirksverwaltugn Berlin Mitte,</w:t>
      </w:r>
      <w:r>
        <w:t xml:space="preserve"> </w:t>
      </w:r>
      <w:hyperlink r:id="link3">
        <w:r>
          <w:rPr>
            <w:rStyle w:val="Hyperlink"/>
          </w:rPr>
          <w:t xml:space="preserve">http://www.berlin.de/ba-mitte/...</w:t>
        </w:r>
      </w:hyperlink>
    </w:p>
    <w:p>
      <w:r>
        <w:t xml:space="preserve">[5]: CC e-gov GmbH,</w:t>
      </w:r>
      <w:r>
        <w:t xml:space="preserve"> </w:t>
      </w:r>
      <w:hyperlink r:id="link4">
        <w:r>
          <w:rPr>
            <w:rStyle w:val="Hyperlink"/>
          </w:rPr>
          <w:t xml:space="preserve">ALLRIS Produktionformationen</w:t>
        </w:r>
      </w:hyperlink>
    </w:p>
    <w:p>
      <w:r>
        <w:t xml:space="preserve">[6]: Ratsinformationssystem der Stadt Rösrath,</w:t>
      </w:r>
      <w:r>
        <w:t xml:space="preserve"> </w:t>
      </w:r>
      <w:hyperlink r:id="link5">
        <w:r>
          <w:rPr>
            <w:rStyle w:val="Hyperlink"/>
          </w:rPr>
          <w:t xml:space="preserve">http://212.227.97.55/ratsinfo/...</w:t>
        </w:r>
      </w:hyperlink>
    </w:p>
    <w:p>
      <w:r>
        <w:t xml:space="preserve">[7]:</w:t>
      </w:r>
      <w:r>
        <w:t xml:space="preserve"> </w:t>
      </w:r>
      <w:hyperlink r:id="link6">
        <w:r>
          <w:rPr>
            <w:rStyle w:val="Hyperlink"/>
          </w:rPr>
          <w:t xml:space="preserve">Firma PROVOX</w:t>
        </w:r>
      </w:hyperlink>
    </w:p>
    <w:p>
      <w:r>
        <w:t xml:space="preserve">[8]: Ratsinformationssystem der Stadt Euskirchen,</w:t>
      </w:r>
      <w:r>
        <w:t xml:space="preserve"> </w:t>
      </w:r>
      <w:hyperlink r:id="link7">
        <w:r>
          <w:rPr>
            <w:rStyle w:val="Hyperlink"/>
          </w:rPr>
          <w:t xml:space="preserve">https://sitzungsdienst.euskirchen.de/</w:t>
        </w:r>
      </w:hyperlink>
    </w:p>
    <w:p>
      <w:r>
        <w:t xml:space="preserve">[9]: Firma Sternberg,</w:t>
      </w:r>
      <w:r>
        <w:t xml:space="preserve"> </w:t>
      </w:r>
      <w:hyperlink r:id="link8">
        <w:r>
          <w:rPr>
            <w:rStyle w:val="Hyperlink"/>
          </w:rPr>
          <w:t xml:space="preserve">SD.NET RIM Produktionformationen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5" Target="http://212.227.97.55/ratsinfo/roesrath" TargetMode="External" /><Relationship Type="http://schemas.openxmlformats.org/officeDocument/2006/relationships/hyperlink" Id="link1" Target="http://ratsinformation.stadt-koeln.de/" TargetMode="External" /><Relationship Type="http://schemas.openxmlformats.org/officeDocument/2006/relationships/hyperlink" Id="link3" Target="http://www.berlin.de/ba-mitte/bvv-online/allris.net.asp" TargetMode="External" /><Relationship Type="http://schemas.openxmlformats.org/officeDocument/2006/relationships/hyperlink" Id="link4" Target="http://www.cc-egov.de/allris.htm" TargetMode="External" /><Relationship Type="http://schemas.openxmlformats.org/officeDocument/2006/relationships/hyperlink" Id="link6" Target="http://www.provox.de/" TargetMode="External" /><Relationship Type="http://schemas.openxmlformats.org/officeDocument/2006/relationships/hyperlink" Id="link8" Target="http://www.sitzungsdienst.net/produkte/ratsinformationsmanagement" TargetMode="External" /><Relationship Type="http://schemas.openxmlformats.org/officeDocument/2006/relationships/hyperlink" Id="link2" Target="http://www.somacos.de/de/sitzungsdienst/ratsinfo.html" TargetMode="External" /><Relationship Type="http://schemas.openxmlformats.org/officeDocument/2006/relationships/hyperlink" Id="link7" Target="https://sitzungsdienst.euskirchen.de/" TargetMode="External" /><Relationship Type="http://schemas.openxmlformats.org/officeDocument/2006/relationships/hyperlink" Id="link0" Target="https://www.destatis.de/DE/Methoden/Klassifikationen/Bevoelkerung/StaatsangehoerigkeitGebietsschluess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dc:creator>
</cp:coreProperties>
</file>