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eigneständig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22"/>
          <w:ilvl w:val="0"/>
        </w:numPr>
      </w:pPr>
      <w:r>
        <w:t xml:space="preserve">Ausgerichtet am Status Quo</w:t>
      </w:r>
    </w:p>
    <w:p>
      <w:pPr>
        <w:numPr>
          <w:numId w:val="22"/>
          <w:ilvl w:val="0"/>
        </w:numPr>
      </w:pPr>
      <w:r>
        <w:t xml:space="preserve">Einige Möglichkeiten weisen in die Zukunft (z.B. Geodaten, Volltexte, Vereinheitlichung der Kategorien-Nomenklatur)</w:t>
      </w:r>
    </w:p>
    <w:p>
      <w:pPr>
        <w:numPr>
          <w:numId w:val="22"/>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Mögloichkeit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23"/>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24"/>
          <w:ilvl w:val="0"/>
        </w:numPr>
      </w:pPr>
      <w:r>
        <w:t xml:space="preserve">Siehe RFC4627</w:t>
      </w:r>
    </w:p>
    <w:p>
      <w:pPr>
        <w:numPr>
          <w:numId w:val="24"/>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25"/>
          <w:ilvl w:val="0"/>
        </w:numPr>
      </w:pPr>
      <w:r>
        <w:t xml:space="preserve">JSON-LD: http://www.w3.org/TR/json-ld/</w:t>
      </w:r>
    </w:p>
    <w:p>
      <w:pPr>
        <w:numPr>
          <w:numId w:val="25"/>
          <w:ilvl w:val="0"/>
        </w:numPr>
      </w:pPr>
      <w:r>
        <w:t xml:space="preserve">Einschränkungen von OParl gegenüber JSON-LD</w:t>
      </w:r>
    </w:p>
    <w:p>
      <w:pPr>
        <w:numPr>
          <w:numId w:val="25"/>
          <w:ilvl w:val="0"/>
        </w:numPr>
      </w:pPr>
      <w:r>
        <w:t xml:space="preserve">Schlüssel in einem JSON-LD-Objekt müssen einzigartig sein.</w:t>
      </w:r>
    </w:p>
    <w:p>
      <w:pPr>
        <w:numPr>
          <w:numId w:val="25"/>
          <w:ilvl w:val="0"/>
        </w:numPr>
      </w:pPr>
      <w:r>
        <w:t xml:space="preserve">Unterscheidung von Groß- und Kleinschreibung</w:t>
      </w:r>
    </w:p>
    <w:p>
      <w:pPr>
        <w:numPr>
          <w:numId w:val="25"/>
          <w:ilvl w:val="0"/>
        </w:numPr>
      </w:pPr>
      <w:r>
        <w:t xml:space="preserve">Benannte Objekte (URL als Schlüssel)</w:t>
      </w:r>
    </w:p>
    <w:p>
      <w:pPr>
        <w:numPr>
          <w:numId w:val="25"/>
          <w:ilvl w:val="0"/>
        </w:numPr>
      </w:pPr>
      <w:r>
        <w:t xml:space="preserve">Anonyme Objekte (Blank Nodes)</w:t>
      </w:r>
    </w:p>
    <w:p>
      <w:pPr>
        <w:numPr>
          <w:numId w:val="25"/>
          <w:ilvl w:val="0"/>
        </w:numPr>
      </w:pPr>
      <w:r>
        <w:t xml:space="preserve">Mime Type application/ld+json</w:t>
      </w:r>
    </w:p>
    <w:p>
      <w:pPr>
        <w:numPr>
          <w:numId w:val="25"/>
          <w:ilvl w:val="0"/>
        </w:numPr>
      </w:pPr>
      <w:r>
        <w:t xml:space="preserve">Kompakte Form mit Verwendung externer @context-URL als SOLL-Anforderung</w:t>
      </w:r>
    </w:p>
    <w:p>
      <w:pPr>
        <w:numPr>
          <w:numId w:val="25"/>
          <w:ilvl w:val="0"/>
        </w:numPr>
      </w:pPr>
      <w:r>
        <w:t xml:space="preserve">Verweis auf http://www.bmi.bund.de/SharedDocs/Downloads/DE/Themen/OED_Verwaltung/ModerneVerwaltung/opengovernment.pdf?__blob=publicationFile</w:t>
      </w:r>
    </w:p>
    <w:p>
      <w:pPr>
        <w:numPr>
          <w:numId w:val="25"/>
          <w:ilvl w:val="0"/>
        </w:numPr>
      </w:pPr>
      <w:r>
        <w:t xml:space="preserve">Siehe https://github.com/OParl/specs/issues/77</w:t>
      </w:r>
    </w:p>
    <w:p>
      <w:pPr>
        <w:numPr>
          <w:numId w:val="25"/>
          <w:ilvl w:val="0"/>
        </w:numPr>
      </w:pPr>
      <w:r>
        <w:t xml:space="preserve">Siehe https://github.com/OParl/specs/issues/10</w:t>
      </w:r>
    </w:p>
    <w:bookmarkStart w:id="jsonp" w:name="jsonp"/>
    <w:p>
      <w:pPr>
        <w:pStyle w:val="Heading3"/>
      </w:pPr>
      <w:r>
        <w:t xml:space="preserve">JSONP</w:t>
      </w:r>
    </w:p>
    <w:bookmarkEnd w:id="jsonp"/>
    <w:p>
      <w:pPr>
        <w:numPr>
          <w:numId w:val="26"/>
          <w:ilvl w:val="0"/>
        </w:numPr>
      </w:pPr>
      <w:r>
        <w:t xml:space="preserve">TODO: Spezifikation finden/verlinken. (RFC gibt es nicht)</w:t>
      </w:r>
    </w:p>
    <w:p>
      <w:pPr>
        <w:numPr>
          <w:numId w:val="26"/>
          <w:ilvl w:val="0"/>
        </w:numPr>
      </w:pPr>
      <w:r>
        <w:t xml:space="preserve">https://github.com/OParl/specs/issues/67</w:t>
      </w:r>
    </w:p>
    <w:p>
      <w:pPr>
        <w:numPr>
          <w:numId w:val="26"/>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27"/>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28"/>
          <w:ilvl w:val="0"/>
        </w:numPr>
      </w:pPr>
      <w:r>
        <w:t xml:space="preserve">Hinweise und evtl. Auszüge aus</w:t>
      </w:r>
    </w:p>
    <w:p>
      <w:pPr>
        <w:numPr>
          <w:numId w:val="28"/>
          <w:ilvl w:val="0"/>
        </w:numPr>
      </w:pPr>
      <w:r>
        <w:t xml:space="preserve">http://www.w3.org/Provider/Style/URI.html</w:t>
      </w:r>
    </w:p>
    <w:p>
      <w:pPr>
        <w:numPr>
          <w:numId w:val="28"/>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9"/>
          <w:ilvl w:val="0"/>
        </w:numPr>
      </w:pPr>
      <w:r>
        <w:t xml:space="preserve">Vermeidung von Duplicate Content durch Fehlkonfiguration</w:t>
      </w:r>
    </w:p>
    <w:p>
      <w:pPr>
        <w:numPr>
          <w:numId w:val="29"/>
          <w:ilvl w:val="0"/>
        </w:numPr>
      </w:pPr>
      <w:r>
        <w:t xml:space="preserve">z.B.: verschiedene CNAMES mit der selben IP-Adresse</w:t>
      </w:r>
    </w:p>
    <w:p>
      <w:pPr>
        <w:numPr>
          <w:numId w:val="29"/>
          <w:ilvl w:val="0"/>
        </w:numPr>
      </w:pPr>
      <w:r>
        <w:t xml:space="preserve">z.B.: Aufruf über http://www.example.com und http://example.com</w:t>
      </w:r>
    </w:p>
    <w:p>
      <w:pPr>
        <w:numPr>
          <w:numId w:val="29"/>
          <w:ilvl w:val="0"/>
        </w:numPr>
      </w:pPr>
      <w:r>
        <w:t xml:space="preserve">z.B.: Direkter Aufruf über IP-Adresse http://1.2.3.4/</w:t>
      </w:r>
    </w:p>
    <w:p>
      <w:pPr>
        <w:numPr>
          <w:numId w:val="29"/>
          <w:ilvl w:val="0"/>
        </w:numPr>
      </w:pPr>
      <w:r>
        <w:t xml:space="preserve">URL-Parameter in definierter Reihenfolge verwenden</w:t>
      </w:r>
    </w:p>
    <w:p>
      <w:pPr>
        <w:numPr>
          <w:numId w:val="29"/>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30"/>
          <w:ilvl w:val="0"/>
        </w:numPr>
      </w:pPr>
      <w:r>
        <w:t xml:space="preserve">Ausgabe von URLs</w:t>
      </w:r>
    </w:p>
    <w:p>
      <w:pPr>
        <w:numPr>
          <w:numId w:val="30"/>
          <w:ilvl w:val="0"/>
        </w:numPr>
      </w:pPr>
      <w:r>
        <w:t xml:space="preserve">Stabile Sortierung (Sets vs. Lists)</w:t>
      </w:r>
    </w:p>
    <w:p>
      <w:pPr>
        <w:numPr>
          <w:numId w:val="30"/>
          <w:ilvl w:val="0"/>
        </w:numPr>
      </w:pPr>
      <w:r>
        <w:t xml:space="preserve">Paginierung</w:t>
      </w:r>
    </w:p>
    <w:p>
      <w:pPr>
        <w:numPr>
          <w:numId w:val="30"/>
          <w:ilvl w:val="0"/>
        </w:numPr>
      </w:pPr>
      <w:r>
        <w:t xml:space="preserve">Einschränkung auf Datumsbereiche</w:t>
      </w:r>
    </w:p>
    <w:p>
      <w:r>
        <w:t xml:space="preserve">Dazu:</w:t>
      </w:r>
    </w:p>
    <w:p>
      <w:pPr>
        <w:numPr>
          <w:numId w:val="31"/>
          <w:ilvl w:val="0"/>
        </w:numPr>
      </w:pPr>
      <w:r>
        <w:t xml:space="preserve">https://github.com/OParl/specs/issues/66</w:t>
      </w:r>
    </w:p>
    <w:p>
      <w:pPr>
        <w:numPr>
          <w:numId w:val="31"/>
          <w:ilvl w:val="0"/>
        </w:numPr>
      </w:pPr>
      <w:r>
        <w:t xml:space="preserve">https://github.com/OParl/specs/issues/30 )</w:t>
      </w:r>
    </w:p>
    <w:bookmarkStart w:id="feeds" w:name="feeds"/>
    <w:p>
      <w:pPr>
        <w:pStyle w:val="Heading2"/>
      </w:pPr>
      <w:r>
        <w:t xml:space="preserve">Feeds</w:t>
      </w:r>
    </w:p>
    <w:bookmarkEnd w:id="feeds"/>
    <w:p>
      <w:pPr>
        <w:numPr>
          <w:numId w:val="32"/>
          <w:ilvl w:val="0"/>
        </w:numPr>
      </w:pPr>
      <w:r>
        <w:t xml:space="preserve">Warum Feeds?</w:t>
      </w:r>
    </w:p>
    <w:p>
      <w:pPr>
        <w:numPr>
          <w:numId w:val="32"/>
          <w:ilvl w:val="0"/>
        </w:numPr>
      </w:pPr>
      <w:r>
        <w:t xml:space="preserve">Möglichst ressourcenschonendes Auffinden neuer und geänderter Objekte</w:t>
      </w:r>
    </w:p>
    <w:p>
      <w:pPr>
        <w:numPr>
          <w:numId w:val="32"/>
          <w:ilvl w:val="0"/>
        </w:numPr>
      </w:pPr>
      <w:r>
        <w:t xml:space="preserve">Cache-Invalidierung, Entfernung von gelöschten/depublizierten Objekten</w:t>
      </w:r>
    </w:p>
    <w:p>
      <w:pPr>
        <w:numPr>
          <w:numId w:val="32"/>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3"/>
          <w:ilvl w:val="0"/>
        </w:numPr>
      </w:pPr>
      <w:r>
        <w:t xml:space="preserve">Liste von Objekt-URLs</w:t>
      </w:r>
    </w:p>
    <w:bookmarkStart w:id="dokumentenabruf" w:name="dokumentenabruf"/>
    <w:p>
      <w:pPr>
        <w:pStyle w:val="Heading2"/>
      </w:pPr>
      <w:r>
        <w:t xml:space="preserve">Dokumentenabruf</w:t>
      </w:r>
    </w:p>
    <w:bookmarkEnd w:id="dokumentenabruf"/>
    <w:p>
      <w:pPr>
        <w:numPr>
          <w:numId w:val="34"/>
          <w:ilvl w:val="0"/>
        </w:numPr>
      </w:pPr>
      <w:r>
        <w:t xml:space="preserve">HTTP GET Methode MUSS unterstützt werden</w:t>
      </w:r>
    </w:p>
    <w:p>
      <w:pPr>
        <w:numPr>
          <w:numId w:val="34"/>
          <w:ilvl w:val="0"/>
        </w:numPr>
      </w:pPr>
      <w:r>
        <w:t xml:space="preserve">HEAD-Methode MUSS unterstützt werden</w:t>
      </w:r>
    </w:p>
    <w:p>
      <w:pPr>
        <w:numPr>
          <w:numId w:val="34"/>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5"/>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typen-von-objekteigenschaften" w:name="typen-von-objekteigenschaften"/>
    <w:p>
      <w:pPr>
        <w:pStyle w:val="Heading3"/>
      </w:pPr>
      <w:r>
        <w:t xml:space="preserve">Typen von Objekteigenschaften</w:t>
      </w:r>
    </w:p>
    <w:bookmarkEnd w:id="typen-von-objekteigenschaften"/>
    <w:p>
      <w:r>
        <w:t xml:space="preserve">JSON erlaubt grundsätzlich die Kodierung von Eigenschaften in den folgenden verschiedenen Typen:</w:t>
      </w:r>
    </w:p>
    <w:p>
      <w:pPr>
        <w:numPr>
          <w:numId w:val="36"/>
          <w:ilvl w:val="0"/>
        </w:numPr>
      </w:pPr>
      <w:r>
        <w:t xml:space="preserve">Zeichenkette</w:t>
      </w:r>
    </w:p>
    <w:p>
      <w:pPr>
        <w:numPr>
          <w:numId w:val="36"/>
          <w:ilvl w:val="0"/>
        </w:numPr>
      </w:pPr>
      <w:r>
        <w:t xml:space="preserve">Zahle</w:t>
      </w:r>
    </w:p>
    <w:p>
      <w:pPr>
        <w:numPr>
          <w:numId w:val="36"/>
          <w:ilvl w:val="0"/>
        </w:numPr>
      </w:pPr>
      <w:r>
        <w:t xml:space="preserve">Wahrheitswert</w:t>
      </w:r>
    </w:p>
    <w:p>
      <w:pPr>
        <w:numPr>
          <w:numId w:val="36"/>
          <w:ilvl w:val="0"/>
        </w:numPr>
      </w:pPr>
      <w:r>
        <w:t xml:space="preserve">null</w:t>
      </w:r>
    </w:p>
    <w:p>
      <w:pPr>
        <w:numPr>
          <w:numId w:val="36"/>
          <w:ilvl w:val="0"/>
        </w:numPr>
      </w:pPr>
      <w:r>
        <w:t xml:space="preserve">Liste (Array)</w:t>
      </w:r>
    </w:p>
    <w:p>
      <w:pPr>
        <w:numPr>
          <w:numId w:val="36"/>
          <w:ilvl w:val="0"/>
        </w:numPr>
      </w:pPr>
      <w:r>
        <w:t xml:space="preserve">Objekt</w:t>
      </w:r>
    </w:p>
    <w:p>
      <w:r>
        <w:t xml:space="preserve">Wenn nicht anders angegeben, wird eine Eigenschaft grundsätzlich als Zeichenkette erwartet. Eventuelle Längenbeschränkungen oder Einschränkungen des Zeichenvorrats werden gesondert erwähnt.</w:t>
      </w:r>
    </w:p>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7"/>
          <w:ilvl w:val="0"/>
        </w:numPr>
      </w:pPr>
      <w:r>
        <w:t xml:space="preserve">Jedes Objekt KANN die Eigenschaft "license" besitzen.</w:t>
      </w:r>
    </w:p>
    <w:p>
      <w:pPr>
        <w:numPr>
          <w:numId w:val="37"/>
          <w:ilvl w:val="0"/>
        </w:numPr>
      </w:pPr>
      <w:r>
        <w:t xml:space="preserve">Die genannte Lizenz bezieht sich auf das jeweilige Objekt und auf untergeordnete Objekte, sofern diese keine license-Eigenschaft besitzen.</w:t>
      </w:r>
    </w:p>
    <w:p>
      <w:pPr>
        <w:numPr>
          <w:numId w:val="37"/>
          <w:ilvl w:val="0"/>
        </w:numPr>
      </w:pPr>
      <w:r>
        <w:t xml:space="preserve">Dazu muss die Vererbungshierarchie aufgezeigt werden.</w:t>
      </w:r>
    </w:p>
    <w:p>
      <w:pPr>
        <w:numPr>
          <w:numId w:val="37"/>
          <w:ilvl w:val="0"/>
        </w:numPr>
      </w:pPr>
      <w:r>
        <w:t xml:space="preserve">Empfohlene Minimalvariante: Nur eine license-Angabe auf Ebene von OParlSystem.</w:t>
      </w:r>
    </w:p>
    <w:p>
      <w:pPr>
        <w:numPr>
          <w:numId w:val="37"/>
          <w:ilvl w:val="0"/>
        </w:numPr>
      </w:pPr>
      <w:r>
        <w:t xml:space="preserve">Auf Ebene des OParlDocument 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 OParlBody Objekte, also die im System geführten Körperschaften, als Liste abrufbar.</w:t>
      </w:r>
    </w:p>
    <w:p>
      <w:r>
        <w:t xml:space="preserve">TODO: Verweis auf OParlBody 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 OParlContact sein.</w:t>
      </w:r>
    </w:p>
    <w:p>
      <w:r>
        <w:t xml:space="preserve">TODO: Verweis auf OParlContact 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_url" w:name="eigenschaft-info_url"/>
    <w:p>
      <w:pPr>
        <w:pStyle w:val="Heading3"/>
      </w:pPr>
      <w:r>
        <w:t xml:space="preserve">Eigenschaft</w:t>
      </w:r>
      <w:r>
        <w:t xml:space="preserve"> </w:t>
      </w:r>
      <w:r>
        <w:rPr>
          <w:rStyle w:val="VerbatimChar"/>
        </w:rPr>
        <w:t xml:space="preserve">info_url</w:t>
      </w:r>
    </w:p>
    <w:bookmarkEnd w:id="eigenschaft-info_url"/>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_url" w:name="eigenschaft-vendor_url"/>
    <w:p>
      <w:pPr>
        <w:pStyle w:val="Heading3"/>
      </w:pPr>
      <w:r>
        <w:t xml:space="preserve">Eigenschaft</w:t>
      </w:r>
      <w:r>
        <w:t xml:space="preserve"> </w:t>
      </w:r>
      <w:r>
        <w:rPr>
          <w:rStyle w:val="VerbatimChar"/>
        </w:rPr>
        <w:t xml:space="preserve">vendor_url</w:t>
      </w:r>
    </w:p>
    <w:bookmarkEnd w:id="eigenschaft-vendor_url"/>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_url" w:name="eigenschaft-product_url"/>
    <w:p>
      <w:pPr>
        <w:pStyle w:val="Heading3"/>
      </w:pPr>
      <w:r>
        <w:t xml:space="preserve">Eigenschaft</w:t>
      </w:r>
      <w:r>
        <w:t xml:space="preserve"> </w:t>
      </w:r>
      <w:r>
        <w:rPr>
          <w:rStyle w:val="VerbatimChar"/>
        </w:rPr>
        <w:t xml:space="preserve">product_url</w:t>
      </w:r>
    </w:p>
    <w:bookmarkEnd w:id="eigenschaft-product_url"/>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"http://oparl.org/schema/1.0/OParlSystem"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"info_url"</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"vendor_url"</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"product_url"</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 OParlSystem Objekt zugeordnet. Wert MUSS der IRI des OParlSystem 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3"/>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4"/>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 OParlSystem 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 OParlPaper)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 OParlPerson)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 OParlMeeting)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 OParlCommittee)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"http://oparl.org/schema/1.0/OParlBody"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38"/>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38"/>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9"/>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0"/>
          <w:ilvl w:val="0"/>
        </w:numPr>
      </w:pPr>
      <w:r>
        <w:t xml:space="preserve">Objekte vom Typ "Person" können einer Organisation, z.B. einer Fraktion, zugeornet werden. Diese Beziehung ist datiert.</w:t>
      </w:r>
    </w:p>
    <w:p>
      <w:pPr>
        <w:numPr>
          <w:numId w:val="40"/>
          <w:ilvl w:val="0"/>
        </w:numPr>
      </w:pPr>
      <w:r>
        <w:t xml:space="preserve">Objekte vom Typ "Person" 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sation-organisation" w:name="oparlorganisation-organisation"/>
    <w:p>
      <w:pPr>
        <w:pStyle w:val="Heading2"/>
      </w:pPr>
      <w:r>
        <w:t xml:space="preserve">OParlOrganisation (Organisation)</w:t>
      </w:r>
    </w:p>
    <w:bookmarkEnd w:id="oparl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2" w:name="beziehungen-2"/>
    <w:p>
      <w:pPr>
        <w:pStyle w:val="Heading3"/>
      </w:pPr>
      <w:r>
        <w:t xml:space="preserve">Beziehungen</w:t>
      </w:r>
    </w:p>
    <w:bookmarkEnd w:id="beziehungen-2"/>
    <w:p>
      <w:pPr>
        <w:numPr>
          <w:numId w:val="42"/>
          <w:ilvl w:val="0"/>
        </w:numPr>
      </w:pPr>
      <w:r>
        <w:t xml:space="preserve">Jede Organisationen gehört zu einer Körperschaft.</w:t>
      </w:r>
    </w:p>
    <w:p>
      <w:pPr>
        <w:numPr>
          <w:numId w:val="42"/>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3"/>
          <w:ilvl w:val="0"/>
        </w:numPr>
      </w:pPr>
      <w:r>
        <w:t xml:space="preserve">Sitzungen sind mindestens einem Gremium zugeordnet</w:t>
      </w:r>
    </w:p>
    <w:p>
      <w:pPr>
        <w:numPr>
          <w:numId w:val="43"/>
          <w:ilvl w:val="0"/>
        </w:numPr>
      </w:pPr>
      <w:r>
        <w:t xml:space="preserve">Einer Sitzung sind Personen zugeordnet, um die Teilnahme an der Sitzung auszudrücken.</w:t>
      </w:r>
    </w:p>
    <w:p>
      <w:pPr>
        <w:numPr>
          <w:numId w:val="43"/>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44"/>
          <w:ilvl w:val="1"/>
        </w:numPr>
      </w:pPr>
      <w:r>
        <w:t xml:space="preserve">Zum Verweis auf die Einladung zur Sitzung</w:t>
      </w:r>
    </w:p>
    <w:p>
      <w:pPr>
        <w:numPr>
          <w:numId w:val="44"/>
          <w:ilvl w:val="1"/>
        </w:numPr>
      </w:pPr>
      <w:r>
        <w:t xml:space="preserve">Zum Verweis auf das Ergebnisprotokoll zur Sitzung</w:t>
      </w:r>
    </w:p>
    <w:p>
      <w:pPr>
        <w:numPr>
          <w:numId w:val="44"/>
          <w:ilvl w:val="1"/>
        </w:numPr>
      </w:pPr>
      <w:r>
        <w:t xml:space="preserve">Zum Verweis auf das Wortprotokoll zur Sitzung</w:t>
      </w:r>
    </w:p>
    <w:p>
      <w:pPr>
        <w:numPr>
          <w:numId w:val="44"/>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6"/>
          <w:ilvl w:val="0"/>
        </w:numPr>
      </w:pPr>
      <w:r>
        <w:t xml:space="preserve">Jeder Tagesordnungspunkt gehört zu genau einer Sitzung.</w:t>
      </w:r>
    </w:p>
    <w:p>
      <w:pPr>
        <w:numPr>
          <w:numId w:val="46"/>
          <w:ilvl w:val="0"/>
        </w:numPr>
      </w:pPr>
      <w:r>
        <w:t xml:space="preserve">Der Tagesordnungspunkt kann auf eine Drucksache verweisen, die im Rahmen dieses Tagesordnungspunkt beraten werden soll.</w:t>
      </w:r>
    </w:p>
    <w:p>
      <w:pPr>
        <w:numPr>
          <w:numId w:val="4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47"/>
          <w:ilvl w:val="0"/>
        </w:numPr>
      </w:pPr>
      <w:r>
        <w:rPr>
          <w:b/>
        </w:rPr>
        <w:t xml:space="preserve">Beschlussvorlage</w:t>
      </w:r>
      <w:r>
        <w:t xml:space="preserve">: Entscheidungsvorschlag der Verwaltung</w:t>
      </w:r>
    </w:p>
    <w:p>
      <w:pPr>
        <w:numPr>
          <w:numId w:val="47"/>
          <w:ilvl w:val="0"/>
        </w:numPr>
      </w:pPr>
      <w:r>
        <w:rPr>
          <w:b/>
        </w:rPr>
        <w:t xml:space="preserve">Antrag</w:t>
      </w:r>
      <w:r>
        <w:t xml:space="preserve">: Entscheidungsvorschlag einer Fraktionen bzw. mehrerer Fraktionen oder einer/mehrerer Einzelperson/en</w:t>
      </w:r>
    </w:p>
    <w:p>
      <w:pPr>
        <w:numPr>
          <w:numId w:val="47"/>
          <w:ilvl w:val="0"/>
        </w:numPr>
      </w:pPr>
      <w:r>
        <w:rPr>
          <w:b/>
        </w:rPr>
        <w:t xml:space="preserve">Anfrage</w:t>
      </w:r>
      <w:r>
        <w:t xml:space="preserve">: Frage(n) einer oder mehrerer Fraktion oder Einzelpersonen an die Verwaltung</w:t>
      </w:r>
    </w:p>
    <w:p>
      <w:pPr>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numPr>
          <w:numId w:val="47"/>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48"/>
          <w:ilvl w:val="0"/>
        </w:numPr>
      </w:pPr>
      <w:r>
        <w:t xml:space="preserve">Es muss genau ein</w:t>
      </w:r>
      <w:r>
        <w:t xml:space="preserve"> </w:t>
      </w:r>
      <w:r>
        <w:rPr>
          <w:b/>
        </w:rPr>
        <w:t xml:space="preserve">Hauptdokument</w:t>
      </w:r>
      <w:r>
        <w:t xml:space="preserve"> </w:t>
      </w:r>
      <w:r>
        <w:t xml:space="preserve">(Objekttyp "Dokument") referenziert werden.</w:t>
      </w:r>
    </w:p>
    <w:p>
      <w:pPr>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48"/>
          <w:ilvl w:val="0"/>
        </w:numPr>
      </w:pPr>
      <w:r>
        <w:t xml:space="preserve">Die Drucksache ist beliebig vielen Gremien zuzuordnen, in denen diese beraten wird.</w:t>
      </w:r>
    </w:p>
    <w:p>
      <w:pPr>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4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5">
        <w:r>
          <w:rPr>
            <w:rStyle w:val="Hyperlink"/>
          </w:rPr>
          <w:t xml:space="preserve">www.geojson.org</w:t>
        </w:r>
      </w:hyperlink>
    </w:p>
    <w:p>
      <w:r>
        <w:t xml:space="preserve">[14]: Frankfurt Gestalten</w:t>
      </w:r>
      <w:r>
        <w:t xml:space="preserve"> </w:t>
      </w:r>
      <w:hyperlink r:id="link5">
        <w:r>
          <w:rPr>
            <w:rStyle w:val="Hyperlink"/>
          </w:rPr>
          <w:t xml:space="preserve">www.geojson.org</w:t>
        </w:r>
      </w:hyperlink>
    </w:p>
    <w:p>
      <w:r>
        <w:t xml:space="preserve">[15]: Offenes Köln</w:t>
      </w:r>
      <w:r>
        <w:t xml:space="preserve"> </w:t>
      </w:r>
      <w:hyperlink r:id="link6">
        <w:r>
          <w:rPr>
            <w:rStyle w:val="Hyperlink"/>
          </w:rPr>
          <w:t xml:space="preserve">offeneskoeln.de</w:t>
        </w:r>
      </w:hyperlink>
    </w:p>
    <w:p>
      <w:r>
        <w:t xml:space="preserve">[16]: OpenRuhr:RIS</w:t>
      </w:r>
      <w:r>
        <w:t xml:space="preserve"> </w:t>
      </w:r>
      <w:hyperlink r:id="link7">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Regionalschlüssel können im</w:t>
          </w:r>
          <w:r>
            <w:t xml:space="preserve"> </w:t>
          </w:r>
          <w:hyperlink r:id="link3">
            <w:r>
              <w:rPr>
                <w:rStyle w:val="Hyperlink"/>
              </w:rPr>
              <w:t xml:space="preserve">Gemeindeverzeichnis (GV-ISys) des Statistischen Bundesamtes</w:t>
            </w:r>
          </w:hyperlink>
          <w:r>
            <w:t xml:space="preserve"> </w:t>
          </w:r>
          <w:r>
            <w:t xml:space="preserve">eingesehen werden</w:t>
          </w:r>
        </w:p>
      </w:footnote>
      <w:footnote w:id="4">
        <w:p>
          <w:pPr>
            <w:pStyle w:val="FootnoteText"/>
          </w:pPr>
          <w:r>
            <w:rPr>
              <w:rStyle w:val="FootnoteReference"/>
            </w:rPr>
            <w:footnoteRef/>
          </w:r>
          <w:r>
            <w:t xml:space="preserve">Gemeinsame Normdatei</w:t>
          </w:r>
          <w:r>
            <w:t xml:space="preserve"> </w:t>
          </w:r>
          <w:hyperlink r:id="link4">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6" Target="http://offeneskoeln.de/" TargetMode="External" /><Relationship Type="http://schemas.openxmlformats.org/officeDocument/2006/relationships/hyperlink" Id="link7" Target="http://openruhr.de/openruhrris/" TargetMode="External" /><Relationship Type="http://schemas.openxmlformats.org/officeDocument/2006/relationships/hyperlink" Id="link1" Target="http://tools.ietf.org/html/rfc2119" TargetMode="External" /><Relationship Type="http://schemas.openxmlformats.org/officeDocument/2006/relationships/hyperlink" Id="link4" Target="http://www.dnb.de/gnd" TargetMode="External" /><Relationship Type="http://schemas.openxmlformats.org/officeDocument/2006/relationships/hyperlink" Id="link5" Target="http://www.geojson.org/" TargetMode="External" /><Relationship Type="http://schemas.openxmlformats.org/officeDocument/2006/relationships/hyperlink" Id="link2" Target="http://www.w3.org/TR/webarch/"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3"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