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200" w:line="276"/>
        <w:jc w:val="center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MODELO DE PROCESSO — INEXIGIBILIDADE DE LICITAÇÃO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Art. 74, Lei 14.133/2021 · Fornecedor Exclusivo · Notória Especialização · Profissionais do Setor Artístico</w:t>
      </w:r>
    </w:p>
    <w:p>
      <w:pPr>
        <w:spacing w:after="80" w:before="1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C55A11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HIPÓTESES DE INEXIGIBILIDADE — Art. 74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Art. 74, I — Exclusividade — </w:t>
      </w:r>
      <w:r>
        <w:rPr>
          <w:rFonts w:ascii="Arial" w:cs="Arial" w:eastAsia="Arial" w:hAnsi="Arial"/>
          <w:sz w:val="22"/>
          <w:szCs w:val="22"/>
        </w:rPr>
        <w:t xml:space="preserve">Fornecedor exclusivo do objeto pretendido, que não admita substituição. Exige comprovação de exclusividade por atestado de entidade representativa do setor.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Art. 74, II — Serviços técnicos especializados — </w:t>
      </w:r>
      <w:r>
        <w:rPr>
          <w:rFonts w:ascii="Arial" w:cs="Arial" w:eastAsia="Arial" w:hAnsi="Arial"/>
          <w:sz w:val="22"/>
          <w:szCs w:val="22"/>
        </w:rPr>
        <w:t xml:space="preserve">Serviços técnicos de natureza predominantemente intelectual, com profissionais de notória especialização. Inclui: estudos, pareceres, assessorias, consultorias, avaliações, auditorias.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Art. 74, III, 'f' — Treinamento / Palestras — </w:t>
      </w:r>
      <w:r>
        <w:rPr>
          <w:rFonts w:ascii="Arial" w:cs="Arial" w:eastAsia="Arial" w:hAnsi="Arial"/>
          <w:sz w:val="22"/>
          <w:szCs w:val="22"/>
        </w:rPr>
        <w:t xml:space="preserve">Cursos, treinamentos, palestras, workshops, seminários e congêneres, com profissional ou empresa de notória especialização. Aplicar PR PGE/MS PAA 007-2023.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Art. 74, IV — Aquisição de obras de arte — </w:t>
      </w:r>
      <w:r>
        <w:rPr>
          <w:rFonts w:ascii="Arial" w:cs="Arial" w:eastAsia="Arial" w:hAnsi="Arial"/>
          <w:sz w:val="22"/>
          <w:szCs w:val="22"/>
        </w:rPr>
        <w:t xml:space="preserve">Obras de arte e objetos históricos de valor cultural, de autenticidade certificada.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Art. 74, V — Correios (EBCT) — </w:t>
      </w:r>
      <w:r>
        <w:rPr>
          <w:rFonts w:ascii="Arial" w:cs="Arial" w:eastAsia="Arial" w:hAnsi="Arial"/>
          <w:sz w:val="22"/>
          <w:szCs w:val="22"/>
        </w:rPr>
        <w:t xml:space="preserve">Contratação de serviços dos Correios. Aplicar PR PGE/MS PAA 003-2023.</w:t>
      </w:r>
    </w:p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C55A11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DOCUMENTOS OBRIGATÓRIOS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860"/>
        <w:gridCol w:w="1800"/>
      </w:tblGrid>
      <w:tr>
        <w:tc>
          <w:tcPr>
            <w:tcW w:type="dxa" w:w="7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Legal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Formalização de Demanda — DFD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Modelo CPLAN/SEJUSP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Instrumento de Oficialização (Anexo I — Dec. 15.941/22)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Dec. 15.941/22 + Dec. 16.378/24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Comprovação de previsão no PCA (print de tela)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Dec. 16.121/23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Estudo Técnico Preliminar — ETP (Anexo II — Dec. 15.941/22)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Dec. 15.941/22, art. 7º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da SEGOV via SIGA-TR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Dec. 16.138/23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Atestado de Correspondência ao PR PGE/MS aplicável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Dec. GAB do PR aplicável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da Escolha do Contratado (Art. 72, VII, Lei 14.133/21)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Art. 72, VII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Comprovação de notória especialização OU exclusividade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Art. 74, §3º / §4º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de preços — Dec. Estadual 15.940/22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Dec. 15.940/22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comercial do fornecedor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Art. 72, IV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 de Referência no SIGA-TR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Dec. 16.138/23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Habilitação do fornecedor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Art. 72, III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Declaração de regularidade fiscal e trabalhista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Art. 72, III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Autorização da autoridade competente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Art. 72, 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Dotação orçamentária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Art. 72, VI</w:t>
            </w:r>
          </w:p>
        </w:tc>
      </w:tr>
    </w:tbl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C55A11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PARECERES REFERENCIAIS PGE/MS APLICÁVEIS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 PAA 007-2023 (Dec. GAB 206-2023) — </w:t>
      </w:r>
      <w:r>
        <w:rPr>
          <w:rFonts w:ascii="Arial" w:cs="Arial" w:eastAsia="Arial" w:hAnsi="Arial"/>
          <w:sz w:val="22"/>
          <w:szCs w:val="22"/>
        </w:rPr>
        <w:t xml:space="preserve">Cursos, palestras, workshops, seminários, treinamentos. Dispensa nova consulta à PGE/MS mediante Atestado de Correspondência. Documentos: Resolução, Checklist, Atestado, Minuta de Contrato.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 PAA 004-2023 — </w:t>
      </w:r>
      <w:r>
        <w:rPr>
          <w:rFonts w:ascii="Arial" w:cs="Arial" w:eastAsia="Arial" w:hAnsi="Arial"/>
          <w:sz w:val="22"/>
          <w:szCs w:val="22"/>
        </w:rPr>
        <w:t xml:space="preserve">Profissionais do setor artístico (artista consagrado). Documentos: Checklist, Atestado.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 PAA 003-2023 (Dec. GAB 230-2024) — </w:t>
      </w:r>
      <w:r>
        <w:rPr>
          <w:rFonts w:ascii="Arial" w:cs="Arial" w:eastAsia="Arial" w:hAnsi="Arial"/>
          <w:sz w:val="22"/>
          <w:szCs w:val="22"/>
        </w:rPr>
        <w:t xml:space="preserve">Contratação dos Correios (EBCT). Documentos: Checklist, Atestado.</w:t>
      </w:r>
    </w:p>
    <w:p>
      <w:pPr>
        <w:spacing w:after="80" w:before="2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C55A11" w:val="clear"/>
        <w:spacing w:after="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FLUXO DO PROCESSO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DFD — </w:t>
      </w:r>
      <w:r>
        <w:rPr>
          <w:rFonts w:ascii="Arial" w:cs="Arial" w:eastAsia="Arial" w:hAnsi="Arial"/>
          <w:sz w:val="22"/>
          <w:szCs w:val="22"/>
        </w:rPr>
        <w:t xml:space="preserve">Preencher o Documento de Formalização de Demanda, confirmar previsão no PCA.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ETP — </w:t>
      </w:r>
      <w:r>
        <w:rPr>
          <w:rFonts w:ascii="Arial" w:cs="Arial" w:eastAsia="Arial" w:hAnsi="Arial"/>
          <w:sz w:val="22"/>
          <w:szCs w:val="22"/>
        </w:rPr>
        <w:t xml:space="preserve">Elaborar o ETP (Anexo II, Dec. 15.941/22). Demonstrar a inviabilidade de competição.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Razão da Escolha — </w:t>
      </w:r>
      <w:r>
        <w:rPr>
          <w:rFonts w:ascii="Arial" w:cs="Arial" w:eastAsia="Arial" w:hAnsi="Arial"/>
          <w:sz w:val="22"/>
          <w:szCs w:val="22"/>
        </w:rPr>
        <w:t xml:space="preserve">Elaborar documento específico demonstrando a notória especialização ou exclusividade do contratado.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Pesquisa de Preços — </w:t>
      </w:r>
      <w:r>
        <w:rPr>
          <w:rFonts w:ascii="Arial" w:cs="Arial" w:eastAsia="Arial" w:hAnsi="Arial"/>
          <w:sz w:val="22"/>
          <w:szCs w:val="22"/>
        </w:rPr>
        <w:t xml:space="preserve">Realizar pesquisa conforme Dec. 15.940/22. Para contratações diretas: cotação direta + comparação com contratações similares.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TR no SIGA-TR + SEGOV — </w:t>
      </w:r>
      <w:r>
        <w:rPr>
          <w:rFonts w:ascii="Arial" w:cs="Arial" w:eastAsia="Arial" w:hAnsi="Arial"/>
          <w:sz w:val="22"/>
          <w:szCs w:val="22"/>
        </w:rPr>
        <w:t xml:space="preserve">Elaborar TR no SIGA-TR e obter concordância da SEGOV (Dec. 16.138/23).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6. Identificar PR PGE/MS — </w:t>
      </w:r>
      <w:r>
        <w:rPr>
          <w:rFonts w:ascii="Arial" w:cs="Arial" w:eastAsia="Arial" w:hAnsi="Arial"/>
          <w:sz w:val="22"/>
          <w:szCs w:val="22"/>
        </w:rPr>
        <w:t xml:space="preserve">Verificar se há Parecer Referencial aplicável. Se sim, preencher Atestado de Correspondência.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7. Autorização e Empenho — </w:t>
      </w:r>
      <w:r>
        <w:rPr>
          <w:rFonts w:ascii="Arial" w:cs="Arial" w:eastAsia="Arial" w:hAnsi="Arial"/>
          <w:sz w:val="22"/>
          <w:szCs w:val="22"/>
        </w:rPr>
        <w:t xml:space="preserve">Autorização da autoridade, emissão de NE e assinatura do contrato.</w:t>
      </w:r>
    </w:p>
    <w:p>
      <w:pPr>
        <w:spacing w:after="60" w:before="60" w:line="276"/>
        <w:jc w:val="both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8. Publicação — </w:t>
      </w:r>
      <w:r>
        <w:rPr>
          <w:rFonts w:ascii="Arial" w:cs="Arial" w:eastAsia="Arial" w:hAnsi="Arial"/>
          <w:sz w:val="22"/>
          <w:szCs w:val="22"/>
        </w:rPr>
        <w:t xml:space="preserve">Publicar o aviso de contratação direta e o extrato do contrato no PNCP.</w:t>
      </w:r>
    </w:p>
    <w:p>
      <w:pPr>
        <w:spacing w:after="80" w:before="3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Nome Completo / Matrícula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Equipe de Planejamento — CPLAN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Bdr>
                <w:bottom w:val="single" w:color="000000" w:sz="4"/>
              </w:pBdr>
              <w:spacing w:before="400"/>
              <w:jc w:val="center"/>
            </w:pP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Autoridade Máxima / SEJUSP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Ordenador de Despesas</w:t>
            </w:r>
          </w:p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2"/>
                <w:szCs w:val="22"/>
              </w:rPr>
              <w:t xml:space="preserve">(assinado digitalmente via E-MS)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tabs>
        <w:tab w:val="right" w:pos="9072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SEJUSP/MS · Inexigibilidade · Pareceres Referenciais PGE/MS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5A11" w:sz="8"/>
      </w:pBdr>
      <w:tabs>
        <w:tab w:val="right" w:pos="9072"/>
      </w:tabs>
      <w:spacing w:after="60" w:before="60"/>
    </w:pPr>
    <w:r>
      <w:rPr>
        <w:rFonts w:ascii="Arial" w:cs="Arial" w:eastAsia="Arial" w:hAnsi="Arial"/>
        <w:b/>
        <w:bCs/>
        <w:color w:val="C55A11"/>
        <w:sz w:val="18"/>
        <w:szCs w:val="18"/>
      </w:rPr>
      <w:t xml:space="preserve">SUPLANTEC/SEJUSP — INEXIGIBILIDADE — Art. 74, Lei 14.133/2021</w:t>
    </w:r>
    <w:r>
      <w:rPr>
        <w:rFonts w:ascii="Arial" w:cs="Arial" w:eastAsia="Arial" w:hAnsi="Arial"/>
        <w:b/>
        <w:bCs/>
        <w:color w:val="C55A11"/>
        <w:sz w:val="18"/>
        <w:szCs w:val="18"/>
      </w:rPr>
      <w:t xml:space="preserve">	MODELO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2026-05-09T01:29:51.442Z</dcterms:created>
  <dcterms:modified xsi:type="dcterms:W3CDTF">2026-05-09T01:29:51.442Z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